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919E0">
      <w:pPr>
        <w:pStyle w:val="3"/>
        <w:numPr>
          <w:ilvl w:val="0"/>
          <w:numId w:val="0"/>
        </w:numPr>
        <w:spacing w:beforeLines="0" w:afterLines="0" w:line="484" w:lineRule="exact"/>
        <w:ind w:right="598" w:rightChars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  <w:t>保证金缴纳凭证</w:t>
      </w:r>
    </w:p>
    <w:p w14:paraId="67DB4544">
      <w:pPr>
        <w:rPr>
          <w:rFonts w:hint="default"/>
          <w:lang w:val="en-US" w:eastAsia="zh-CN"/>
        </w:rPr>
      </w:pPr>
      <w:bookmarkStart w:id="4" w:name="_GoBack"/>
      <w:bookmarkEnd w:id="4"/>
    </w:p>
    <w:p w14:paraId="29250695">
      <w:pPr>
        <w:numPr>
          <w:ilvl w:val="0"/>
          <w:numId w:val="0"/>
        </w:numPr>
        <w:overflowPunct w:val="0"/>
        <w:adjustRightInd w:val="0"/>
        <w:snapToGrid w:val="0"/>
        <w:spacing w:after="312" w:afterLines="100" w:line="480" w:lineRule="exact"/>
        <w:ind w:firstLine="56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28"/>
          <w:szCs w:val="21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1"/>
        </w:rPr>
        <w:t>如若以银行转账或电汇凭证形式缴纳须附：</w:t>
      </w:r>
      <w:r>
        <w:rPr>
          <w:rFonts w:hint="eastAsia" w:ascii="仿宋" w:hAnsi="仿宋" w:eastAsia="仿宋" w:cs="仿宋"/>
          <w:sz w:val="28"/>
          <w:szCs w:val="21"/>
          <w:lang w:val="en-US" w:eastAsia="zh-CN"/>
        </w:rPr>
        <w:t>①</w:t>
      </w:r>
      <w:r>
        <w:rPr>
          <w:rFonts w:hint="eastAsia" w:ascii="仿宋" w:hAnsi="仿宋" w:eastAsia="仿宋" w:cs="仿宋"/>
          <w:sz w:val="28"/>
          <w:szCs w:val="21"/>
        </w:rPr>
        <w:t>基本账户开户许可证复印件</w:t>
      </w:r>
      <w:r>
        <w:rPr>
          <w:rFonts w:hint="eastAsia" w:ascii="仿宋" w:hAnsi="仿宋" w:eastAsia="仿宋" w:cs="仿宋"/>
          <w:sz w:val="28"/>
          <w:szCs w:val="21"/>
          <w:lang w:val="en-US" w:eastAsia="zh-CN"/>
        </w:rPr>
        <w:t>或证明从基本户转出的证明材料</w:t>
      </w:r>
      <w:r>
        <w:rPr>
          <w:rFonts w:hint="eastAsia" w:ascii="仿宋" w:hAnsi="仿宋" w:eastAsia="仿宋" w:cs="仿宋"/>
          <w:sz w:val="28"/>
          <w:szCs w:val="21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1"/>
          <w:lang w:val="en-US" w:eastAsia="zh-CN"/>
        </w:rPr>
        <w:t>②</w:t>
      </w:r>
      <w:r>
        <w:rPr>
          <w:rFonts w:hint="eastAsia" w:ascii="仿宋" w:hAnsi="仿宋" w:eastAsia="仿宋" w:cs="仿宋"/>
          <w:sz w:val="28"/>
          <w:szCs w:val="21"/>
        </w:rPr>
        <w:t>从基本账户转出投标保证金的转账凭证复印件</w:t>
      </w:r>
      <w:r>
        <w:rPr>
          <w:rFonts w:hint="eastAsia" w:ascii="仿宋" w:hAnsi="仿宋" w:eastAsia="仿宋" w:cs="仿宋"/>
          <w:sz w:val="28"/>
          <w:szCs w:val="21"/>
          <w:lang w:eastAsia="zh-CN"/>
        </w:rPr>
        <w:t>。</w:t>
      </w:r>
    </w:p>
    <w:p w14:paraId="6D586794">
      <w:pPr>
        <w:overflowPunct w:val="0"/>
        <w:adjustRightInd w:val="0"/>
        <w:snapToGrid w:val="0"/>
        <w:spacing w:after="312" w:afterLines="100" w:line="480" w:lineRule="exact"/>
        <w:ind w:firstLine="560" w:firstLineChars="200"/>
        <w:outlineLvl w:val="2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Toc32075"/>
      <w:bookmarkStart w:id="1" w:name="_Toc389"/>
      <w:bookmarkStart w:id="2" w:name="_Toc28970"/>
      <w:bookmarkStart w:id="3" w:name="_Toc29012"/>
      <w:r>
        <w:rPr>
          <w:rFonts w:hint="eastAsia" w:ascii="仿宋" w:hAnsi="仿宋" w:eastAsia="仿宋" w:cs="仿宋"/>
          <w:sz w:val="28"/>
          <w:szCs w:val="21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1"/>
        </w:rPr>
        <w:t>如若以保函形式缴纳须附：保函复印件</w:t>
      </w:r>
      <w:bookmarkEnd w:id="0"/>
      <w:bookmarkEnd w:id="1"/>
      <w:bookmarkEnd w:id="2"/>
      <w:bookmarkEnd w:id="3"/>
      <w:r>
        <w:rPr>
          <w:rFonts w:hint="eastAsia" w:ascii="仿宋" w:hAnsi="仿宋" w:eastAsia="仿宋" w:cs="仿宋"/>
          <w:sz w:val="28"/>
          <w:szCs w:val="21"/>
          <w:lang w:eastAsia="zh-CN"/>
        </w:rPr>
        <w:t>。</w:t>
      </w:r>
    </w:p>
    <w:tbl>
      <w:tblPr>
        <w:tblStyle w:val="4"/>
        <w:tblW w:w="8568" w:type="dxa"/>
        <w:tblInd w:w="0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 w14:paraId="1BD3084A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8" w:hRule="atLeast"/>
        </w:trPr>
        <w:tc>
          <w:tcPr>
            <w:tcW w:w="8568" w:type="dxa"/>
            <w:tcBorders>
              <w:top w:val="dashed" w:color="auto" w:sz="4" w:space="0"/>
              <w:left w:val="dashed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 w14:paraId="6E263E39">
            <w:pPr>
              <w:overflowPunct w:val="0"/>
              <w:spacing w:line="360" w:lineRule="auto"/>
              <w:ind w:right="-10" w:rightChars="-5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 w14:paraId="595CAA79">
            <w:pPr>
              <w:overflowPunct w:val="0"/>
              <w:spacing w:line="360" w:lineRule="auto"/>
              <w:ind w:right="-10" w:rightChars="-5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5FFD1AE8">
            <w:pPr>
              <w:overflowPunct w:val="0"/>
              <w:spacing w:line="360" w:lineRule="auto"/>
              <w:ind w:right="-10" w:rightChars="-5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4B7EB965">
            <w:pPr>
              <w:overflowPunct w:val="0"/>
              <w:spacing w:line="360" w:lineRule="auto"/>
              <w:ind w:right="-10" w:rightChars="-5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 w14:paraId="2818DD37">
            <w:pPr>
              <w:overflowPunct w:val="0"/>
              <w:spacing w:line="360" w:lineRule="auto"/>
              <w:ind w:right="-10" w:rightChars="-5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0A7C7E9F">
      <w:pPr>
        <w:spacing w:line="440" w:lineRule="exact"/>
        <w:ind w:right="42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4FB10E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96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4"/>
    <w:basedOn w:val="1"/>
    <w:next w:val="1"/>
    <w:qFormat/>
    <w:uiPriority w:val="1"/>
    <w:pPr>
      <w:ind w:left="9"/>
      <w:outlineLvl w:val="3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2026-06-30T01:41:42Z</dcterms:created>
  <dc:creator>Administrator</dc:creator>
  <cp:lastModifiedBy>May</cp:lastModifiedBy>
  <dcterms:modified xsi:type="dcterms:W3CDTF">2026-06-30T01:42:32Z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eyJoZGlkIjoiMWEyYjAxOGMwOTA4NzEwN2MzZmM2NDU2OGJmNTVjOTQiLCJ1c2VySWQiOiIyOTQwMzk5NTIifQ==</vt:lpwstr>
  </property>
  <property fmtid="{D5CDD505-2E9C-101B-9397-08002B2CF9AE}" pid="4" name="ICV">
    <vt:lpwstr>544F1BAE79C64BBBAB170EF7D8505254_12</vt:lpwstr>
  </property>
</Properties>
</file>