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9225CE">
      <w:pPr>
        <w:spacing w:before="319" w:beforeLines="100" w:after="478" w:afterLines="150" w:line="500" w:lineRule="exact"/>
        <w:jc w:val="center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bookmarkStart w:id="1" w:name="_GoBack"/>
      <w:bookmarkEnd w:id="1"/>
      <w:bookmarkStart w:id="0" w:name="_Toc21288"/>
      <w:bookmarkEnd w:id="0"/>
      <w:r>
        <w:rPr>
          <w:rFonts w:hint="eastAsia" w:ascii="仿宋" w:hAnsi="仿宋" w:eastAsia="仿宋" w:cs="仿宋"/>
          <w:sz w:val="28"/>
          <w:szCs w:val="28"/>
        </w:rPr>
        <w:t>服务质量控制措施及承诺</w:t>
      </w:r>
    </w:p>
    <w:p w14:paraId="4506C6EF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根据磋商文件“评标办法”和“采购内容及要求”编辑，格式自拟。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7F4C66"/>
    <w:rsid w:val="7D7F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2026-05-09T01:57:00Z</dcterms:created>
  <dc:creator>  </dc:creator>
  <cp:lastModifiedBy>  </cp:lastModifiedBy>
  <dcterms:modified xsi:type="dcterms:W3CDTF">2026-05-09T01:58:03Z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23CCA1A7230B404CB1D6B37844FBFF63_11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