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版本号：SYCG-TP-2602920260807001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西阳镇五泉村户厕改造项目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SYCG-TP-26029</w:t>
      </w:r>
      <w:r>
        <w:br/>
      </w:r>
      <w:r>
        <w:br/>
      </w:r>
      <w:r>
        <w:br/>
      </w:r>
    </w:p>
    <w:p>
      <w:pPr>
        <w:pStyle w:val="null3"/>
        <w:jc w:val="center"/>
        <w:outlineLvl w:val="2"/>
      </w:pPr>
      <w:r>
        <w:rPr>
          <w:rFonts w:ascii="仿宋_GB2312" w:hAnsi="仿宋_GB2312" w:cs="仿宋_GB2312" w:eastAsia="仿宋_GB2312"/>
          <w:sz w:val="28"/>
          <w:b/>
        </w:rPr>
        <w:t>三原县西阳镇人民政府</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三原县西阳镇人民政府</w:t>
      </w:r>
      <w:r>
        <w:rPr>
          <w:rFonts w:ascii="仿宋_GB2312" w:hAnsi="仿宋_GB2312" w:cs="仿宋_GB2312" w:eastAsia="仿宋_GB2312"/>
        </w:rPr>
        <w:t>委托，拟对</w:t>
      </w:r>
      <w:r>
        <w:rPr>
          <w:rFonts w:ascii="仿宋_GB2312" w:hAnsi="仿宋_GB2312" w:cs="仿宋_GB2312" w:eastAsia="仿宋_GB2312"/>
        </w:rPr>
        <w:t>西阳镇五泉村户厕改造项目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SYCG-TP-26029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西阳镇五泉村户厕改造项目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对村内传统旱厕实施标准化改造，配套建设三格化粪池等无害化粪污处理设施，施工用材、工艺均符合农村改厕相关规范标准，完工后质保一年，工程竣工验收合格后一次性付清全款，通过改厕改善村庄人居环境，助力乡村振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采购包1（西阳镇五泉村户厕改造项目）：属于专门面向中小企业采购。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1、营业执照及主体资格：独⽴承担⺠事责任的法⼈或其他组织有效的营业执照（或统⼀社会信⽤代码的营业 执照）等相应证明⽂件，⾃然⼈的提供⾝份证明⽂件；</w:t>
      </w:r>
    </w:p>
    <w:p>
      <w:pPr>
        <w:pStyle w:val="null3"/>
      </w:pPr>
      <w:r>
        <w:rPr>
          <w:rFonts w:ascii="仿宋_GB2312" w:hAnsi="仿宋_GB2312" w:cs="仿宋_GB2312" w:eastAsia="仿宋_GB2312"/>
        </w:rPr>
        <w:t>2、公司资质要求：具备建设行政主管部门核发的建筑工程施工总承包三级（含三级）以上资质，具备有效的安全生产许可证；</w:t>
      </w:r>
    </w:p>
    <w:p>
      <w:pPr>
        <w:pStyle w:val="null3"/>
      </w:pPr>
      <w:r>
        <w:rPr>
          <w:rFonts w:ascii="仿宋_GB2312" w:hAnsi="仿宋_GB2312" w:cs="仿宋_GB2312" w:eastAsia="仿宋_GB2312"/>
        </w:rPr>
        <w:t>3、拟派项⽬经理要求：具备建筑工程专业二级及以上注册建造师执业资格，并具备有效的安全生产考核合格证书(B证)，拟派往本项目的项目经理必须为本企业注册的建造师，且未担任其它在建工程的项目经理；</w:t>
      </w:r>
    </w:p>
    <w:p>
      <w:pPr>
        <w:pStyle w:val="null3"/>
      </w:pPr>
      <w:r>
        <w:rPr>
          <w:rFonts w:ascii="仿宋_GB2312" w:hAnsi="仿宋_GB2312" w:cs="仿宋_GB2312" w:eastAsia="仿宋_GB2312"/>
        </w:rPr>
        <w:t>4、法定代表⼈授权委托书：法定代表⼈或负责⼈参加投标时，提供本⼈⾝份证，并与营业执照中法定代表⼈或负责⼈信息相符；授权代表参加投标时，提供授权书和被授权⼈⾝份证；</w:t>
      </w:r>
    </w:p>
    <w:p>
      <w:pPr>
        <w:pStyle w:val="null3"/>
      </w:pPr>
      <w:r>
        <w:rPr>
          <w:rFonts w:ascii="仿宋_GB2312" w:hAnsi="仿宋_GB2312" w:cs="仿宋_GB2312" w:eastAsia="仿宋_GB2312"/>
        </w:rPr>
        <w:t>5、财务状况报告：提供2024年度或2025年度经审计的财务报告（成⽴时间⾄提交响应⽂件截⽌时间不⾜⼀年的可提供成⽴后任意时段的资产负债表），或其开标前三个⽉内银⾏出具的资信证明，（以上两种形式的资料提供任何⼀种即可）；</w:t>
      </w:r>
    </w:p>
    <w:p>
      <w:pPr>
        <w:pStyle w:val="null3"/>
      </w:pPr>
      <w:r>
        <w:rPr>
          <w:rFonts w:ascii="仿宋_GB2312" w:hAnsi="仿宋_GB2312" w:cs="仿宋_GB2312" w:eastAsia="仿宋_GB2312"/>
        </w:rPr>
        <w:t>6、税收缴纳证明：提供截⽌开标前半年内⾄今已缴纳的任意⼀个⽉的纳税证明或完税证明（时间以税款所属⽇期为准、税种须包含增值税或企业所得税），依法免税的单位应提供相关证明材料；</w:t>
      </w:r>
    </w:p>
    <w:p>
      <w:pPr>
        <w:pStyle w:val="null3"/>
      </w:pPr>
      <w:r>
        <w:rPr>
          <w:rFonts w:ascii="仿宋_GB2312" w:hAnsi="仿宋_GB2312" w:cs="仿宋_GB2312" w:eastAsia="仿宋_GB2312"/>
        </w:rPr>
        <w:t>7、社会保障资⾦缴纳证明：提供截⽌开标前半年内⾄今已缴纳的任意⼀个⽉的社会保障资⾦缴存单据或社保机构开具的社会保险参保缴费情况证明，依法不需要缴纳社会保障资⾦的单位应提供相关证明材料；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8、信⽤中国：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9、⾮联合体声明：本项⽬不接受联合体投标，单位负责⼈为同⼀⼈或者存在直接控股、管理关系的不同投标⼈，不得参加同⼀合同项下的政府采购活动（提供⾮联合体投标声明，包括控股管理声明）；</w:t>
      </w:r>
    </w:p>
    <w:p>
      <w:pPr>
        <w:pStyle w:val="null3"/>
      </w:pPr>
      <w:r>
        <w:rPr>
          <w:rFonts w:ascii="仿宋_GB2312" w:hAnsi="仿宋_GB2312" w:cs="仿宋_GB2312" w:eastAsia="仿宋_GB2312"/>
        </w:rPr>
        <w:t>10、重⼤违法声明：供应商参加采购活动近3年内经营活动中没有重⼤违法记录声明，以及未被列⼊失信被执⾏⼈、重⼤税收违法案件当事⼈名单、政府采购严重违法失信⾏为记录名单的书⾯声明；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15日的，采购人或代理机构顺延提交响应文件的截止时间。供应商未重新获取谈判文件或者未按照澄清或者修改后的谈判文件编制响应文件进行响应的，自行承担不利后果。</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 购 人： </w:t>
      </w:r>
      <w:r>
        <w:rPr>
          <w:rFonts w:ascii="仿宋_GB2312" w:hAnsi="仿宋_GB2312" w:cs="仿宋_GB2312" w:eastAsia="仿宋_GB2312"/>
          <w:sz w:val="24"/>
          <w:b/>
        </w:rPr>
        <w:t>三原县西阳镇人民政府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三原县西阳镇西南村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029-32590443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029-32268927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如以联合体响应的，联合体各方均应当具备本谈判文件要求的资格条件和能力。</w:t>
            </w:r>
          </w:p>
          <w:p>
            <w:pPr>
              <w:pStyle w:val="null3"/>
            </w:pPr>
            <w:r>
              <w:rPr>
                <w:rFonts w:ascii="仿宋_GB2312" w:hAnsi="仿宋_GB2312" w:cs="仿宋_GB2312" w:eastAsia="仿宋_GB2312"/>
              </w:rPr>
              <w:t xml:space="preserve"> 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 xml:space="preserve"> 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 xml:space="preserve"> 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是否组织潜在供应商踏现场考察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三原县西阳镇人民政府</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三原县西阳镇人民政府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三原县西阳镇人民政府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三原县政府采购中心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3"/>
      </w:pPr>
      <w:r>
        <w:rPr>
          <w:rFonts w:ascii="仿宋_GB2312" w:hAnsi="仿宋_GB2312" w:cs="仿宋_GB2312" w:eastAsia="仿宋_GB2312"/>
          <w:sz w:val="24"/>
          <w:b/>
        </w:rPr>
        <w:t>2.3.3答疑会和现场考察</w:t>
      </w:r>
    </w:p>
    <w:p>
      <w:pPr>
        <w:pStyle w:val="null3"/>
        <w:ind w:firstLine="480"/>
      </w:pPr>
      <w:r>
        <w:rPr>
          <w:rFonts w:ascii="仿宋_GB2312" w:hAnsi="仿宋_GB2312" w:cs="仿宋_GB2312" w:eastAsia="仿宋_GB2312"/>
        </w:rPr>
        <w:t xml:space="preserve"> 一、采购人、代理机构认为有必要，将在谈判文件提供期限截止时间后至响应文件提交截止时间前，组织已获取谈判文件的潜在供应商现场考察或者召开答疑会。</w:t>
      </w:r>
    </w:p>
    <w:p>
      <w:pPr>
        <w:pStyle w:val="null3"/>
        <w:ind w:firstLine="480"/>
      </w:pPr>
      <w:r>
        <w:rPr>
          <w:rFonts w:ascii="仿宋_GB2312" w:hAnsi="仿宋_GB2312" w:cs="仿宋_GB2312" w:eastAsia="仿宋_GB2312"/>
        </w:rPr>
        <w:t xml:space="preserve"> 二、采购人、代理机构组织现场考察或者召开答疑会的，将通过项目电子化交易系统以书面形式通知所有按照规定获取了谈判文件的潜在供应商。供应商接到通知后，不按照要求参加现场考察或者答疑会的，视同放弃参加现场考察或者答疑的权利，采购人、代理机构不再对该供应商重新组织，但也不会以此限制供应商提交响应文件或者以此将供应商响应文件直接作为无效处理。</w:t>
      </w:r>
    </w:p>
    <w:p>
      <w:pPr>
        <w:pStyle w:val="null3"/>
        <w:ind w:firstLine="480"/>
      </w:pPr>
      <w:r>
        <w:rPr>
          <w:rFonts w:ascii="仿宋_GB2312" w:hAnsi="仿宋_GB2312" w:cs="仿宋_GB2312" w:eastAsia="仿宋_GB2312"/>
        </w:rPr>
        <w:t>三、供应商考察现场或者参加答疑会所发生的一切费用由供应商自己承担。</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2.4.8响应文件有效期</w:t>
      </w:r>
    </w:p>
    <w:p>
      <w:pPr>
        <w:pStyle w:val="null3"/>
        <w:ind w:firstLine="480"/>
        <w:jc w:val="left"/>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二、供应商应按照客户端操作要求，对应谈判文件的每项实质性要求，逐一进行响应；未逐一进行响应或者响应内容不符合谈判文件对应项的要求的，其响应文件作无效处理。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三、供应商完成响应文件编制后，应按照谈判文件第一章明确的签章要求，使用互认的证书及签章对响应文件进行电子签章和加密。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任何政府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采购人自政府采购合同签订（双方当事人均已完成盖章）之日起7个工作日内，将本项目采购合同通过政府采购平台进行备案。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达到工程施工质量验收合格标准及设计要求，满足项目要求;</w:t>
      </w:r>
    </w:p>
    <w:p>
      <w:pPr>
        <w:pStyle w:val="null3"/>
        <w:ind w:firstLine="480"/>
        <w:jc w:val="left"/>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 xml:space="preserve"> 工程竣工经验收合格后，方可交付使用；未经验收或者验收不合格的，不得交付使用。</w:t>
      </w:r>
    </w:p>
    <w:p>
      <w:pPr>
        <w:pStyle w:val="null3"/>
        <w:ind w:firstLine="480"/>
        <w:jc w:val="left"/>
      </w:pPr>
      <w:r>
        <w:rPr>
          <w:rFonts w:ascii="仿宋_GB2312" w:hAnsi="仿宋_GB2312" w:cs="仿宋_GB2312" w:eastAsia="仿宋_GB2312"/>
        </w:rPr>
        <w:t xml:space="preserve"> 三、验收结果合格的，采购人应向成交供应商出具履约验收报告，成交供应商凭验收报告办理相关手续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联系电话：029-32268927</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西阳镇五泉村户厕改造项目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标的名称：西阳镇五泉村户厕改造项目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村庄现有传统旱厕多为简易搭建结构，整体密闭性较差，粪便长期裸露在外，极易滋生各类蚊虫病菌，形成持续性的污染源，为各类肠道传染病、寄生虫类疾病的传播提供了有利条件，对村民日常身体健康和公共卫生安全造成长期隐患。</w:t>
            </w:r>
          </w:p>
          <w:p>
            <w:pPr>
              <w:pStyle w:val="null3"/>
            </w:pPr>
            <w:r>
              <w:rPr>
                <w:rFonts w:ascii="仿宋_GB2312" w:hAnsi="仿宋_GB2312" w:cs="仿宋_GB2312" w:eastAsia="仿宋_GB2312"/>
              </w:rPr>
              <w:t>2、传统旱厕排水防渗设施不完善，每逢降雨天气，厕内积存粪污极易发生外溢渗漏，粪污肆意漫流会持续污染周边地表土壤及浅层地下水源，直接影响村庄饮用水源洁净度，对村民饮水安全构成严重威胁。</w:t>
            </w:r>
          </w:p>
          <w:p>
            <w:pPr>
              <w:pStyle w:val="null3"/>
            </w:pPr>
            <w:r>
              <w:rPr>
                <w:rFonts w:ascii="仿宋_GB2312" w:hAnsi="仿宋_GB2312" w:cs="仿宋_GB2312" w:eastAsia="仿宋_GB2312"/>
              </w:rPr>
              <w:t>3、现有旧式旱厕缺乏无害化处理功能，粪污无法完成消杀、降解等无害化处置流程，村民直接将原生粪污还田使用，会将大量致病菌、寄生虫虫卵带入农田土壤，存在极大的农业种植安全隐患，不符合绿色生态农业发展要求。</w:t>
            </w:r>
          </w:p>
          <w:p>
            <w:pPr>
              <w:pStyle w:val="null3"/>
            </w:pPr>
            <w:r>
              <w:rPr>
                <w:rFonts w:ascii="仿宋_GB2312" w:hAnsi="仿宋_GB2312" w:cs="仿宋_GB2312" w:eastAsia="仿宋_GB2312"/>
              </w:rPr>
              <w:t>4、村内传统旱厕普遍存在建设简陋、布局杂乱、环境卫生恶劣等问题，是农村人居环境整治工作中的突出短板，严重破坏村庄整体村容村貌，与美丽乡村建设、人居环境提质升级的整体工作要求不相匹配。</w:t>
            </w:r>
          </w:p>
          <w:p>
            <w:pPr>
              <w:pStyle w:val="null3"/>
            </w:pPr>
            <w:r>
              <w:rPr>
                <w:rFonts w:ascii="仿宋_GB2312" w:hAnsi="仿宋_GB2312" w:cs="仿宋_GB2312" w:eastAsia="仿宋_GB2312"/>
              </w:rPr>
              <w:t>5、脏乱的如厕环境和落后的如厕设施，极大降低了村庄整体人居品质，制约乡村民宿产业、乡村休闲旅游产业的培育发展，不利于盘活乡村文旅资源，阻碍村级集体经济多元化发展。</w:t>
            </w:r>
          </w:p>
          <w:p>
            <w:pPr>
              <w:pStyle w:val="null3"/>
            </w:pPr>
            <w:r>
              <w:rPr>
                <w:rFonts w:ascii="仿宋_GB2312" w:hAnsi="仿宋_GB2312" w:cs="仿宋_GB2312" w:eastAsia="仿宋_GB2312"/>
              </w:rPr>
              <w:t>6、落后的农村如厕条件直接影响村庄整体对外形象，难以满足新时代农村群众对高品质生活环境的需求，不利于乡风文明建设和乡村整体风貌提升，亟需通过标准化户厕改造补齐民生短板。</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符合国家技术规范要求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1.对于不允许偏离的实质性要求和条件，采购人或者代理机构应当在谈判文件中规定，并以醒目的方式标明。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2.除相关法律或行政法规或规章要求供应商在响应或谈判阶段提供检测报告的，不得要求供应商在响应、谈判阶段提供检测报告，如确实需要检测报告，可要求供应商承诺在签订合同阶段或项目实施阶段提供。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jc w:val="left"/>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方案说明书.docx 分项报价表.docx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营业执照及主体资格</w:t>
            </w:r>
          </w:p>
        </w:tc>
        <w:tc>
          <w:tcPr>
            <w:tcW w:type="dxa" w:w="3322"/>
          </w:tcPr>
          <w:p>
            <w:pPr>
              <w:pStyle w:val="null3"/>
            </w:pPr>
            <w:r>
              <w:rPr>
                <w:rFonts w:ascii="仿宋_GB2312" w:hAnsi="仿宋_GB2312" w:cs="仿宋_GB2312" w:eastAsia="仿宋_GB2312"/>
              </w:rPr>
              <w:t>独⽴承担⺠事责任的法⼈或其他组织有效的营业执照（或统⼀社会信⽤代码的营业 执照）等相应证明⽂件，⾃然⼈的提供⾝份证明⽂件；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公司资质要求</w:t>
            </w:r>
          </w:p>
        </w:tc>
        <w:tc>
          <w:tcPr>
            <w:tcW w:type="dxa" w:w="3322"/>
          </w:tcPr>
          <w:p>
            <w:pPr>
              <w:pStyle w:val="null3"/>
            </w:pPr>
            <w:r>
              <w:rPr>
                <w:rFonts w:ascii="仿宋_GB2312" w:hAnsi="仿宋_GB2312" w:cs="仿宋_GB2312" w:eastAsia="仿宋_GB2312"/>
              </w:rPr>
              <w:t>具备建设行政主管部门核发的建筑工程施工总承包三级（含三级）以上资质，具备有效的安全生产许可证；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拟派项⽬经理要求</w:t>
            </w:r>
          </w:p>
        </w:tc>
        <w:tc>
          <w:tcPr>
            <w:tcW w:type="dxa" w:w="3322"/>
          </w:tcPr>
          <w:p>
            <w:pPr>
              <w:pStyle w:val="null3"/>
            </w:pPr>
            <w:r>
              <w:rPr>
                <w:rFonts w:ascii="仿宋_GB2312" w:hAnsi="仿宋_GB2312" w:cs="仿宋_GB2312" w:eastAsia="仿宋_GB2312"/>
              </w:rPr>
              <w:t>具备建筑工程专业二级及以上注册建造师执业资格，并具备有效的安全生产考核合格证书(B证)，拟派往本项目的项目经理必须为本企业注册的建造师，且未担任其它在建工程的项目经理；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法定代表⼈或负责⼈参加投标时，提供本⼈⾝份证，并与营业执照中法定代表⼈或负责⼈信息相符；授权代表参加投标时，提供授权书和被授权⼈⾝份证；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时间⾄提交响应⽂件截⽌时间不⾜⼀年的可提供成⽴后任意时段的资产负债表），或其开标前三个⽉内银⾏出具的资信证明，（以上两种形式的资料提供任何⼀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提供截⽌开标前半年内⾄今已缴纳的任意⼀个⽉的纳税证明或完税证明（时间以税款所属⽇期为准、税种须包含增值税或企业所得税），依法免税的单位应提供相关证明材料；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提供截⽌开标前半年内⾄今已缴纳的任意⼀个⽉的社会保障资⾦缴存单据或社保机构开具的社会保险参保缴费情况证明，依法不需要缴纳社会保障资⾦的单位应提供相关证明材料；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信⽤中国</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本项⽬不接受联合体投标，单位负责⼈为同⼀⼈或者存在直接控股、管理关系的不同投标⼈，不得参加同⼀合同项下的政府采购活动（提供⾮联合体投标声明，包括控股管理声明）；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供应商参加采购活动近3年内经营活动中没有重⼤违法记录声明，以及未被列⼊失信被执⾏⼈、重⼤税收违法案件当事⼈名单、政府采购严重违法失信⾏为记录名单的书⾯声明；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ind w:firstLine="480"/>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（一）熟悉和理解谈判文件，确定谈判文件内容是否违反国家有关强制性规定或者谈判文件存在歧义、重大缺陷；</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一、谈判开始前，谈判小组对供应商首次提交的响应文件（包括报价）进行审查，审查内容为谈判文件不允许实质性变动的实质性要求，不符合实质性要求或应当作无效响应处理的，应当作无效响应处理。</w:t>
      </w:r>
    </w:p>
    <w:p>
      <w:pPr>
        <w:pStyle w:val="null3"/>
        <w:ind w:firstLine="480"/>
      </w:pPr>
      <w:r>
        <w:rPr>
          <w:rFonts w:ascii="仿宋_GB2312" w:hAnsi="仿宋_GB2312" w:cs="仿宋_GB2312" w:eastAsia="仿宋_GB2312"/>
        </w:rPr>
        <w:t>二、谈判小组对供应商已标价工程量清单进行算术性复核，如果出现下列不一致的，按以下原则进行修正：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四、谈判小组对所有响应文件进行审查后，确定参加谈判的供应商名单。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 2.供应商通过项目电子化交易系统在谈判小组要求的合理时间内提交说明，否则无效。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响应⽂件完整性</w:t>
            </w:r>
          </w:p>
        </w:tc>
        <w:tc>
          <w:tcPr>
            <w:tcW w:type="dxa" w:w="3322"/>
          </w:tcPr>
          <w:p>
            <w:pPr>
              <w:pStyle w:val="null3"/>
            </w:pPr>
            <w:r>
              <w:rPr>
                <w:rFonts w:ascii="仿宋_GB2312" w:hAnsi="仿宋_GB2312" w:cs="仿宋_GB2312" w:eastAsia="仿宋_GB2312"/>
              </w:rPr>
              <w:t>响应⽂件构成⽆重⼤缺项（详细评审除外）， 按照⽂件要求的格式编写响应⽂件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响应⽂件报价</w:t>
            </w:r>
          </w:p>
        </w:tc>
        <w:tc>
          <w:tcPr>
            <w:tcW w:type="dxa" w:w="3322"/>
          </w:tcPr>
          <w:p>
            <w:pPr>
              <w:pStyle w:val="null3"/>
            </w:pPr>
            <w:r>
              <w:rPr>
                <w:rFonts w:ascii="仿宋_GB2312" w:hAnsi="仿宋_GB2312" w:cs="仿宋_GB2312" w:eastAsia="仿宋_GB2312"/>
              </w:rPr>
              <w:t>报价唯⼀，且没有低于成本价或⾼于采购预算</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响应⽂件有效性</w:t>
            </w:r>
          </w:p>
        </w:tc>
        <w:tc>
          <w:tcPr>
            <w:tcW w:type="dxa" w:w="3322"/>
          </w:tcPr>
          <w:p>
            <w:pPr>
              <w:pStyle w:val="null3"/>
            </w:pPr>
            <w:r>
              <w:rPr>
                <w:rFonts w:ascii="仿宋_GB2312" w:hAnsi="仿宋_GB2312" w:cs="仿宋_GB2312" w:eastAsia="仿宋_GB2312"/>
              </w:rPr>
              <w:t>响应⽂件的签署、盖章符合⽂件要求，供应商递交的响应⽂件与本项⽬名称⼀致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⽂件递交截⽌之⽇起90⽇历⽇</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响应⽂件响应性</w:t>
            </w:r>
          </w:p>
        </w:tc>
        <w:tc>
          <w:tcPr>
            <w:tcW w:type="dxa" w:w="3322"/>
          </w:tcPr>
          <w:p>
            <w:pPr>
              <w:pStyle w:val="null3"/>
            </w:pPr>
            <w:r>
              <w:rPr>
                <w:rFonts w:ascii="仿宋_GB2312" w:hAnsi="仿宋_GB2312" w:cs="仿宋_GB2312" w:eastAsia="仿宋_GB2312"/>
              </w:rPr>
              <w:t>服务期限响应⽂件要求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法律、法规和招标⽂件规定的其他 ⽆效投标情形</w:t>
            </w:r>
          </w:p>
        </w:tc>
        <w:tc>
          <w:tcPr>
            <w:tcW w:type="dxa" w:w="3322"/>
          </w:tcPr>
          <w:p>
            <w:pPr>
              <w:pStyle w:val="null3"/>
            </w:pPr>
            <w:r>
              <w:rPr>
                <w:rFonts w:ascii="仿宋_GB2312" w:hAnsi="仿宋_GB2312" w:cs="仿宋_GB2312" w:eastAsia="仿宋_GB2312"/>
              </w:rPr>
              <w:t>⽆法律、法规和招标⽂件规定的其他⽆效投标情形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 xml:space="preserve"> 一、谈判小组所有成员集中与单一供应商分别进行一轮或多轮谈判，并给予所有参加谈判的供应商平等的谈判机会。谈判顺序由谈判小组组长以在线抽签的方式确定。谈判过程中，谈判小组可以根据谈判情况调整谈判轮次。</w:t>
      </w:r>
    </w:p>
    <w:p>
      <w:pPr>
        <w:pStyle w:val="null3"/>
        <w:ind w:firstLine="480"/>
      </w:pPr>
      <w:r>
        <w:rPr>
          <w:rFonts w:ascii="仿宋_GB2312" w:hAnsi="仿宋_GB2312" w:cs="仿宋_GB2312" w:eastAsia="仿宋_GB2312"/>
        </w:rPr>
        <w:t>二、每轮谈判开始前，谈判小组应根据谈判文件的规定，并结合各供应商的响应文件拟定谈判内容。</w:t>
      </w:r>
    </w:p>
    <w:p>
      <w:pPr>
        <w:pStyle w:val="null3"/>
        <w:ind w:firstLine="480"/>
      </w:pPr>
      <w:r>
        <w:rPr>
          <w:rFonts w:ascii="仿宋_GB2312" w:hAnsi="仿宋_GB2312" w:cs="仿宋_GB2312" w:eastAsia="仿宋_GB2312"/>
        </w:rPr>
        <w:t xml:space="preserve"> 三、在谈判过程中，谈判小组在获得采购人代表确认的前提下，可以根据谈判文件第三章、第五章规定的可实质性变动内容和谈判情况实质性变动谈判文件的技术、服务要求以及合同草案条款，但不得变动谈判文件中的其他内容。</w:t>
      </w:r>
    </w:p>
    <w:p>
      <w:pPr>
        <w:pStyle w:val="null3"/>
        <w:ind w:firstLine="480"/>
      </w:pPr>
      <w:r>
        <w:rPr>
          <w:rFonts w:ascii="仿宋_GB2312" w:hAnsi="仿宋_GB2312" w:cs="仿宋_GB2312" w:eastAsia="仿宋_GB2312"/>
        </w:rPr>
        <w:t xml:space="preserve"> 四、对谈判文件作出的实质性变动是谈判文件的有效组成部分，谈判小组应当及时以书面形式同时通知所有参加谈判的供应商。</w:t>
      </w:r>
    </w:p>
    <w:p>
      <w:pPr>
        <w:pStyle w:val="null3"/>
        <w:ind w:firstLine="480"/>
      </w:pPr>
      <w:r>
        <w:rPr>
          <w:rFonts w:ascii="仿宋_GB2312" w:hAnsi="仿宋_GB2312" w:cs="仿宋_GB2312" w:eastAsia="仿宋_GB2312"/>
        </w:rPr>
        <w:t xml:space="preserve"> 五、谈判过程中，谈判文件变动的，供应商应当按照谈判文件的变动情况和谈判小组的要求就谈判文件变动部分提交书面响应材料，并作为响应文件的组成部分。</w:t>
      </w:r>
    </w:p>
    <w:p>
      <w:pPr>
        <w:pStyle w:val="null3"/>
        <w:ind w:firstLine="480"/>
      </w:pPr>
      <w:r>
        <w:rPr>
          <w:rFonts w:ascii="仿宋_GB2312" w:hAnsi="仿宋_GB2312" w:cs="仿宋_GB2312" w:eastAsia="仿宋_GB2312"/>
        </w:rPr>
        <w:t>六、经最终谈判后，响应文件仍有下列情况之一的，应按照无效响应文件处理：</w:t>
      </w:r>
    </w:p>
    <w:p>
      <w:pPr>
        <w:pStyle w:val="null3"/>
        <w:ind w:firstLine="480"/>
      </w:pPr>
      <w:r>
        <w:rPr>
          <w:rFonts w:ascii="仿宋_GB2312" w:hAnsi="仿宋_GB2312" w:cs="仿宋_GB2312" w:eastAsia="仿宋_GB2312"/>
        </w:rPr>
        <w:t>（一）响应文件仍不能实质响应谈判文件的实质性要求的；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十、谈判过程中，谈判小组发现或者知晓供应商存在违法行为的，应当在谈判情况记录表中予以注明，并向本级财政部门报告，依法应将该供应商响应文件作无效处理的，应当作无效处理。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三、供应商在未提高响应文件中承诺的标准情况下，其最后报价不得高于对该项目之前的报价，否则，谈判小组应当对其响应文件作无效处理，并通过项目电子化交易系统告知供应商，说明理由。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注：</w:t>
      </w:r>
    </w:p>
    <w:p>
      <w:pPr>
        <w:pStyle w:val="null3"/>
        <w:ind w:firstLine="480"/>
      </w:pPr>
      <w:r>
        <w:rPr>
          <w:rFonts w:ascii="仿宋_GB2312" w:hAnsi="仿宋_GB2312" w:cs="仿宋_GB2312" w:eastAsia="仿宋_GB2312"/>
        </w:rPr>
        <w:t xml:space="preserve"> 1.参加政府采购活动的中小企业应当提供《中小企业声明函》。监狱企业应当提供监狱企业证明复印件。残疾人福利性单位应当提供《残疾人福利性单位声明函》。（格式详见第七章）未提供的，视为放弃享受小微企业价格扣除优惠政策。</w:t>
      </w:r>
    </w:p>
    <w:p>
      <w:pPr>
        <w:pStyle w:val="null3"/>
        <w:ind w:firstLine="480"/>
      </w:pPr>
      <w:r>
        <w:rPr>
          <w:rFonts w:ascii="仿宋_GB2312" w:hAnsi="仿宋_GB2312" w:cs="仿宋_GB2312" w:eastAsia="仿宋_GB2312"/>
        </w:rPr>
        <w:t xml:space="preserve"> 2.组成联合体或者接受分包的小微企业与联合体内其他企业、分包企业之间存在直接控股、管理关系的，不享受价格扣除优惠政策。</w:t>
      </w:r>
    </w:p>
    <w:p>
      <w:pPr>
        <w:pStyle w:val="null3"/>
        <w:ind w:firstLine="480"/>
      </w:pPr>
      <w:r>
        <w:rPr>
          <w:rFonts w:ascii="仿宋_GB2312" w:hAnsi="仿宋_GB2312" w:cs="仿宋_GB2312" w:eastAsia="仿宋_GB2312"/>
        </w:rPr>
        <w:t xml:space="preserve"> 3.依据《政府采购促进中小企业发展管理办法》（财库〔2020〕46号）规定享受扶持政策的小微企业，不得将合同分包给大中型企业，中型企业不得将合同分包给大型企业。</w:t>
      </w:r>
    </w:p>
    <w:p>
      <w:pPr>
        <w:pStyle w:val="null3"/>
        <w:outlineLvl w:val="3"/>
      </w:pPr>
      <w:r>
        <w:rPr>
          <w:rFonts w:ascii="仿宋_GB2312" w:hAnsi="仿宋_GB2312" w:cs="仿宋_GB2312" w:eastAsia="仿宋_GB2312"/>
          <w:sz w:val="24"/>
          <w:b/>
        </w:rPr>
        <w:t>6.3.6解释、澄清有关问题</w:t>
      </w:r>
    </w:p>
    <w:p>
      <w:pPr>
        <w:pStyle w:val="null3"/>
        <w:ind w:firstLine="480"/>
      </w:pPr>
      <w:r>
        <w:rPr>
          <w:rFonts w:ascii="仿宋_GB2312" w:hAnsi="仿宋_GB2312" w:cs="仿宋_GB2312" w:eastAsia="仿宋_GB2312"/>
        </w:rPr>
        <w:t xml:space="preserve"> 一、评审过程中，谈判小组认为谈判文件有关事项表述不明确或需要说明的，可以提请代理机构书面解释。代理机构的解释不得改变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谈判小组应当要求供应商作出必要的澄清、说明或者更正，并给予供应商必要的反馈时间。供应商应当按谈判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谈判文件变为响应谈判文件的条件。下列内容不得澄清：</w:t>
      </w:r>
    </w:p>
    <w:p>
      <w:pPr>
        <w:pStyle w:val="null3"/>
        <w:ind w:firstLine="480"/>
      </w:pPr>
      <w:r>
        <w:rPr>
          <w:rFonts w:ascii="仿宋_GB2312" w:hAnsi="仿宋_GB2312" w:cs="仿宋_GB2312" w:eastAsia="仿宋_GB2312"/>
        </w:rPr>
        <w:t>（一）供应商响应文件中不响应谈判文件规定的技术参数指标和商务应答；</w:t>
      </w:r>
    </w:p>
    <w:p>
      <w:pPr>
        <w:pStyle w:val="null3"/>
        <w:ind w:firstLine="480"/>
      </w:pPr>
      <w:r>
        <w:rPr>
          <w:rFonts w:ascii="仿宋_GB2312" w:hAnsi="仿宋_GB2312" w:cs="仿宋_GB2312" w:eastAsia="仿宋_GB2312"/>
        </w:rPr>
        <w:t>（二）供应商响应文件中未提供的证明其是否符合谈判文件资格、符合性规定要求的相关材料。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五、代理机构宣布评审结束前，供应商应通过项目电子化交易系统随时关注评审消息提示，及时响应谈判小组发出的澄清、说明或者更正要求。供应商未能及时响应的，自行承担不利后果。</w:t>
      </w:r>
    </w:p>
    <w:p>
      <w:pPr>
        <w:pStyle w:val="null3"/>
        <w:ind w:firstLine="480"/>
      </w:pPr>
      <w:r>
        <w:rPr>
          <w:rFonts w:ascii="仿宋_GB2312" w:hAnsi="仿宋_GB2312" w:cs="仿宋_GB2312" w:eastAsia="仿宋_GB2312"/>
        </w:rPr>
        <w:t>六、谈判小组应当积极履行澄清、说明或者更正的职责，不得滥用权力。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谈判小组复核后，应当从质量和服务均能满足采购文件实质性响应要求的供应商中，按照最后报价由低到高顺序推荐如下家数成交候选供应商，并编写谈判报告。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6.3.9采购组织单位现场复核评审结果</w:t>
      </w:r>
    </w:p>
    <w:p>
      <w:pPr>
        <w:pStyle w:val="null3"/>
        <w:ind w:firstLine="480"/>
      </w:pPr>
      <w:r>
        <w:rPr>
          <w:rFonts w:ascii="仿宋_GB2312" w:hAnsi="仿宋_GB2312" w:cs="仿宋_GB2312" w:eastAsia="仿宋_GB2312"/>
        </w:rPr>
        <w:t xml:space="preserve"> 一、推荐成交候选供应商后，谈判小组拟出具谈判报告前，代理机构应当组织2名以上的本单位工作人员，在采购现场监督人员的监督之下，依据有关的法律制度和谈判文件对评审结果进行复核，出具复核报告，存在价格计算错误的，代理机构应当根据情况通过项目电子化交易系统建议谈判小组现场修改评审结果。由谈判小组自主决定是否采纳代理机构的建议并通过项目电子化交易系统确认，并承担独立评审责任。</w:t>
      </w:r>
    </w:p>
    <w:p>
      <w:pPr>
        <w:pStyle w:val="null3"/>
        <w:ind w:firstLine="480"/>
      </w:pPr>
      <w:r>
        <w:rPr>
          <w:rFonts w:ascii="仿宋_GB2312" w:hAnsi="仿宋_GB2312" w:cs="仿宋_GB2312" w:eastAsia="仿宋_GB2312"/>
        </w:rPr>
        <w:t xml:space="preserve"> 二、谈判小组采纳代理机构建议的，应当按照规定现场通过项目电子化交易系统修改评审结果或者重新评审，并在谈判报告中详细记载有关事宜；不采纳代理机构建议的，应当说明理由。代理机构建议未被谈判小组采纳的，应当接照规定程序要求继续组织实施采购活动，不得擅自中止采购活动。代理机构认为谈判小组评审结果不合法的，应当书面报告采购项目同级财政部门。</w:t>
      </w:r>
    </w:p>
    <w:p>
      <w:pPr>
        <w:pStyle w:val="null3"/>
        <w:ind w:firstLine="480"/>
      </w:pPr>
      <w:r>
        <w:rPr>
          <w:rFonts w:ascii="仿宋_GB2312" w:hAnsi="仿宋_GB2312" w:cs="仿宋_GB2312" w:eastAsia="仿宋_GB2312"/>
        </w:rPr>
        <w:t>三、代理机构复核过程中，谈判小组成员不得离开评审现场。</w:t>
      </w:r>
    </w:p>
    <w:p>
      <w:pPr>
        <w:pStyle w:val="null3"/>
        <w:outlineLvl w:val="3"/>
      </w:pPr>
      <w:r>
        <w:rPr>
          <w:rFonts w:ascii="仿宋_GB2312" w:hAnsi="仿宋_GB2312" w:cs="仿宋_GB2312" w:eastAsia="仿宋_GB2312"/>
          <w:sz w:val="24"/>
          <w:b/>
        </w:rPr>
        <w:t>6.3.10编写谈判报告</w:t>
      </w:r>
    </w:p>
    <w:p>
      <w:pPr>
        <w:pStyle w:val="null3"/>
        <w:ind w:firstLine="480"/>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二、评审日期和地点，谈判小组成员名单；</w:t>
      </w:r>
    </w:p>
    <w:p>
      <w:pPr>
        <w:pStyle w:val="null3"/>
        <w:ind w:firstLine="480"/>
      </w:pPr>
      <w:r>
        <w:rPr>
          <w:rFonts w:ascii="仿宋_GB2312" w:hAnsi="仿宋_GB2312" w:cs="仿宋_GB2312" w:eastAsia="仿宋_GB2312"/>
        </w:rPr>
        <w:t>三、评审情况记录和说明，包括供应商响应文件审查情况、谈判情况、报价情况等；</w:t>
      </w:r>
    </w:p>
    <w:p>
      <w:pPr>
        <w:pStyle w:val="null3"/>
        <w:ind w:firstLine="480"/>
      </w:pPr>
      <w:r>
        <w:rPr>
          <w:rFonts w:ascii="仿宋_GB2312" w:hAnsi="仿宋_GB2312" w:cs="仿宋_GB2312" w:eastAsia="仿宋_GB2312"/>
        </w:rPr>
        <w:t>四、推荐的成交候选人的名单及理由。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书面说明其不同意见和理由的，视为同意谈判报告。</w:t>
      </w:r>
    </w:p>
    <w:p>
      <w:pPr>
        <w:pStyle w:val="null3"/>
        <w:outlineLvl w:val="3"/>
      </w:pPr>
      <w:r>
        <w:rPr>
          <w:rFonts w:ascii="仿宋_GB2312" w:hAnsi="仿宋_GB2312" w:cs="仿宋_GB2312" w:eastAsia="仿宋_GB2312"/>
          <w:sz w:val="24"/>
          <w:b/>
        </w:rPr>
        <w:t>6.3.11谈判异议处理规则</w:t>
      </w:r>
    </w:p>
    <w:p>
      <w:pPr>
        <w:pStyle w:val="null3"/>
        <w:ind w:firstLine="480"/>
      </w:pPr>
      <w:r>
        <w:rPr>
          <w:rFonts w:ascii="仿宋_GB2312" w:hAnsi="仿宋_GB2312" w:cs="仿宋_GB2312" w:eastAsia="仿宋_GB2312"/>
        </w:rPr>
        <w:t xml:space="preserve"> 在谈判过程中，谈判小组成员对响应文件是否符合谈判文件规定存在争议的，应当以少数服从多数的原则处理，但不得违背谈判文件规定。有不同意见的谈判小组成员认为认定过程和结果不符合法律法规或者谈判文件规定的，应当在谈判报告中予以反映。</w:t>
      </w:r>
    </w:p>
    <w:p>
      <w:pPr>
        <w:pStyle w:val="null3"/>
        <w:outlineLvl w:val="3"/>
      </w:pPr>
      <w:r>
        <w:rPr>
          <w:rFonts w:ascii="仿宋_GB2312" w:hAnsi="仿宋_GB2312" w:cs="仿宋_GB2312" w:eastAsia="仿宋_GB2312"/>
          <w:sz w:val="24"/>
          <w:b/>
        </w:rPr>
        <w:t>6.4终止谈判活动情形</w:t>
      </w:r>
    </w:p>
    <w:p>
      <w:pPr>
        <w:pStyle w:val="null3"/>
        <w:ind w:firstLine="480"/>
      </w:pPr>
      <w:r>
        <w:rPr>
          <w:rFonts w:ascii="仿宋_GB2312" w:hAnsi="仿宋_GB2312" w:cs="仿宋_GB2312" w:eastAsia="仿宋_GB2312"/>
        </w:rPr>
        <w:t xml:space="preserve"> 出现下列情形之一的，采购人或者代理机构应当终止竞争性谈判采购活动，发布项目终止公告并说明原因，重新开展采购活动：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6.7谈判小组在政府采购活动中应当遵守以下工作纪律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第七章 响应文件格式</w:t>
      </w:r>
    </w:p>
    <w:p>
      <w:pPr>
        <w:pStyle w:val="null3"/>
        <w:jc w:val="left"/>
      </w:pPr>
      <w:r>
        <w:rPr>
          <w:rFonts w:ascii="仿宋_GB2312" w:hAnsi="仿宋_GB2312" w:cs="仿宋_GB2312" w:eastAsia="仿宋_GB2312"/>
        </w:rPr>
        <w:t>一、本章所制响应文件格式，除格式中明确将该格式作为实质性要求的，不具有强制性。</w:t>
      </w:r>
    </w:p>
    <w:p>
      <w:pPr>
        <w:pStyle w:val="null3"/>
        <w:jc w:val="left"/>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详见附件：方案说明书.docx</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