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版本号：SXJB-SLS-2026022.1B120260828001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质量提升教育资源采购项目(二次)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SXJB-SLS-2026022.1B1</w:t>
      </w:r>
      <w:r>
        <w:br/>
      </w:r>
      <w:r>
        <w:br/>
      </w:r>
      <w:r>
        <w:br/>
      </w:r>
    </w:p>
    <w:p>
      <w:pPr>
        <w:pStyle w:val="null3"/>
        <w:jc w:val="center"/>
        <w:outlineLvl w:val="2"/>
      </w:pPr>
      <w:r>
        <w:rPr>
          <w:rFonts w:ascii="仿宋_GB2312" w:hAnsi="仿宋_GB2312" w:cs="仿宋_GB2312" w:eastAsia="仿宋_GB2312"/>
          <w:sz w:val="28"/>
          <w:b/>
        </w:rPr>
        <w:t>陕西省商洛中学</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陕西省商洛中学</w:t>
      </w:r>
      <w:r>
        <w:rPr>
          <w:rFonts w:ascii="仿宋_GB2312" w:hAnsi="仿宋_GB2312" w:cs="仿宋_GB2312" w:eastAsia="仿宋_GB2312"/>
        </w:rPr>
        <w:t>委托，拟对</w:t>
      </w:r>
      <w:r>
        <w:rPr>
          <w:rFonts w:ascii="仿宋_GB2312" w:hAnsi="仿宋_GB2312" w:cs="仿宋_GB2312" w:eastAsia="仿宋_GB2312"/>
        </w:rPr>
        <w:t>质量提升教育资源采购项目(二次)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SXJB-SLS-2026022.1B1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质量提升教育资源采购项目(二次)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本项目为教育资源采购，核心是为我校提供教育质量提升整体方案及方案实施，含优质教学资源、教师培训及配套服务，打造一体化教育模式，旨在丰富教学内容、提升教学质量，助力学校教育教学水平提升。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采购包1（陕西省商洛中学质量提升教育资源采购项目）：属于专门面向中小企业采购。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1、具有独⽴承担⺠事责任的能⼒：提供合格有效的法人或者其他组织的营业执照或事业单位登记证书等证明文件；</w:t>
      </w:r>
    </w:p>
    <w:p>
      <w:pPr>
        <w:pStyle w:val="null3"/>
      </w:pPr>
      <w:r>
        <w:rPr>
          <w:rFonts w:ascii="仿宋_GB2312" w:hAnsi="仿宋_GB2312" w:cs="仿宋_GB2312" w:eastAsia="仿宋_GB2312"/>
        </w:rPr>
        <w:t>2、具有健全的财务会计制度：提供2025年度经审计的财务审计报告(成立时间至提交投标文件截止时间不足一年的可提供成立后任意时段的资产负债表)或开标时间前六个月内银行出具的资信证明:；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3、具有良好的商业信誉：供应商不得为“信用中国”网站(http://www.creditchina.gov.cn/)列入“失信被执行人（页面跳转至“中国执行信息公开网”http://zxgk.court.gov.cn/shixin/）、重大税收违法失信主体、政府采购严重违法失信行为记录名单”的供应商；不得为中国政府采购网(http://www.cc gp.gov.cn/)“政府采购严重违法失信行为记录名单”中的供应商；</w:t>
      </w:r>
    </w:p>
    <w:p>
      <w:pPr>
        <w:pStyle w:val="null3"/>
      </w:pPr>
      <w:r>
        <w:rPr>
          <w:rFonts w:ascii="仿宋_GB2312" w:hAnsi="仿宋_GB2312" w:cs="仿宋_GB2312" w:eastAsia="仿宋_GB2312"/>
        </w:rPr>
        <w:t>4、社会保障资金缴纳证明：提供投标截止之日前六个月内已缴存的至少一个月的社会保障资金缴存单据或社保机构开具的社会保险参保缴费情况证明，依法不需要缴纳社会保障资金的单位应提供相关证明材料；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5、税收缴纳证明：提供投标截止之日前六个月内已缴纳的至少一个月的纳税证明或完税证明（任意税种），依法免税的单位应提供相关证明材料；</w:t>
      </w:r>
    </w:p>
    <w:p>
      <w:pPr>
        <w:pStyle w:val="null3"/>
      </w:pPr>
      <w:r>
        <w:rPr>
          <w:rFonts w:ascii="仿宋_GB2312" w:hAnsi="仿宋_GB2312" w:cs="仿宋_GB2312" w:eastAsia="仿宋_GB2312"/>
        </w:rPr>
        <w:t>6、具有履⾏合同所必需的设备和专业技术能⼒：供应商应具有与本次服务相匹配的履约能力（提供承诺书）</w:t>
      </w:r>
    </w:p>
    <w:p>
      <w:pPr>
        <w:pStyle w:val="null3"/>
      </w:pPr>
      <w:r>
        <w:rPr>
          <w:rFonts w:ascii="仿宋_GB2312" w:hAnsi="仿宋_GB2312" w:cs="仿宋_GB2312" w:eastAsia="仿宋_GB2312"/>
        </w:rPr>
        <w:t>7、重大违法记录的书面声明：提供参加政府采购活动前3年内在经营活动中没有重大违法记录的书面声明；</w:t>
      </w:r>
    </w:p>
    <w:p>
      <w:pPr>
        <w:pStyle w:val="null3"/>
      </w:pPr>
      <w:r>
        <w:rPr>
          <w:rFonts w:ascii="仿宋_GB2312" w:hAnsi="仿宋_GB2312" w:cs="仿宋_GB2312" w:eastAsia="仿宋_GB2312"/>
        </w:rPr>
        <w:t>8、提供法定代表人授权委托书：提供法定代表人授权委托书（附法定代表人或负责人身份证复印件及被授权人身份证复印件）及被授权代表人近三个月任意一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9、非联合体投标声明：本项目不接受联合体投标，投标人应提供非联合体投标声明；</w:t>
      </w:r>
    </w:p>
    <w:p>
      <w:pPr>
        <w:pStyle w:val="null3"/>
      </w:pPr>
      <w:r>
        <w:rPr>
          <w:rFonts w:ascii="仿宋_GB2312" w:hAnsi="仿宋_GB2312" w:cs="仿宋_GB2312" w:eastAsia="仿宋_GB2312"/>
        </w:rPr>
        <w:t>10、中小企业声明：按要求提供中小企业声明。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商洛市商州区民主西路西段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18091441117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 11 栋 2 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实际成交金额按服务类标准计取，参照原国家计委《关于印发招标代理服务收费管理暂行办法的通知》（计价格〔2002〕1980号）、发改办价格〔2003〕857号及国家发展改革委发改价格〔2011〕534号文件规定收费标准计取该项目招标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陕西省商洛中学</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陕西省商洛中学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中标人应当保证项目交付的课程、课件、音视频、讲义、题库等全部资料不存在知识产权瑕疵，所有图片、字体、音频、文字素材均具备合法授权，不得侵犯第三方著作权、肖像权等权利。因知识产权纠纷产生的一切经济损失与法律责任，全部由中标人承担。 2.本项目定制开发形成课程成果知识产权归采购人所有，采购人享有复制、修改、传播、二次开发等全部使用权利。中标人未经采购人书面许可，不得将本项目课程成果用于本项目以外任何商业用途。 3.中标人自有成熟课程提供服务的，须明确许可采购人使用范围，严禁采购人录屏传播、转售课程资源。</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验收考核标准 （1）课程材料及测试报告完整、且考核满意度80%及以上的为合格，支付100%的合同款； （2）课程材料或测试报告不完整、或考核满意度80%以下的，支付95%的合同款（扣除5%合同款作为惩戒）。 （3）课程材料或测试报告不完整、且考核满意度80%以下的，支付50%的合同款（扣除50%合同款作为惩戒）</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联系人：郭龙</w:t>
      </w:r>
    </w:p>
    <w:p>
      <w:pPr>
        <w:pStyle w:val="null3"/>
      </w:pPr>
      <w:r>
        <w:rPr>
          <w:rFonts w:ascii="仿宋_GB2312" w:hAnsi="仿宋_GB2312" w:cs="仿宋_GB2312" w:eastAsia="仿宋_GB2312"/>
        </w:rPr>
        <w:t>联系电话：0914-2382812</w:t>
      </w:r>
    </w:p>
    <w:p>
      <w:pPr>
        <w:pStyle w:val="null3"/>
      </w:pPr>
      <w:r>
        <w:rPr>
          <w:rFonts w:ascii="仿宋_GB2312" w:hAnsi="仿宋_GB2312" w:cs="仿宋_GB2312" w:eastAsia="仿宋_GB2312"/>
        </w:rPr>
        <w:t>地址：商洛市商州区民主西路西段</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 11 栋 2 层201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本项目为教育资源采购，核心是为我校提供教育质量提升整体方案及方案实施，含优质教学资源、教师培训及配套服务，打造一体化教育模式，旨在丰富教学内容、提升教学质量，助力学校教育教学水平提升。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1,585,000.00</w:t>
      </w:r>
    </w:p>
    <w:p>
      <w:pPr>
        <w:pStyle w:val="null3"/>
      </w:pPr>
      <w:r>
        <w:rPr>
          <w:rFonts w:ascii="仿宋_GB2312" w:hAnsi="仿宋_GB2312" w:cs="仿宋_GB2312" w:eastAsia="仿宋_GB2312"/>
        </w:rPr>
        <w:t>采购包最高限价（元）: 1,585,000.00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陕西省商洛中学质量提升教育资源采购项目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标的名称：陕西省商洛中学质量提升教育资源采购项目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0"/>
              </w:rPr>
              <w:t>一、课程内容</w:t>
            </w:r>
          </w:p>
          <w:p>
            <w:pPr>
              <w:pStyle w:val="null3"/>
              <w:ind w:firstLine="48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线上课程</w:t>
            </w:r>
          </w:p>
          <w:tbl>
            <w:tblPr>
              <w:tblBorders>
                <w:top w:val="none" w:color="000000" w:sz="4"/>
                <w:left w:val="none" w:color="000000" w:sz="4"/>
                <w:bottom w:val="none" w:color="000000" w:sz="4"/>
                <w:right w:val="none" w:color="000000" w:sz="4"/>
                <w:insideH w:val="none"/>
                <w:insideV w:val="none"/>
              </w:tblBorders>
            </w:tblPr>
            <w:tblGrid>
              <w:gridCol w:w="727"/>
              <w:gridCol w:w="335"/>
              <w:gridCol w:w="242"/>
              <w:gridCol w:w="265"/>
              <w:gridCol w:w="331"/>
              <w:gridCol w:w="261"/>
              <w:gridCol w:w="377"/>
            </w:tblGrid>
            <w:tr>
              <w:tc>
                <w:tcPr>
                  <w:tcW w:type="dxa" w:w="727"/>
                  <w:vMerge w:val="restart"/>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课程名称</w:t>
                  </w:r>
                </w:p>
              </w:tc>
              <w:tc>
                <w:tcPr>
                  <w:tcW w:type="dxa" w:w="1811"/>
                  <w:gridSpan w:val="6"/>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课程配套</w:t>
                  </w:r>
                </w:p>
              </w:tc>
            </w:tr>
            <w:tr>
              <w:tc>
                <w:tcPr>
                  <w:tcW w:type="dxa" w:w="727"/>
                  <w:vMerge/>
                  <w:tcBorders>
                    <w:top w:val="singl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教学时长</w:t>
                  </w:r>
                </w:p>
              </w:tc>
              <w:tc>
                <w:tcPr>
                  <w:tcW w:type="dxa" w:w="242"/>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同步讲义</w:t>
                  </w:r>
                </w:p>
              </w:tc>
              <w:tc>
                <w:tcPr>
                  <w:tcW w:type="dxa" w:w="265"/>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配套习题</w:t>
                  </w:r>
                </w:p>
              </w:tc>
              <w:tc>
                <w:tcPr>
                  <w:tcW w:type="dxa" w:w="331"/>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中期检测</w:t>
                  </w:r>
                </w:p>
              </w:tc>
              <w:tc>
                <w:tcPr>
                  <w:tcW w:type="dxa" w:w="261"/>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单元检测</w:t>
                  </w:r>
                </w:p>
              </w:tc>
              <w:tc>
                <w:tcPr>
                  <w:tcW w:type="dxa" w:w="377"/>
                  <w:tcBorders>
                    <w:top w:val="single" w:color="000000" w:sz="4"/>
                    <w:left w:val="single" w:color="000000" w:sz="4"/>
                    <w:bottom w:val="single" w:color="000000" w:sz="4"/>
                    <w:right w:val="single" w:color="000000" w:sz="4"/>
                  </w:tcBorders>
                  <w:shd w:fill="4874CB"/>
                  <w:tcMar>
                    <w:top w:type="dxa" w:w="0"/>
                    <w:left w:type="dxa" w:w="60"/>
                    <w:bottom w:type="dxa" w:w="0"/>
                    <w:right w:type="dxa" w:w="60"/>
                  </w:tcMar>
                  <w:vAlign w:val="top"/>
                </w:tcPr>
                <w:p>
                  <w:pPr>
                    <w:pStyle w:val="null3"/>
                    <w:jc w:val="center"/>
                  </w:pPr>
                  <w:r>
                    <w:rPr>
                      <w:rFonts w:ascii="仿宋_GB2312" w:hAnsi="仿宋_GB2312" w:cs="仿宋_GB2312" w:eastAsia="仿宋_GB2312"/>
                      <w:sz w:val="18"/>
                      <w:b/>
                      <w:color w:val="000000"/>
                    </w:rPr>
                    <w:t>结课检测</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初高数学思维衔接</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40</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初高物理思维衔接</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40</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数学竞赛（一试）课程</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135</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45</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45</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4</w:t>
                  </w:r>
                  <w:r>
                    <w:rPr>
                      <w:rFonts w:ascii="仿宋_GB2312" w:hAnsi="仿宋_GB2312" w:cs="仿宋_GB2312" w:eastAsia="仿宋_GB2312"/>
                      <w:sz w:val="18"/>
                      <w:color w:val="000000"/>
                    </w:rPr>
                    <w:t>次</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物理竞赛（中学物理）课程</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135</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45</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45</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5</w:t>
                  </w:r>
                  <w:r>
                    <w:rPr>
                      <w:rFonts w:ascii="仿宋_GB2312" w:hAnsi="仿宋_GB2312" w:cs="仿宋_GB2312" w:eastAsia="仿宋_GB2312"/>
                      <w:sz w:val="18"/>
                      <w:color w:val="000000"/>
                    </w:rPr>
                    <w:t>次</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高一强基数学课程</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32</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16</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16</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高一强基物理课程</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32</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16</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16</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高二强基数学课程</w:t>
                  </w:r>
                  <w:r>
                    <w:rPr>
                      <w:rFonts w:ascii="仿宋_GB2312" w:hAnsi="仿宋_GB2312" w:cs="仿宋_GB2312" w:eastAsia="仿宋_GB2312"/>
                      <w:sz w:val="16"/>
                      <w:color w:val="000000"/>
                    </w:rPr>
                    <w:t>（高考</w:t>
                  </w:r>
                  <w:r>
                    <w:rPr>
                      <w:rFonts w:ascii="仿宋_GB2312" w:hAnsi="仿宋_GB2312" w:cs="仿宋_GB2312" w:eastAsia="仿宋_GB2312"/>
                      <w:sz w:val="16"/>
                      <w:color w:val="000000"/>
                    </w:rPr>
                    <w:t>+</w:t>
                  </w:r>
                  <w:r>
                    <w:rPr>
                      <w:rFonts w:ascii="仿宋_GB2312" w:hAnsi="仿宋_GB2312" w:cs="仿宋_GB2312" w:eastAsia="仿宋_GB2312"/>
                      <w:sz w:val="16"/>
                      <w:color w:val="000000"/>
                    </w:rPr>
                    <w:t>强基）</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60</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30</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30</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次</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高二强基物理课程</w:t>
                  </w:r>
                  <w:r>
                    <w:rPr>
                      <w:rFonts w:ascii="仿宋_GB2312" w:hAnsi="仿宋_GB2312" w:cs="仿宋_GB2312" w:eastAsia="仿宋_GB2312"/>
                      <w:sz w:val="16"/>
                      <w:color w:val="000000"/>
                    </w:rPr>
                    <w:t>（高考</w:t>
                  </w:r>
                  <w:r>
                    <w:rPr>
                      <w:rFonts w:ascii="仿宋_GB2312" w:hAnsi="仿宋_GB2312" w:cs="仿宋_GB2312" w:eastAsia="仿宋_GB2312"/>
                      <w:sz w:val="16"/>
                      <w:color w:val="000000"/>
                    </w:rPr>
                    <w:t>+</w:t>
                  </w:r>
                  <w:r>
                    <w:rPr>
                      <w:rFonts w:ascii="仿宋_GB2312" w:hAnsi="仿宋_GB2312" w:cs="仿宋_GB2312" w:eastAsia="仿宋_GB2312"/>
                      <w:sz w:val="16"/>
                      <w:color w:val="000000"/>
                    </w:rPr>
                    <w:t>强基）</w:t>
                  </w:r>
                </w:p>
              </w:tc>
              <w:tc>
                <w:tcPr>
                  <w:tcW w:type="dxa" w:w="3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60</w:t>
                  </w:r>
                  <w:r>
                    <w:rPr>
                      <w:rFonts w:ascii="仿宋_GB2312" w:hAnsi="仿宋_GB2312" w:cs="仿宋_GB2312" w:eastAsia="仿宋_GB2312"/>
                      <w:sz w:val="18"/>
                      <w:color w:val="000000"/>
                    </w:rPr>
                    <w:t>小时</w:t>
                  </w:r>
                </w:p>
              </w:tc>
              <w:tc>
                <w:tcPr>
                  <w:tcW w:type="dxa" w:w="2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30</w:t>
                  </w:r>
                  <w:r>
                    <w:rPr>
                      <w:rFonts w:ascii="仿宋_GB2312" w:hAnsi="仿宋_GB2312" w:cs="仿宋_GB2312" w:eastAsia="仿宋_GB2312"/>
                      <w:sz w:val="18"/>
                      <w:color w:val="000000"/>
                    </w:rPr>
                    <w:t>讲</w:t>
                  </w:r>
                </w:p>
              </w:tc>
              <w:tc>
                <w:tcPr>
                  <w:tcW w:type="dxa" w:w="2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30</w:t>
                  </w:r>
                  <w:r>
                    <w:rPr>
                      <w:rFonts w:ascii="仿宋_GB2312" w:hAnsi="仿宋_GB2312" w:cs="仿宋_GB2312" w:eastAsia="仿宋_GB2312"/>
                      <w:sz w:val="18"/>
                      <w:color w:val="000000"/>
                    </w:rPr>
                    <w:t>套</w:t>
                  </w:r>
                </w:p>
              </w:tc>
              <w:tc>
                <w:tcPr>
                  <w:tcW w:type="dxa" w:w="3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c>
                <w:tcPr>
                  <w:tcW w:type="dxa" w:w="2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次</w:t>
                  </w:r>
                </w:p>
              </w:tc>
              <w:tc>
                <w:tcPr>
                  <w:tcW w:type="dxa" w:w="3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次</w:t>
                  </w:r>
                </w:p>
              </w:tc>
            </w:tr>
            <w:tr>
              <w:tc>
                <w:tcPr>
                  <w:tcW w:type="dxa" w:w="7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18"/>
                      <w:color w:val="000000"/>
                    </w:rPr>
                    <w:t>三师交互终端（</w:t>
                  </w:r>
                  <w:r>
                    <w:rPr>
                      <w:rFonts w:ascii="仿宋_GB2312" w:hAnsi="仿宋_GB2312" w:cs="仿宋_GB2312" w:eastAsia="仿宋_GB2312"/>
                      <w:sz w:val="18"/>
                      <w:color w:val="000000"/>
                    </w:rPr>
                    <w:t>5</w:t>
                  </w:r>
                  <w:r>
                    <w:rPr>
                      <w:rFonts w:ascii="仿宋_GB2312" w:hAnsi="仿宋_GB2312" w:cs="仿宋_GB2312" w:eastAsia="仿宋_GB2312"/>
                      <w:sz w:val="18"/>
                      <w:color w:val="000000"/>
                    </w:rPr>
                    <w:t>套）</w:t>
                  </w:r>
                </w:p>
              </w:tc>
              <w:tc>
                <w:tcPr>
                  <w:tcW w:type="dxa" w:w="1811"/>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0"/>
                      <w:color w:val="000000"/>
                    </w:rPr>
                    <w:t>该套设备由视频互动主机、高清摄像头、全向麦</w:t>
                  </w:r>
                  <w:r>
                    <w:rPr>
                      <w:rFonts w:ascii="仿宋_GB2312" w:hAnsi="仿宋_GB2312" w:cs="仿宋_GB2312" w:eastAsia="仿宋_GB2312"/>
                      <w:sz w:val="20"/>
                      <w:color w:val="000000"/>
                    </w:rPr>
                    <w:t>/</w:t>
                  </w:r>
                  <w:r>
                    <w:rPr>
                      <w:rFonts w:ascii="仿宋_GB2312" w:hAnsi="仿宋_GB2312" w:cs="仿宋_GB2312" w:eastAsia="仿宋_GB2312"/>
                      <w:sz w:val="20"/>
                      <w:color w:val="000000"/>
                    </w:rPr>
                    <w:t>耳麦及相关配件组成，用于老师直播画面和声音采集，并实现本地直播间老师与异地听课教室学生</w:t>
                  </w:r>
                  <w:r>
                    <w:rPr>
                      <w:rFonts w:ascii="仿宋_GB2312" w:hAnsi="仿宋_GB2312" w:cs="仿宋_GB2312" w:eastAsia="仿宋_GB2312"/>
                      <w:sz w:val="20"/>
                      <w:color w:val="000000"/>
                    </w:rPr>
                    <w:t>/</w:t>
                  </w:r>
                  <w:r>
                    <w:rPr>
                      <w:rFonts w:ascii="仿宋_GB2312" w:hAnsi="仿宋_GB2312" w:cs="仿宋_GB2312" w:eastAsia="仿宋_GB2312"/>
                      <w:sz w:val="20"/>
                      <w:color w:val="000000"/>
                    </w:rPr>
                    <w:t>助教的远程音视频实时互动。</w:t>
                  </w:r>
                </w:p>
              </w:tc>
            </w:tr>
          </w:tbl>
          <w:p>
            <w:pPr>
              <w:pStyle w:val="nul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精准备考</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901"/>
              <w:gridCol w:w="1648"/>
            </w:tblGrid>
            <w:tr>
              <w:tc>
                <w:tcPr>
                  <w:tcW w:type="dxa" w:w="901"/>
                  <w:tcBorders>
                    <w:top w:val="single" w:color="000000" w:sz="4"/>
                    <w:left w:val="single" w:color="000000" w:sz="4"/>
                    <w:bottom w:val="single" w:color="000000" w:sz="4"/>
                    <w:right w:val="single" w:color="000000" w:sz="4"/>
                  </w:tcBorders>
                  <w:shd w:fill="4874CB"/>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FFFFFF"/>
                    </w:rPr>
                    <w:t>项目名称</w:t>
                  </w:r>
                </w:p>
              </w:tc>
              <w:tc>
                <w:tcPr>
                  <w:tcW w:type="dxa" w:w="1648"/>
                  <w:tcBorders>
                    <w:top w:val="single" w:color="000000" w:sz="4"/>
                    <w:left w:val="single" w:color="000000" w:sz="4"/>
                    <w:bottom w:val="single" w:color="000000" w:sz="4"/>
                    <w:right w:val="single" w:color="000000" w:sz="4"/>
                  </w:tcBorders>
                  <w:shd w:fill="4874CB"/>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FFFFFF"/>
                    </w:rPr>
                    <w:t>项目明细</w:t>
                  </w:r>
                </w:p>
              </w:tc>
            </w:tr>
            <w:tr>
              <w:tc>
                <w:tcPr>
                  <w:tcW w:type="dxa" w:w="9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高三复习精准备考项目</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第一阶段：高考复习精准备考入校诊断与评估</w:t>
                  </w:r>
                </w:p>
              </w:tc>
            </w:tr>
            <w:tr>
              <w:tc>
                <w:tcPr>
                  <w:tcW w:type="dxa" w:w="901"/>
                  <w:vMerge/>
                  <w:tcBorders>
                    <w:top w:val="none" w:color="000000" w:sz="4"/>
                    <w:left w:val="single" w:color="000000" w:sz="4"/>
                    <w:bottom w:val="single" w:color="000000" w:sz="4"/>
                    <w:right w:val="single" w:color="000000" w:sz="4"/>
                  </w:tcBorders>
                </w:tcP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第二阶段：高考备考专题冲刺</w:t>
                  </w:r>
                  <w:r>
                    <w:rPr>
                      <w:rFonts w:ascii="仿宋_GB2312" w:hAnsi="仿宋_GB2312" w:cs="仿宋_GB2312" w:eastAsia="仿宋_GB2312"/>
                      <w:sz w:val="18"/>
                      <w:color w:val="000000"/>
                    </w:rPr>
                    <w:t>（具体科目可根据</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实际需求，双方协商后酌情调整，项目总时长为</w:t>
                  </w:r>
                  <w:r>
                    <w:rPr>
                      <w:rFonts w:ascii="仿宋_GB2312" w:hAnsi="仿宋_GB2312" w:cs="仿宋_GB2312" w:eastAsia="仿宋_GB2312"/>
                      <w:sz w:val="18"/>
                      <w:color w:val="000000"/>
                    </w:rPr>
                    <w:t>9天。）</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18"/>
                <w:b/>
                <w:color w:val="000000"/>
              </w:rPr>
              <w:t>二、采购</w:t>
            </w:r>
            <w:r>
              <w:rPr>
                <w:rFonts w:ascii="仿宋_GB2312" w:hAnsi="仿宋_GB2312" w:cs="仿宋_GB2312" w:eastAsia="仿宋_GB2312"/>
                <w:sz w:val="18"/>
                <w:b/>
                <w:color w:val="000000"/>
              </w:rPr>
              <w:t>要求</w:t>
            </w:r>
            <w:r>
              <w:rPr>
                <w:rFonts w:ascii="仿宋_GB2312" w:hAnsi="仿宋_GB2312" w:cs="仿宋_GB2312" w:eastAsia="仿宋_GB2312"/>
                <w:sz w:val="18"/>
                <w:b/>
                <w:color w:val="000000"/>
              </w:rPr>
              <w:t>及</w:t>
            </w:r>
            <w:r>
              <w:rPr>
                <w:rFonts w:ascii="仿宋_GB2312" w:hAnsi="仿宋_GB2312" w:cs="仿宋_GB2312" w:eastAsia="仿宋_GB2312"/>
                <w:sz w:val="18"/>
                <w:b/>
                <w:color w:val="000000"/>
              </w:rPr>
              <w:t>配套服务</w:t>
            </w:r>
          </w:p>
          <w:p>
            <w:pPr>
              <w:pStyle w:val="null3"/>
              <w:ind w:firstLine="280"/>
            </w:pPr>
            <w:r>
              <w:rPr>
                <w:rFonts w:ascii="仿宋_GB2312" w:hAnsi="仿宋_GB2312" w:cs="仿宋_GB2312" w:eastAsia="仿宋_GB2312"/>
                <w:sz w:val="18"/>
                <w:color w:val="000000"/>
              </w:rPr>
              <w:t>（一）采购要求</w:t>
            </w:r>
          </w:p>
          <w:p>
            <w:pPr>
              <w:pStyle w:val="null3"/>
              <w:ind w:firstLine="560"/>
            </w:pPr>
            <w:r>
              <w:rPr>
                <w:rFonts w:ascii="仿宋_GB2312" w:hAnsi="仿宋_GB2312" w:cs="仿宋_GB2312" w:eastAsia="仿宋_GB2312"/>
                <w:sz w:val="18"/>
                <w:color w:val="000000"/>
              </w:rPr>
              <w:t>通过该课程的学习，达成师生共育的总目标，一方面对拔尖学生实施长周期、体系化的培养，扩大优生基数，提升优生层次；另一方面让学校的教练老师在全程跟课学习的过程中，能够实现自我快速成长，同步优化本校拔尖学生的培养体系，实现本校拔尖培养成果持续和稳定增长。</w:t>
            </w:r>
          </w:p>
          <w:p>
            <w:pPr>
              <w:pStyle w:val="null3"/>
              <w:ind w:firstLine="280"/>
            </w:pPr>
            <w:r>
              <w:rPr>
                <w:rFonts w:ascii="仿宋_GB2312" w:hAnsi="仿宋_GB2312" w:cs="仿宋_GB2312" w:eastAsia="仿宋_GB2312"/>
                <w:sz w:val="18"/>
                <w:color w:val="000000"/>
              </w:rPr>
              <w:t>（二）配套服务</w:t>
            </w:r>
          </w:p>
          <w:p>
            <w:pPr>
              <w:pStyle w:val="null3"/>
              <w:ind w:firstLine="560"/>
            </w:pPr>
            <w:r>
              <w:rPr>
                <w:rFonts w:ascii="仿宋_GB2312" w:hAnsi="仿宋_GB2312" w:cs="仿宋_GB2312" w:eastAsia="仿宋_GB2312"/>
                <w:sz w:val="18"/>
                <w:color w:val="000000"/>
              </w:rPr>
              <w:t>1.要求供应商提供学霸助教线上答疑，帮助学生及时解决学习过程中的难点或困惑。</w:t>
            </w:r>
          </w:p>
          <w:p>
            <w:pPr>
              <w:pStyle w:val="null3"/>
              <w:spacing w:after="120"/>
              <w:ind w:firstLine="560"/>
            </w:pPr>
            <w:r>
              <w:rPr>
                <w:rFonts w:ascii="仿宋_GB2312" w:hAnsi="仿宋_GB2312" w:cs="仿宋_GB2312" w:eastAsia="仿宋_GB2312"/>
                <w:sz w:val="18"/>
                <w:color w:val="000000"/>
              </w:rPr>
              <w:t>2.要求供应商提供专职的教务人员、技术保障人员，全程负责线上课程实施过程中的线上教务服务和线上技术保障。</w:t>
            </w:r>
          </w:p>
          <w:p>
            <w:pPr>
              <w:pStyle w:val="null3"/>
              <w:ind w:firstLine="560"/>
            </w:pPr>
            <w:r>
              <w:rPr>
                <w:rFonts w:ascii="仿宋_GB2312" w:hAnsi="仿宋_GB2312" w:cs="仿宋_GB2312" w:eastAsia="仿宋_GB2312"/>
                <w:sz w:val="18"/>
                <w:color w:val="000000"/>
              </w:rPr>
              <w:t>3.要求供应商</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与课程所学内容相配套的配套习题</w:t>
            </w:r>
            <w:r>
              <w:rPr>
                <w:rFonts w:ascii="仿宋_GB2312" w:hAnsi="仿宋_GB2312" w:cs="仿宋_GB2312" w:eastAsia="仿宋_GB2312"/>
                <w:sz w:val="18"/>
                <w:color w:val="000000"/>
              </w:rPr>
              <w:t>、</w:t>
            </w:r>
            <w:r>
              <w:rPr>
                <w:rFonts w:ascii="仿宋_GB2312" w:hAnsi="仿宋_GB2312" w:cs="仿宋_GB2312" w:eastAsia="仿宋_GB2312"/>
                <w:sz w:val="18"/>
                <w:color w:val="000000"/>
              </w:rPr>
              <w:t>阶段检测</w:t>
            </w:r>
            <w:r>
              <w:rPr>
                <w:rFonts w:ascii="仿宋_GB2312" w:hAnsi="仿宋_GB2312" w:cs="仿宋_GB2312" w:eastAsia="仿宋_GB2312"/>
                <w:sz w:val="18"/>
                <w:color w:val="000000"/>
              </w:rPr>
              <w:t>及</w:t>
            </w:r>
            <w:r>
              <w:rPr>
                <w:rFonts w:ascii="仿宋_GB2312" w:hAnsi="仿宋_GB2312" w:cs="仿宋_GB2312" w:eastAsia="仿宋_GB2312"/>
                <w:sz w:val="18"/>
                <w:color w:val="000000"/>
              </w:rPr>
              <w:t>单元检测</w:t>
            </w:r>
            <w:r>
              <w:rPr>
                <w:rFonts w:ascii="仿宋_GB2312" w:hAnsi="仿宋_GB2312" w:cs="仿宋_GB2312" w:eastAsia="仿宋_GB2312"/>
                <w:sz w:val="18"/>
                <w:color w:val="000000"/>
              </w:rPr>
              <w:t>，</w:t>
            </w:r>
            <w:r>
              <w:rPr>
                <w:rFonts w:ascii="仿宋_GB2312" w:hAnsi="仿宋_GB2312" w:cs="仿宋_GB2312" w:eastAsia="仿宋_GB2312"/>
                <w:sz w:val="18"/>
                <w:color w:val="000000"/>
              </w:rPr>
              <w:t>以便学校和授课专家老师</w:t>
            </w:r>
            <w:r>
              <w:rPr>
                <w:rFonts w:ascii="仿宋_GB2312" w:hAnsi="仿宋_GB2312" w:cs="仿宋_GB2312" w:eastAsia="仿宋_GB2312"/>
                <w:sz w:val="18"/>
                <w:color w:val="000000"/>
              </w:rPr>
              <w:t>及时</w:t>
            </w:r>
            <w:r>
              <w:rPr>
                <w:rFonts w:ascii="仿宋_GB2312" w:hAnsi="仿宋_GB2312" w:cs="仿宋_GB2312" w:eastAsia="仿宋_GB2312"/>
                <w:sz w:val="18"/>
                <w:color w:val="000000"/>
              </w:rPr>
              <w:t>知悉</w:t>
            </w:r>
            <w:r>
              <w:rPr>
                <w:rFonts w:ascii="仿宋_GB2312" w:hAnsi="仿宋_GB2312" w:cs="仿宋_GB2312" w:eastAsia="仿宋_GB2312"/>
                <w:sz w:val="18"/>
                <w:color w:val="000000"/>
              </w:rPr>
              <w:t>学</w:t>
            </w:r>
            <w:r>
              <w:rPr>
                <w:rFonts w:ascii="仿宋_GB2312" w:hAnsi="仿宋_GB2312" w:cs="仿宋_GB2312" w:eastAsia="仿宋_GB2312"/>
                <w:sz w:val="18"/>
                <w:color w:val="000000"/>
              </w:rPr>
              <w:t>生</w:t>
            </w:r>
            <w:r>
              <w:rPr>
                <w:rFonts w:ascii="仿宋_GB2312" w:hAnsi="仿宋_GB2312" w:cs="仿宋_GB2312" w:eastAsia="仿宋_GB2312"/>
                <w:sz w:val="18"/>
                <w:color w:val="000000"/>
              </w:rPr>
              <w:t>的</w:t>
            </w:r>
            <w:r>
              <w:rPr>
                <w:rFonts w:ascii="仿宋_GB2312" w:hAnsi="仿宋_GB2312" w:cs="仿宋_GB2312" w:eastAsia="仿宋_GB2312"/>
                <w:sz w:val="18"/>
                <w:color w:val="000000"/>
              </w:rPr>
              <w:t>学</w:t>
            </w:r>
            <w:r>
              <w:rPr>
                <w:rFonts w:ascii="仿宋_GB2312" w:hAnsi="仿宋_GB2312" w:cs="仿宋_GB2312" w:eastAsia="仿宋_GB2312"/>
                <w:sz w:val="18"/>
                <w:color w:val="000000"/>
              </w:rPr>
              <w:t>习</w:t>
            </w:r>
            <w:r>
              <w:rPr>
                <w:rFonts w:ascii="仿宋_GB2312" w:hAnsi="仿宋_GB2312" w:cs="仿宋_GB2312" w:eastAsia="仿宋_GB2312"/>
                <w:sz w:val="18"/>
                <w:color w:val="000000"/>
              </w:rPr>
              <w:t>情</w:t>
            </w:r>
            <w:r>
              <w:rPr>
                <w:rFonts w:ascii="仿宋_GB2312" w:hAnsi="仿宋_GB2312" w:cs="仿宋_GB2312" w:eastAsia="仿宋_GB2312"/>
                <w:sz w:val="18"/>
                <w:color w:val="000000"/>
              </w:rPr>
              <w:t>况</w:t>
            </w:r>
            <w:r>
              <w:rPr>
                <w:rFonts w:ascii="仿宋_GB2312" w:hAnsi="仿宋_GB2312" w:cs="仿宋_GB2312" w:eastAsia="仿宋_GB2312"/>
                <w:sz w:val="18"/>
                <w:color w:val="000000"/>
              </w:rPr>
              <w:t>，诊断课程</w:t>
            </w:r>
            <w:r>
              <w:rPr>
                <w:rFonts w:ascii="仿宋_GB2312" w:hAnsi="仿宋_GB2312" w:cs="仿宋_GB2312" w:eastAsia="仿宋_GB2312"/>
                <w:sz w:val="18"/>
                <w:color w:val="000000"/>
              </w:rPr>
              <w:t>的</w:t>
            </w:r>
            <w:r>
              <w:rPr>
                <w:rFonts w:ascii="仿宋_GB2312" w:hAnsi="仿宋_GB2312" w:cs="仿宋_GB2312" w:eastAsia="仿宋_GB2312"/>
                <w:sz w:val="18"/>
                <w:color w:val="000000"/>
              </w:rPr>
              <w:t>实施效果</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 xml:space="preserve">    4.在课程配套方面，每门课程需要定期有配套的检测试卷（不低于1次），以便采购方（学校）能够定期检测学生的学习情况，并及时将学生的学习情况和综合表现反馈给课程供应商。</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要求供应商提供专职的教务人员、技术保障人员，全程负责线上课程实施过程中的线上教务服务和线上技术保障。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视频互动主机、高清摄像头、全向麦/耳麦及相关配件，用于老师直播画面和声音采集，并实现本地直播间老师与异地听课教室学生/助教的远程音视频实时互动。</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基础课程教学情况，为学校提供选拔及分流测试卷，协助学员动态进出管理，以形成稳定的培养规模；循序渐进地构建知识体系，通过线下集训，实现能力发展的快速进阶，提升学生应对高考能力；线下名师来校分学科教学指导，对高三年级的复课规划管理、学科教师教学教研、广大学生冲刺备考等实际问题进行精准施策，并结合师生反馈具体问题，设计专题冲刺课程，针对性解决学生的学科薄弱问题，助力提高名校上线人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进度款，分四次付款，第一次支付，达到付款条件起90个工作日内，支付合同总金额的25.0%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进度款，第二次支付，达到付款条件起90个工作日内，支付合同总金额的25.0%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进度款，第三次付款，达到付款条件起90个工作日内，支付合同总金额的25.0%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其他，第四次付款，达到付款条件起90个工作日内，支付合同总金额的25.0%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1.⼄⽅交付成果侵犯第三⽅知识产权，由⼄⽅承担全部赔偿、应诉费⽤；给甲⽅造 成损失的另⾏赔偿； 2.⼄⽅未按期交付成果，每逾期⼀⽇，按合同总价万分之五⽀付违约⾦；逾期超过【15】⽇，甲⽅有权单⽅解除合同，⼄⽅返还已收款项并承担违约⾦； 3.违约⾦封顶：除故意侵权、重⼤过失情形外，⼄⽅全部违约赔偿总额不超过合同总价【30%】</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事项：为顺利推进政府采购电子化交易平台应用工作，供应商需要在线提交所有通过电子化交易平台实施的政府采购项目的响应文件，同时，线下提交纸质响应文件正本壹份、副本贰份，电子版响应文件贰份（U盘储存，电子版响应文件应包含响应文件全部内容）。 纸质响应文件正、副本分别胶装（电子版响应文件随同正本密封），标明供应商名称密封递交，递交截止时间同在线递交响应电子文件截止时间一致，递交地址：陕西省商洛市商州区江滨北路公园天下商铺11栋2层。（纸质响应文件可邮寄，仅接受顺丰速运，邮件签收时间应在递交电子响应文件截止时间之前，邮寄地址：陕西省商洛市商州区江滨北路公园天下商铺11栋2层，联系人：陈利娜，联系电话：0914-2335089）。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 报价表 商务部分偏离表.docx 投标人资格证明文件--政府采购承诺书、授权委托书（格式）.docx 响应文件封面 分项报价表.docx 服务方案 详细评审---业绩.docx 标的清单 响应函 技术响应与偏离表.docx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完整版的财务审计报告，成立时间至提交投标文件截止时间不足一年的可提供成立后任意时段的资产负债表，或投标时间前六个月内基本账户银行出具的资信证明及基本存款账户开户许可证或开户银行打印的含有企业基本存款账户编号的《基本存款账户信息》并进行电子签章。</w:t>
            </w:r>
          </w:p>
        </w:tc>
        <w:tc>
          <w:tcPr>
            <w:tcW w:type="dxa" w:w="1661"/>
          </w:tcPr>
          <w:p>
            <w:pPr>
              <w:pStyle w:val="null3"/>
            </w:pPr>
            <w:r>
              <w:rPr>
                <w:rFonts w:ascii="仿宋_GB2312" w:hAnsi="仿宋_GB2312" w:cs="仿宋_GB2312" w:eastAsia="仿宋_GB2312"/>
              </w:rPr>
              <w:t>响应文件封面 商务应答表 详细评审---业绩.docx 服务内容及服务要求应答表 供应商应提交的相关资格证明材料 响应函 投标人资格证明文件--政府采购承诺书、授权委托书（格式）.docx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响应函 投标人资格证明文件--政府采购承诺书、授权委托书（格式）.docx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w:t>
            </w:r>
          </w:p>
        </w:tc>
        <w:tc>
          <w:tcPr>
            <w:tcW w:type="dxa" w:w="3322"/>
          </w:tcPr>
          <w:p>
            <w:pPr>
              <w:pStyle w:val="null3"/>
            </w:pPr>
            <w:r>
              <w:rPr>
                <w:rFonts w:ascii="仿宋_GB2312" w:hAnsi="仿宋_GB2312" w:cs="仿宋_GB2312" w:eastAsia="仿宋_GB2312"/>
              </w:rPr>
              <w:t>提供合格有效的法人或者其他组织的营业执照或事业单位登记证书等证明文件；</w:t>
            </w:r>
          </w:p>
        </w:tc>
        <w:tc>
          <w:tcPr>
            <w:tcW w:type="dxa" w:w="1661"/>
          </w:tcPr>
          <w:p>
            <w:pPr>
              <w:pStyle w:val="null3"/>
            </w:pPr>
            <w:r>
              <w:rPr>
                <w:rFonts w:ascii="仿宋_GB2312" w:hAnsi="仿宋_GB2312" w:cs="仿宋_GB2312" w:eastAsia="仿宋_GB2312"/>
              </w:rPr>
              <w:t>商务应答表 供应商应提交的相关资格证明材料 投标人资格证明文件--政府采购承诺书、授权委托书（格式）.docx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提供2025年度经审计的财务审计报告(成立时间至提交投标文件截止时间不足一年的可提供成立后任意时段的资产负债表)或开标时间前六个月内银行出具的资信证明:；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 投标人资格证明文件--政府采购承诺书、授权委托书（格式）.docx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 gp.gov.cn/)“政府采购严重违法失信行为记录名单”中的供应商；</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响应函 投标人资格证明文件--政府采购承诺书、授权委托书（格式）.docx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商务部分偏离表.docx 响应函 投标人资格证明文件--政府采购承诺书、授权委托书（格式）.docx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提供投标截止之日前六个月内已缴纳的至少一个月的纳税证明或完税证明（任意税种），依法免税的单位应提供相关证明材料；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响应文件封面 服务方案 供应商应提交的相关资格证明材料 服务内容及服务要求应答表 响应函 投标人资格证明文件--政府采购承诺书、授权委托书（格式）.docx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供应商应具有与本次服务相匹配的履约能力（提供承诺书）</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响应函 投标人资格证明文件--政府采购承诺书、授权委托书（格式）.docx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商务部分偏离表.docx 响应函 投标人资格证明文件--政府采购承诺书、授权委托书（格式）.docx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提供法定代表人授权委托书</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任意一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报价表 响应函 投标人资格证明文件--政府采购承诺书、授权委托书（格式）.docx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商务部分偏离表.docx 响应函 投标人资格证明文件--政府采购承诺书、授权委托书（格式）.docx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按要求提供中小企业声明。</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 投标人资格证明文件--政府采购承诺书、授权委托书（格式）.docx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根据投标人提供的项目理解方案（包含项目背景理解、培养目标、培养方式等）进行评价，本项最高得5分。 方案中，完全包含上述内容，得3分。 方案详细完整、要点全面完善且贴合采购需求的，加2分。 方案科学可行、针对性和逻辑性较强的，加1分。 方案中，有重大缺项或未提供方案的，不得分。 注：缺项是指内容没有结合项目实际需求、虽有内容但不完善、内容表述前后不一致、套用其他项目方案或与项目需求不匹配及其他不利于项目实施的等任意一种情形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项目培养对象评估</w:t>
            </w:r>
          </w:p>
        </w:tc>
        <w:tc>
          <w:tcPr>
            <w:tcW w:type="dxa" w:w="2492"/>
          </w:tcPr>
          <w:p>
            <w:pPr>
              <w:pStyle w:val="null3"/>
            </w:pPr>
            <w:r>
              <w:rPr>
                <w:rFonts w:ascii="仿宋_GB2312" w:hAnsi="仿宋_GB2312" w:cs="仿宋_GB2312" w:eastAsia="仿宋_GB2312"/>
              </w:rPr>
              <w:t>根据投标人提供的项目培养对象评估（包含培养对象的综合能力、培养对象的基本要求等）进行评价，本项最高得6分。 方案中，完全包含上述内容的，得3分。 方案详细完整、要点全面完善且贴合采购需求的，加3分。 方案科学可行、针对性和逻辑性较强的，加1分。 方案中，有重大缺项或未提供方案的，不得分。 注：缺项是指内容没有结合项目实际需求、虽有内容但不完善、内容表述前后不一致、套用其他项目方案或与项目需求不匹配及其他不利于项目实施的等任意一种情形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课程实施计划</w:t>
            </w:r>
          </w:p>
        </w:tc>
        <w:tc>
          <w:tcPr>
            <w:tcW w:type="dxa" w:w="2492"/>
          </w:tcPr>
          <w:p>
            <w:pPr>
              <w:pStyle w:val="null3"/>
            </w:pPr>
            <w:r>
              <w:rPr>
                <w:rFonts w:ascii="仿宋_GB2312" w:hAnsi="仿宋_GB2312" w:cs="仿宋_GB2312" w:eastAsia="仿宋_GB2312"/>
              </w:rPr>
              <w:t>根据投标人提供的课程实施计划（包含平台开发与维护、课程的研发设计、实施过程中的答疑等）进行评价，本项最高得7分。 方案中，完全包含上述内容的，得4分。 方案详细完整、要点全面完善且贴合采购需求的，加3分。 方案科学可行、针对性和逻辑性较强的，加1分。 方案中，有重大缺项或未提供方案的，不得分。 注：缺项是指内容没有结合项目实际需求、虽有内容但不完善、内容表述前后不一致、套用其他项目方案或与项目需求不匹配及其他不利于项目实施的等任意一种情形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课程明细</w:t>
            </w:r>
          </w:p>
        </w:tc>
        <w:tc>
          <w:tcPr>
            <w:tcW w:type="dxa" w:w="2492"/>
          </w:tcPr>
          <w:p>
            <w:pPr>
              <w:pStyle w:val="null3"/>
            </w:pPr>
            <w:r>
              <w:rPr>
                <w:rFonts w:ascii="仿宋_GB2312" w:hAnsi="仿宋_GB2312" w:cs="仿宋_GB2312" w:eastAsia="仿宋_GB2312"/>
              </w:rPr>
              <w:t>根据投标人提供的课程明细（包含课程大纲、主要知识要点、每门课程放置讲义样章、阶段检测和单元检测试卷样本等）进行评价，本项最高得10分。 方案中，完全包含上述内容的，得8分。 方案详细完整、要点全面完善且贴合采购需求的，加2分。 方案科学可行、针对性和逻辑性较强的，加1分。 方案中，有重大缺项或未提供方案的，不得分。 注：缺项是指内容没有结合项目实际需求、虽有内容但不完善、内容表述前后不一致、套用其他项目方案或与项目需求不匹配及其他不利于项目实施的等任意一种情形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配套服务方案</w:t>
            </w:r>
          </w:p>
        </w:tc>
        <w:tc>
          <w:tcPr>
            <w:tcW w:type="dxa" w:w="2492"/>
          </w:tcPr>
          <w:p>
            <w:pPr>
              <w:pStyle w:val="null3"/>
            </w:pPr>
            <w:r>
              <w:rPr>
                <w:rFonts w:ascii="仿宋_GB2312" w:hAnsi="仿宋_GB2312" w:cs="仿宋_GB2312" w:eastAsia="仿宋_GB2312"/>
              </w:rPr>
              <w:t>根据投标人提供的配套服务方案（包含学霸助教答疑（含线上答疑库）、阶段检测（含中期检测、单元检测、结课检测）、教务管理服务、专业技术保障等）进行评价，本项最高得12分。 方案中，完全包含上述内容的得8分。 方案详细完整、要点全面完善且贴合采购需求的，加4分. 方案科学可行、针对性和逻辑性较强的，加2分。 方案中，有重大缺项或未提供方案的，不得分。 注：缺项是指内容没有结合项目实际需求、虽有内容但不完善、内容表述前后不一致、套用其他项目方案或与项目需求不匹配及其他不利于项目实施的等任意一种情形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项目团队人员职称要求</w:t>
            </w:r>
          </w:p>
        </w:tc>
        <w:tc>
          <w:tcPr>
            <w:tcW w:type="dxa" w:w="2492"/>
          </w:tcPr>
          <w:p>
            <w:pPr>
              <w:pStyle w:val="null3"/>
            </w:pPr>
            <w:r>
              <w:rPr>
                <w:rFonts w:ascii="仿宋_GB2312" w:hAnsi="仿宋_GB2312" w:cs="仿宋_GB2312" w:eastAsia="仿宋_GB2312"/>
              </w:rPr>
              <w:t>投标人拟投入本项目的团队成员中，要求提供中级及以上职称证书。具有中级证书得1分，高级证书得2分，最高得6分；在高级职称的基础上，再持有特级教师的，另加1分，特级教师加分，满分4分，本项最高得10分。 注：1.投标人提供的职称证书，须为政府人社部门、教育部门颁发的证书；证书须提供清晰扫描件。行业协会、组委会、社团等社会组织颁发的证书，不予计分。 2.同一人持有中级、高级职称证书时，以高级职称计分，中级不予计分；特级教师作为加分项。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项目团队人员荣誉资质要求</w:t>
            </w:r>
          </w:p>
        </w:tc>
        <w:tc>
          <w:tcPr>
            <w:tcW w:type="dxa" w:w="2492"/>
          </w:tcPr>
          <w:p>
            <w:pPr>
              <w:pStyle w:val="null3"/>
            </w:pPr>
            <w:r>
              <w:rPr>
                <w:rFonts w:ascii="仿宋_GB2312" w:hAnsi="仿宋_GB2312" w:cs="仿宋_GB2312" w:eastAsia="仿宋_GB2312"/>
              </w:rPr>
              <w:t>投标人拟投入本项目的团队成员中，持有政府相关部门颁发的荣誉或资质认定，本项最高得10分。 获国家级荣誉或资质认定证书的，每提供1个证书得1分，最高得5分。 获省级、部级（指中央直属部委、国务院直属部委）荣誉或资质认定证书的，每提供1个证书得1分，最高得3分。 获市级（指地级市、州）荣誉或资质认定证书的，每提供1个证书得1分，最高得2分；县级市颁发的荣誉或资质认定证书，不予计分。 注： 1.投标人提供的荣誉或资质认定证书，须为政府部门颁发，证书须提供清晰扫描件。行业协会、组委会、社团等社会组织颁发的荣誉或资质认定证书，不予计分。 2.同一人持有多项荣誉或资质认定时，按照每项荣誉或资质认定，单独计分。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人员奖项</w:t>
            </w:r>
          </w:p>
        </w:tc>
        <w:tc>
          <w:tcPr>
            <w:tcW w:type="dxa" w:w="2492"/>
          </w:tcPr>
          <w:p>
            <w:pPr>
              <w:pStyle w:val="null3"/>
            </w:pPr>
            <w:r>
              <w:rPr>
                <w:rFonts w:ascii="仿宋_GB2312" w:hAnsi="仿宋_GB2312" w:cs="仿宋_GB2312" w:eastAsia="仿宋_GB2312"/>
              </w:rPr>
              <w:t>投标人须为本项目配备对应学科专职奥赛主教练，本评审分项满分 5 分，单人参评教练累计得分最高按 5 分计取。 ①指导学生斩获奥赛国际金牌，每1名学生计 5 分； ② 指导学生斩获奥赛国际银牌，每1名学生计 4 分； ③指导学生斩获奥赛洲际金牌，每1名学生计 3 分； ④指导学生斩获奥赛洲际银牌，每1名学生计 2 分； ⑤指导学生入选奥赛国家集训队，每1名学生计 1 分。 注：（1）投标人提供的奥赛教练，要求提供奥赛教练的简介工作任职证明（任职单位、任职岗位、任职起止时间、聘用证书等佐证材料）。 （2）执教获奖业绩佐证（满足其一即可）：① 原任职单位官方网站、官方微信公众号发布的获奖公示新闻，须提供可正常访问的官方网址、公众号名称及推文截图；② 获奖公示文件、赛事组委会官方获奖证明、教练与获奖学生现场领奖合影等可佐证该教练为实际带队主教练的有效资料。 （3）同一位奥赛教练，指导多位学生获得不同等级的奖项，每位学生的每个奖项参照上述计分标准单独计分。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项目类似业绩</w:t>
            </w:r>
          </w:p>
        </w:tc>
        <w:tc>
          <w:tcPr>
            <w:tcW w:type="dxa" w:w="2492"/>
          </w:tcPr>
          <w:p>
            <w:pPr>
              <w:pStyle w:val="null3"/>
            </w:pPr>
            <w:r>
              <w:rPr>
                <w:rFonts w:ascii="仿宋_GB2312" w:hAnsi="仿宋_GB2312" w:cs="仿宋_GB2312" w:eastAsia="仿宋_GB2312"/>
              </w:rPr>
              <w:t>自2023年1月1日以来，投标人服务过本次采购内容相同或类似的项目业绩，每提供1份业绩得3分，本小项最高得9分。 注：提供服务合同（以合同双方签订日期为准）、中标通知书（含中标结果公示链接），以上两项缺一无效。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投标人持有互动直播系统、教学管理系统、远程监课平台系统、网校系统平台、在线题库系统、课程运营系统等在线学习相关软件著作权登记证书，每提供 1 项投标人自有有效软件著作权证书计 1 分，本项最高 6 分。 注：①软著权利人须为投标人自身，第三方、关联方、受让授权软著不计分；证书需为国家版权局有效登记状态，注销、撤销证书无效； 1.②同一软件拆分多本软著不得重复计分，软件功能须贴合在线教学业务； ③投标文件提交证书清晰扫描件，评标专家组可线上核验真伪，核验异常不予计分。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商务部分偏离表.docx</w:t>
            </w:r>
          </w:p>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详细评审---业绩.docx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 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详见附件：投标人资格证明文件--政府采购承诺书、授权委托书（格式）.docx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