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60B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333333"/>
          <w:spacing w:val="0"/>
          <w:sz w:val="39"/>
          <w:szCs w:val="39"/>
        </w:rPr>
      </w:pPr>
      <w:r>
        <w:rPr>
          <w:rFonts w:hint="eastAsia" w:ascii="宋体" w:hAnsi="宋体" w:eastAsia="宋体" w:cs="宋体"/>
          <w:b/>
          <w:bCs/>
          <w:i w:val="0"/>
          <w:iCs w:val="0"/>
          <w:caps w:val="0"/>
          <w:color w:val="333333"/>
          <w:spacing w:val="0"/>
          <w:sz w:val="39"/>
          <w:szCs w:val="39"/>
          <w:bdr w:val="none" w:color="auto" w:sz="0" w:space="0"/>
          <w:shd w:val="clear" w:fill="FFFFFF"/>
        </w:rPr>
        <w:t>第八章 拟签订采购合同文本</w:t>
      </w:r>
    </w:p>
    <w:p w14:paraId="25DCFB7E">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szCs w:val="22"/>
        </w:rPr>
      </w:pPr>
    </w:p>
    <w:p w14:paraId="75B149FD">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（注：本合同作为合同的基本格式，甲方有权在签订合同时对合同的相关条款及内容作进一步细化和修改）</w:t>
      </w:r>
    </w:p>
    <w:p w14:paraId="44D7FE91">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 xml:space="preserve">合同编号： </w:t>
      </w:r>
      <w:bookmarkStart w:id="52" w:name="_GoBack"/>
      <w:bookmarkEnd w:id="52"/>
    </w:p>
    <w:p w14:paraId="355860FA">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 xml:space="preserve">签订地点： </w:t>
      </w:r>
    </w:p>
    <w:p w14:paraId="335E74BD">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签订时间：</w:t>
      </w:r>
    </w:p>
    <w:p w14:paraId="0A8D9745">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采购人（甲方）：</w:t>
      </w:r>
    </w:p>
    <w:p w14:paraId="5BC64529">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供应商（乙方）：</w:t>
      </w:r>
    </w:p>
    <w:p w14:paraId="49D531EE">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根据《中华人民共和国政府采购法》及实施条例、《中华人民共和国民法典》</w:t>
      </w:r>
      <w:r>
        <w:rPr>
          <w:rFonts w:ascii="仿宋" w:hAnsi="仿宋" w:eastAsia="仿宋" w:cs="仿宋"/>
          <w:bCs/>
          <w:color w:val="000000"/>
          <w:sz w:val="22"/>
          <w:szCs w:val="22"/>
          <w:u w:val="single"/>
        </w:rPr>
        <w:t>LIS系统升级服务采购项目</w:t>
      </w:r>
      <w:r>
        <w:rPr>
          <w:rFonts w:hint="eastAsia" w:ascii="仿宋" w:hAnsi="仿宋" w:eastAsia="仿宋" w:cs="仿宋"/>
          <w:bCs/>
          <w:color w:val="000000"/>
          <w:sz w:val="22"/>
          <w:szCs w:val="22"/>
        </w:rPr>
        <w:t>（采购项目编号：</w:t>
      </w:r>
      <w:r>
        <w:rPr>
          <w:rFonts w:ascii="仿宋" w:hAnsi="仿宋" w:eastAsia="仿宋" w:cs="仿宋"/>
          <w:bCs/>
          <w:color w:val="000000"/>
          <w:sz w:val="22"/>
          <w:szCs w:val="22"/>
          <w:u w:val="single"/>
        </w:rPr>
        <w:t>TZZB-HZ-2026175C</w:t>
      </w:r>
      <w:r>
        <w:rPr>
          <w:rFonts w:hint="eastAsia" w:ascii="仿宋" w:hAnsi="仿宋" w:eastAsia="仿宋" w:cs="仿宋"/>
          <w:bCs/>
          <w:color w:val="000000"/>
          <w:sz w:val="22"/>
          <w:szCs w:val="22"/>
          <w:u w:val="single"/>
        </w:rPr>
        <w:t>）</w:t>
      </w:r>
      <w:r>
        <w:rPr>
          <w:rFonts w:hint="eastAsia" w:ascii="仿宋" w:hAnsi="仿宋" w:eastAsia="仿宋" w:cs="仿宋"/>
          <w:bCs/>
          <w:color w:val="000000"/>
          <w:sz w:val="22"/>
          <w:szCs w:val="22"/>
        </w:rPr>
        <w:t>的竞争性磋商文件、竞争性磋商响应文件等有关规定，为确保甲方采购项目的顺利实施，甲、乙双方在平等自愿原则下签订本合同，并共同遵守如下条款：</w:t>
      </w:r>
    </w:p>
    <w:p w14:paraId="046A0B3E">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第一条 项目基本情况</w:t>
      </w:r>
    </w:p>
    <w:p w14:paraId="1EACEFEB">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第二条 合同期限</w:t>
      </w:r>
    </w:p>
    <w:p w14:paraId="123BD631">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bookmarkStart w:id="0" w:name="_Toc283019214"/>
      <w:bookmarkStart w:id="1" w:name="_Toc185395249"/>
      <w:bookmarkStart w:id="2" w:name="_Toc251768862"/>
      <w:bookmarkStart w:id="3" w:name="_Toc225670751"/>
      <w:bookmarkStart w:id="4" w:name="_Toc237145406"/>
      <w:bookmarkStart w:id="5" w:name="_Toc211854449"/>
      <w:bookmarkStart w:id="6" w:name="_Toc286993786"/>
      <w:bookmarkStart w:id="7" w:name="_Toc247334841"/>
      <w:bookmarkStart w:id="8" w:name="_Toc225244852"/>
      <w:bookmarkStart w:id="9" w:name="_Toc225654644"/>
      <w:bookmarkStart w:id="10" w:name="_Toc232492928"/>
      <w:bookmarkStart w:id="11" w:name="_Toc239233914"/>
      <w:bookmarkStart w:id="12" w:name="_Toc241833903"/>
      <w:bookmarkStart w:id="13" w:name="_Toc212019594"/>
      <w:bookmarkStart w:id="14" w:name="_Toc282696226"/>
      <w:bookmarkStart w:id="15" w:name="_Toc239568418"/>
      <w:bookmarkStart w:id="16" w:name="_Toc211911348"/>
      <w:bookmarkStart w:id="17" w:name="_Toc238984975"/>
      <w:r>
        <w:rPr>
          <w:rFonts w:hint="eastAsia" w:ascii="仿宋" w:hAnsi="仿宋" w:eastAsia="仿宋" w:cs="仿宋"/>
          <w:bCs/>
          <w:color w:val="000000"/>
          <w:sz w:val="22"/>
          <w:szCs w:val="22"/>
        </w:rPr>
        <w:t>第三条 服务内容与质量标准</w:t>
      </w:r>
    </w:p>
    <w:p w14:paraId="3FD177E2">
      <w:pPr>
        <w:snapToGrid w:val="0"/>
        <w:spacing w:line="360" w:lineRule="auto"/>
        <w:ind w:firstLine="482"/>
        <w:rPr>
          <w:rFonts w:hint="eastAsia" w:ascii="仿宋" w:hAnsi="仿宋" w:eastAsia="仿宋" w:cs="仿宋"/>
          <w:bCs/>
          <w:color w:val="000000"/>
          <w:sz w:val="22"/>
        </w:rPr>
      </w:pPr>
      <w:r>
        <w:rPr>
          <w:rFonts w:hint="eastAsia" w:ascii="仿宋" w:hAnsi="仿宋" w:eastAsia="仿宋" w:cs="仿宋"/>
          <w:bCs/>
          <w:color w:val="000000"/>
          <w:sz w:val="22"/>
          <w:szCs w:val="22"/>
        </w:rPr>
        <w:t>本合同所提供的服务项目内容：                （与响应文件中服务及设备明细表一致）。</w:t>
      </w:r>
    </w:p>
    <w:p w14:paraId="60CDD2DD">
      <w:pPr>
        <w:snapToGrid w:val="0"/>
        <w:spacing w:line="360" w:lineRule="auto"/>
        <w:ind w:firstLine="482"/>
        <w:rPr>
          <w:rFonts w:hint="eastAsia" w:ascii="仿宋" w:hAnsi="仿宋" w:eastAsia="仿宋" w:cs="仿宋"/>
          <w:bCs/>
          <w:color w:val="000000"/>
          <w:sz w:val="22"/>
        </w:rPr>
      </w:pPr>
      <w:r>
        <w:rPr>
          <w:rFonts w:hint="eastAsia" w:ascii="仿宋" w:hAnsi="仿宋" w:eastAsia="仿宋" w:cs="仿宋"/>
          <w:bCs/>
          <w:color w:val="000000"/>
          <w:sz w:val="22"/>
          <w:szCs w:val="22"/>
        </w:rPr>
        <w:t>1、服务期：1年                                。</w:t>
      </w:r>
    </w:p>
    <w:p w14:paraId="16503CB6">
      <w:pPr>
        <w:snapToGrid w:val="0"/>
        <w:spacing w:line="360" w:lineRule="auto"/>
        <w:ind w:firstLine="482"/>
        <w:rPr>
          <w:rFonts w:hint="eastAsia" w:ascii="仿宋" w:hAnsi="仿宋" w:eastAsia="仿宋" w:cs="仿宋"/>
          <w:bCs/>
          <w:color w:val="000000"/>
          <w:sz w:val="22"/>
        </w:rPr>
      </w:pPr>
      <w:r>
        <w:rPr>
          <w:rFonts w:hint="eastAsia" w:ascii="仿宋" w:hAnsi="仿宋" w:eastAsia="仿宋" w:cs="仿宋"/>
          <w:bCs/>
          <w:color w:val="000000"/>
          <w:sz w:val="22"/>
          <w:szCs w:val="22"/>
        </w:rPr>
        <w:t>2、服务地点：采购人指定地点</w:t>
      </w:r>
    </w:p>
    <w:p w14:paraId="56DAAFAD">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第四条 服务费用</w:t>
      </w:r>
    </w:p>
    <w:p w14:paraId="6BAEE26E">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1、服务总费用为人民币大写：        元， RMB¥        。</w:t>
      </w:r>
    </w:p>
    <w:p w14:paraId="5DF9C0C5">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2、本项目服务费用由以下组成：</w:t>
      </w:r>
    </w:p>
    <w:p w14:paraId="642B24E9">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（1）XX万元；</w:t>
      </w:r>
    </w:p>
    <w:p w14:paraId="4641A5F6">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（2）XX万元；</w:t>
      </w:r>
    </w:p>
    <w:p w14:paraId="578453EB">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w:t>
      </w:r>
    </w:p>
    <w:p w14:paraId="7FD6E3CC">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3、本合同执行期间服务总费用不变，甲方无须另向乙方支付本合同规定之外的其他任何费用。</w:t>
      </w:r>
    </w:p>
    <w:p w14:paraId="2A6A4C04">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第五条  服务费支付方式</w:t>
      </w:r>
    </w:p>
    <w:p w14:paraId="239AE512">
      <w:pPr>
        <w:pStyle w:val="7"/>
        <w:autoSpaceDE w:val="0"/>
        <w:autoSpaceDN w:val="0"/>
        <w:adjustRightInd w:val="0"/>
        <w:snapToGrid w:val="0"/>
        <w:spacing w:line="360" w:lineRule="auto"/>
        <w:ind w:left="800" w:firstLine="0" w:firstLineChars="0"/>
        <w:jc w:val="left"/>
        <w:outlineLvl w:val="0"/>
        <w:rPr>
          <w:rFonts w:ascii="仿宋" w:hAnsi="仿宋" w:eastAsia="仿宋" w:cs="仿宋"/>
          <w:bCs/>
          <w:color w:val="000000"/>
          <w:sz w:val="22"/>
          <w:szCs w:val="22"/>
        </w:rPr>
      </w:pPr>
      <w:r>
        <w:rPr>
          <w:rFonts w:hint="eastAsia" w:ascii="仿宋" w:hAnsi="仿宋" w:eastAsia="仿宋" w:cs="仿宋"/>
          <w:bCs/>
          <w:color w:val="000000"/>
          <w:sz w:val="22"/>
          <w:szCs w:val="22"/>
        </w:rPr>
        <w:t>付款条件说明：</w:t>
      </w:r>
      <w:r>
        <w:rPr>
          <w:rFonts w:ascii="仿宋" w:hAnsi="仿宋" w:eastAsia="仿宋" w:cs="仿宋"/>
          <w:bCs/>
          <w:color w:val="000000"/>
          <w:sz w:val="22"/>
          <w:szCs w:val="22"/>
        </w:rPr>
        <w:t>①进度款，合同签订收到成交供应商开具的发票后（若未开具足额发票，采购人有权拒绝付款并不承担违约责任），达到付款条件起10个工作日内，支付合同总金额的50.0%，②进度款，项目验收完成收到成交供应商开具的发票后（若未开具足额发票，采购人有权拒绝付款并不承担违约责任），达到付款条件起10个工作日内，支付合同总金额的50.0%。</w:t>
      </w:r>
    </w:p>
    <w:p w14:paraId="2B1B7D33">
      <w:pPr>
        <w:autoSpaceDE w:val="0"/>
        <w:autoSpaceDN w:val="0"/>
        <w:adjustRightInd w:val="0"/>
        <w:snapToGrid w:val="0"/>
        <w:spacing w:line="360" w:lineRule="auto"/>
        <w:ind w:left="440"/>
        <w:jc w:val="left"/>
        <w:outlineLvl w:val="0"/>
        <w:rPr>
          <w:rFonts w:hint="eastAsia" w:ascii="仿宋" w:hAnsi="仿宋" w:eastAsia="仿宋" w:cs="仿宋"/>
          <w:bCs/>
          <w:color w:val="000000"/>
          <w:sz w:val="22"/>
          <w:szCs w:val="22"/>
        </w:rPr>
      </w:pPr>
      <w:r>
        <w:rPr>
          <w:rFonts w:hint="eastAsia" w:ascii="仿宋" w:hAnsi="仿宋" w:eastAsia="仿宋" w:cs="仿宋"/>
          <w:bCs/>
          <w:color w:val="000000"/>
          <w:sz w:val="22"/>
          <w:szCs w:val="22"/>
        </w:rPr>
        <w:t>第六条   知识产权</w:t>
      </w:r>
    </w:p>
    <w:p w14:paraId="5F3AD0E4">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乙方应保证所提供的服务或其任何一部分均不会侵犯任何第三方的专利权、商标权或著作权。</w:t>
      </w:r>
    </w:p>
    <w:p w14:paraId="07686FE5">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第七条  无产权瑕疵条款</w:t>
      </w:r>
    </w:p>
    <w:p w14:paraId="4FBD62DF">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乙方保证所提供的服务的所有权完全属于乙方且无任何抵押、查封等产权瑕疵。如有产权瑕疵的，视为乙方违约。乙方应负担由此而产生的一切损失。</w:t>
      </w:r>
    </w:p>
    <w:p w14:paraId="6A4E1189">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第八条  甲方的权利和义务</w:t>
      </w:r>
    </w:p>
    <w:p w14:paraId="3F89953C">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149B7774">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2、甲方有权依据双方签订的考评办法对乙方提供的服务进行定期考评。</w:t>
      </w:r>
    </w:p>
    <w:p w14:paraId="6CCA3F36">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3、负责检查监督乙方管理工作的实施及制度的执行情况。</w:t>
      </w:r>
    </w:p>
    <w:p w14:paraId="45501140">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4、根据本合同规定，按时向乙方支付应付服务费用。</w:t>
      </w:r>
    </w:p>
    <w:p w14:paraId="0C84B5B3">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5、国家法律、法规所规定由甲方承担的其它责任。</w:t>
      </w:r>
    </w:p>
    <w:p w14:paraId="6F272A6B">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第九条  乙方的权利和义务</w:t>
      </w:r>
    </w:p>
    <w:p w14:paraId="43E17C0D">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1、对本合同规定的委托服务范围内的项目享有管理权及服务义务。</w:t>
      </w:r>
    </w:p>
    <w:p w14:paraId="1178BAD0">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2、根据本合同的规定向甲方收取相关服务费用，并有权在本项目管理范围内管理及合理使用。</w:t>
      </w:r>
    </w:p>
    <w:p w14:paraId="5822DA81">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3、及时向甲方通告本项目服务范围内有关服务的重大事项，及时配合处理投诉。</w:t>
      </w:r>
    </w:p>
    <w:p w14:paraId="48588DC3">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4、接受项目行业管理部门及政府有关部门的指导，接受甲方的监督。</w:t>
      </w:r>
    </w:p>
    <w:p w14:paraId="6D357376">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5、国家法律、法规所规定由乙方承担的其它责任。</w:t>
      </w:r>
    </w:p>
    <w:p w14:paraId="41969FA5">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第十条  违约责任</w:t>
      </w:r>
    </w:p>
    <w:p w14:paraId="40D20A13">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1、甲乙双方必须遵守本合同并执行合同中的各项规定，保证本合同的正常履行。</w:t>
      </w:r>
    </w:p>
    <w:p w14:paraId="64A66DFB">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FCFB548">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第十一条  不可抗力事件处理</w:t>
      </w:r>
    </w:p>
    <w:p w14:paraId="4FF44433">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1、在合同有效期内，任何一方因不可抗力事件导致不能履行合同，则合同履行期可延长，其延长期与不可抗力影响期相同。</w:t>
      </w:r>
    </w:p>
    <w:p w14:paraId="094627E3">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2、不可抗力事件发生后，应立即通知对方，并寄送有关权威机构出具的证明。</w:t>
      </w:r>
    </w:p>
    <w:p w14:paraId="4260F16C">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5A78BD8">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bookmarkStart w:id="18" w:name="_Toc247334846"/>
      <w:bookmarkStart w:id="19" w:name="_Toc225670756"/>
      <w:bookmarkStart w:id="20" w:name="_Toc239233919"/>
      <w:bookmarkStart w:id="21" w:name="_Toc225654649"/>
      <w:bookmarkStart w:id="22" w:name="_Toc185395254"/>
      <w:bookmarkStart w:id="23" w:name="_Toc238984980"/>
      <w:bookmarkStart w:id="24" w:name="_Toc286993792"/>
      <w:bookmarkStart w:id="25" w:name="_Toc237145411"/>
      <w:bookmarkStart w:id="26" w:name="_Toc212019599"/>
      <w:bookmarkStart w:id="27" w:name="_Toc232492933"/>
      <w:bookmarkStart w:id="28" w:name="_Toc225244857"/>
      <w:bookmarkStart w:id="29" w:name="_Toc241833908"/>
      <w:bookmarkStart w:id="30" w:name="_Toc211911353"/>
      <w:bookmarkStart w:id="31" w:name="_Toc251768867"/>
      <w:bookmarkStart w:id="32" w:name="_Toc239568423"/>
      <w:bookmarkStart w:id="33" w:name="_Toc211854454"/>
      <w:r>
        <w:rPr>
          <w:rFonts w:hint="eastAsia" w:ascii="仿宋" w:hAnsi="仿宋" w:eastAsia="仿宋" w:cs="仿宋"/>
          <w:bCs/>
          <w:color w:val="000000"/>
          <w:sz w:val="22"/>
          <w:szCs w:val="22"/>
        </w:rPr>
        <w:t>第十二条  合同的变更和终止</w:t>
      </w:r>
    </w:p>
    <w:p w14:paraId="59FDC6BD">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除《中华人民共和国政府采购法》第49条、第50条第二款规定的情形外，本合同一经签订，甲乙双方不得擅自变更、中止或终止合同。</w:t>
      </w:r>
    </w:p>
    <w:p w14:paraId="4ACCFB95">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themeColor="text1"/>
          <w:sz w:val="22"/>
          <w14:textFill>
            <w14:solidFill>
              <w14:schemeClr w14:val="tx1"/>
            </w14:solidFill>
          </w14:textFill>
        </w:rPr>
      </w:pPr>
      <w:r>
        <w:rPr>
          <w:rFonts w:hint="eastAsia" w:ascii="仿宋" w:hAnsi="仿宋" w:eastAsia="仿宋" w:cs="仿宋"/>
          <w:bCs/>
          <w:color w:val="000000" w:themeColor="text1"/>
          <w:sz w:val="22"/>
          <w:szCs w:val="22"/>
          <w14:textFill>
            <w14:solidFill>
              <w14:schemeClr w14:val="tx1"/>
            </w14:solidFill>
          </w14:textFill>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A67C25C">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themeColor="text1"/>
          <w:sz w:val="22"/>
          <w14:textFill>
            <w14:solidFill>
              <w14:schemeClr w14:val="tx1"/>
            </w14:solidFill>
          </w14:textFill>
        </w:rPr>
      </w:pPr>
      <w:r>
        <w:rPr>
          <w:rFonts w:hint="eastAsia" w:ascii="仿宋" w:hAnsi="仿宋" w:eastAsia="仿宋" w:cs="仿宋"/>
          <w:bCs/>
          <w:color w:val="000000" w:themeColor="text1"/>
          <w:sz w:val="22"/>
          <w:szCs w:val="22"/>
          <w14:textFill>
            <w14:solidFill>
              <w14:schemeClr w14:val="tx1"/>
            </w14:solidFill>
          </w14:textFill>
        </w:rPr>
        <w:t>1、执行本合同过程中发生争议，应友好协商解决，协商不成的，可协商或由有关部门调解解决，协商或调解不成的，可向采购人所在地人民法院提请诉讼。</w:t>
      </w:r>
    </w:p>
    <w:p w14:paraId="62538F19">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bookmarkStart w:id="34" w:name="_Toc251768868"/>
      <w:bookmarkStart w:id="35" w:name="_Toc286993793"/>
      <w:bookmarkStart w:id="36" w:name="_Toc237145412"/>
      <w:bookmarkStart w:id="37" w:name="_Toc239233920"/>
      <w:bookmarkStart w:id="38" w:name="_Toc185395255"/>
      <w:bookmarkStart w:id="39" w:name="_Toc211854455"/>
      <w:bookmarkStart w:id="40" w:name="_Toc238984981"/>
      <w:bookmarkStart w:id="41" w:name="_Toc212019600"/>
      <w:bookmarkStart w:id="42" w:name="_Toc225670757"/>
      <w:bookmarkStart w:id="43" w:name="_Toc225244858"/>
      <w:bookmarkStart w:id="44" w:name="_Toc232492934"/>
      <w:bookmarkStart w:id="45" w:name="_Toc239568424"/>
      <w:bookmarkStart w:id="46" w:name="_Toc211911354"/>
      <w:bookmarkStart w:id="47" w:name="_Toc241833909"/>
      <w:bookmarkStart w:id="48" w:name="_Toc282696231"/>
      <w:bookmarkStart w:id="49" w:name="_Toc283019219"/>
      <w:bookmarkStart w:id="50" w:name="_Toc225654650"/>
      <w:bookmarkStart w:id="51" w:name="_Toc247334847"/>
      <w:r>
        <w:rPr>
          <w:rFonts w:hint="eastAsia" w:ascii="仿宋" w:hAnsi="仿宋" w:eastAsia="仿宋" w:cs="仿宋"/>
          <w:bCs/>
          <w:color w:val="000000"/>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color w:val="000000"/>
          <w:sz w:val="22"/>
          <w:szCs w:val="22"/>
        </w:rPr>
        <w:t>生效及其他</w:t>
      </w:r>
    </w:p>
    <w:p w14:paraId="7EC05265">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1、合同经双方法定代表人或授权委托代理人签字并加盖单位公章后生效。</w:t>
      </w:r>
    </w:p>
    <w:p w14:paraId="3EEDA17A">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2、合同执行中涉及采购资金和采购内容修改或补充的，须经政府采购监管部门审批，并签书面补充协议报政府采购监督管理部门备案，方可作为主合同不可分割的一部分。</w:t>
      </w:r>
    </w:p>
    <w:p w14:paraId="735AA85D">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3、本合同一式XX份，自双方签章之日起起效。甲方XX份，乙方XX份，政府采购代理机构XX份，同级财政部门备案XX份，具有同等法律效力。</w:t>
      </w:r>
    </w:p>
    <w:p w14:paraId="56593339">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第十五条  附件</w:t>
      </w:r>
    </w:p>
    <w:p w14:paraId="08B85133">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1、项目竞争性磋商文件</w:t>
      </w:r>
    </w:p>
    <w:p w14:paraId="3C1C27BE">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2、项目修改澄清文件</w:t>
      </w:r>
    </w:p>
    <w:p w14:paraId="7AA0E59C">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3、项目响应文件</w:t>
      </w:r>
    </w:p>
    <w:p w14:paraId="7D71CD9B">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4、成交通知书</w:t>
      </w:r>
    </w:p>
    <w:p w14:paraId="2C06A2A2">
      <w:pPr>
        <w:autoSpaceDE w:val="0"/>
        <w:autoSpaceDN w:val="0"/>
        <w:adjustRightInd w:val="0"/>
        <w:snapToGrid w:val="0"/>
        <w:spacing w:line="360" w:lineRule="auto"/>
        <w:ind w:firstLine="440" w:firstLineChars="200"/>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5、其他</w:t>
      </w:r>
    </w:p>
    <w:p w14:paraId="6103440F">
      <w:pPr>
        <w:pStyle w:val="4"/>
        <w:snapToGrid w:val="0"/>
        <w:spacing w:line="360" w:lineRule="auto"/>
        <w:ind w:left="0" w:leftChars="0" w:firstLine="0" w:firstLineChars="0"/>
        <w:rPr>
          <w:rFonts w:hint="eastAsia" w:ascii="仿宋" w:hAnsi="仿宋" w:eastAsia="仿宋" w:cs="仿宋"/>
          <w:bCs/>
          <w:color w:val="000000"/>
          <w:sz w:val="22"/>
          <w:szCs w:val="22"/>
        </w:rPr>
      </w:pPr>
    </w:p>
    <w:p w14:paraId="05C99BCE">
      <w:pPr>
        <w:rPr>
          <w:rFonts w:hint="eastAsia" w:ascii="仿宋" w:hAnsi="仿宋" w:eastAsia="仿宋" w:cs="仿宋"/>
          <w:bCs/>
          <w:color w:val="000000"/>
          <w:sz w:val="22"/>
        </w:rPr>
      </w:pPr>
    </w:p>
    <w:p w14:paraId="4B44F64B">
      <w:pPr>
        <w:rPr>
          <w:rFonts w:hint="eastAsia" w:ascii="仿宋" w:hAnsi="仿宋" w:eastAsia="仿宋" w:cs="仿宋"/>
          <w:bCs/>
          <w:color w:val="000000"/>
          <w:sz w:val="22"/>
        </w:rPr>
      </w:pPr>
    </w:p>
    <w:p w14:paraId="01FFD40C">
      <w:pPr>
        <w:rPr>
          <w:rFonts w:hint="eastAsia" w:ascii="仿宋" w:hAnsi="仿宋" w:eastAsia="仿宋" w:cs="仿宋"/>
          <w:bCs/>
          <w:color w:val="000000"/>
          <w:sz w:val="22"/>
        </w:rPr>
      </w:pPr>
    </w:p>
    <w:p w14:paraId="1E2A0801">
      <w:pPr>
        <w:autoSpaceDE w:val="0"/>
        <w:autoSpaceDN w:val="0"/>
        <w:adjustRightInd w:val="0"/>
        <w:snapToGrid w:val="0"/>
        <w:spacing w:line="360" w:lineRule="auto"/>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 xml:space="preserve">甲方：   （盖章）   </w:t>
      </w:r>
      <w:r>
        <w:rPr>
          <w:rFonts w:hint="eastAsia" w:ascii="仿宋" w:hAnsi="仿宋" w:eastAsia="仿宋" w:cs="仿宋"/>
          <w:bCs/>
          <w:color w:val="000000"/>
          <w:sz w:val="22"/>
          <w:szCs w:val="22"/>
        </w:rPr>
        <w:tab/>
      </w:r>
      <w:r>
        <w:rPr>
          <w:rFonts w:hint="eastAsia" w:ascii="仿宋" w:hAnsi="仿宋" w:eastAsia="仿宋" w:cs="仿宋"/>
          <w:bCs/>
          <w:color w:val="000000"/>
          <w:sz w:val="22"/>
          <w:szCs w:val="22"/>
        </w:rPr>
        <w:tab/>
      </w:r>
      <w:r>
        <w:rPr>
          <w:rFonts w:hint="eastAsia" w:ascii="仿宋" w:hAnsi="仿宋" w:eastAsia="仿宋" w:cs="仿宋"/>
          <w:bCs/>
          <w:color w:val="000000"/>
          <w:sz w:val="22"/>
          <w:szCs w:val="22"/>
        </w:rPr>
        <w:tab/>
      </w:r>
      <w:r>
        <w:rPr>
          <w:rFonts w:hint="eastAsia" w:ascii="仿宋" w:hAnsi="仿宋" w:eastAsia="仿宋" w:cs="仿宋"/>
          <w:bCs/>
          <w:color w:val="000000"/>
          <w:sz w:val="22"/>
          <w:szCs w:val="22"/>
        </w:rPr>
        <w:t xml:space="preserve">       乙方：   （盖章）</w:t>
      </w:r>
    </w:p>
    <w:p w14:paraId="4D7FE254">
      <w:pPr>
        <w:autoSpaceDE w:val="0"/>
        <w:autoSpaceDN w:val="0"/>
        <w:adjustRightInd w:val="0"/>
        <w:snapToGrid w:val="0"/>
        <w:spacing w:line="360" w:lineRule="auto"/>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法定代表人（授权代表）：              法定代表人（授权代表）：</w:t>
      </w:r>
    </w:p>
    <w:p w14:paraId="7D6A4C68">
      <w:pPr>
        <w:autoSpaceDE w:val="0"/>
        <w:autoSpaceDN w:val="0"/>
        <w:adjustRightInd w:val="0"/>
        <w:snapToGrid w:val="0"/>
        <w:spacing w:line="360" w:lineRule="auto"/>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地    址：                            地    址：</w:t>
      </w:r>
    </w:p>
    <w:p w14:paraId="487D52A8">
      <w:pPr>
        <w:autoSpaceDE w:val="0"/>
        <w:autoSpaceDN w:val="0"/>
        <w:adjustRightInd w:val="0"/>
        <w:snapToGrid w:val="0"/>
        <w:spacing w:line="360" w:lineRule="auto"/>
        <w:jc w:val="left"/>
        <w:outlineLvl w:val="0"/>
        <w:rPr>
          <w:rFonts w:hint="eastAsia" w:ascii="仿宋" w:hAnsi="仿宋" w:eastAsia="仿宋" w:cs="仿宋"/>
          <w:bCs/>
          <w:color w:val="000000"/>
          <w:sz w:val="22"/>
        </w:rPr>
      </w:pPr>
      <w:r>
        <w:rPr>
          <w:rFonts w:hint="eastAsia" w:ascii="仿宋" w:hAnsi="仿宋" w:eastAsia="仿宋" w:cs="仿宋"/>
          <w:bCs/>
          <w:color w:val="000000"/>
          <w:sz w:val="22"/>
          <w:szCs w:val="22"/>
        </w:rPr>
        <w:t>开户银行：                            开户银行：</w:t>
      </w:r>
    </w:p>
    <w:p w14:paraId="7A5F75A8">
      <w:pPr>
        <w:pStyle w:val="8"/>
        <w:rPr>
          <w:rFonts w:hint="default"/>
          <w:lang w:eastAsia="zh-CN"/>
        </w:rPr>
      </w:pPr>
      <w:r>
        <w:rPr>
          <w:rFonts w:ascii="仿宋" w:hAnsi="仿宋" w:eastAsia="仿宋" w:cs="仿宋"/>
          <w:bCs/>
          <w:color w:val="000000"/>
          <w:sz w:val="22"/>
          <w:szCs w:val="22"/>
        </w:rPr>
        <w:t>账号：                                账号：</w:t>
      </w:r>
    </w:p>
    <w:p w14:paraId="1EA4781F">
      <w:pPr>
        <w:pStyle w:val="8"/>
        <w:rPr>
          <w:rFonts w:hint="default"/>
        </w:rPr>
      </w:pPr>
    </w:p>
    <w:p w14:paraId="131CF65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556F23"/>
    <w:rsid w:val="580B1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Indent"/>
    <w:basedOn w:val="1"/>
    <w:unhideWhenUsed/>
    <w:qFormat/>
    <w:uiPriority w:val="99"/>
    <w:pPr>
      <w:spacing w:after="120"/>
      <w:ind w:left="420" w:leftChars="200"/>
    </w:pPr>
    <w:rPr>
      <w:szCs w:val="22"/>
    </w:rPr>
  </w:style>
  <w:style w:type="paragraph" w:styleId="4">
    <w:name w:val="Body Text First Indent 2"/>
    <w:basedOn w:val="3"/>
    <w:qFormat/>
    <w:uiPriority w:val="0"/>
    <w:pPr>
      <w:autoSpaceDE w:val="0"/>
      <w:autoSpaceDN w:val="0"/>
      <w:adjustRightInd w:val="0"/>
      <w:spacing w:after="0"/>
      <w:ind w:firstLine="420" w:firstLineChars="200"/>
    </w:pPr>
    <w:rPr>
      <w:rFonts w:ascii="Times New Roman" w:eastAsia="方正书宋简体"/>
      <w:kern w:val="0"/>
      <w:szCs w:val="24"/>
    </w:rPr>
  </w:style>
  <w:style w:type="paragraph" w:styleId="7">
    <w:name w:val="List Paragraph"/>
    <w:basedOn w:val="1"/>
    <w:unhideWhenUsed/>
    <w:qFormat/>
    <w:uiPriority w:val="99"/>
    <w:pPr>
      <w:ind w:firstLine="420" w:firstLineChars="200"/>
    </w:pPr>
  </w:style>
  <w:style w:type="paragraph" w:customStyle="1" w:styleId="8">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1775</Words>
  <Characters>1815</Characters>
  <Lines>0</Lines>
  <Paragraphs>0</Paragraphs>
  <TotalTime>1</TotalTime>
  <ScaleCrop>false</ScaleCrop>
  <LinksUpToDate>false</LinksUpToDate>
  <CharactersWithSpaces>2038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2026-07-15T05:34:00Z</dcterms:created>
  <dc:creator>0003</dc:creator>
  <cp:lastModifiedBy>soul</cp:lastModifiedBy>
  <dcterms:modified xsi:type="dcterms:W3CDTF">2026-07-17T06:43:52Z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AB9EAE1B93AB443A95AE385E4644C3F2_12</vt:lpwstr>
  </property>
</Properties>
</file>