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版本号：ZCZB-2026-012020260724001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花卉景观营造服务项目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ZCZB-2026-0120</w:t>
      </w:r>
      <w:r>
        <w:br/>
      </w:r>
      <w:r>
        <w:br/>
      </w:r>
      <w:r>
        <w:br/>
      </w:r>
    </w:p>
    <w:p>
      <w:pPr>
        <w:pStyle w:val="null3"/>
        <w:jc w:val="center"/>
        <w:outlineLvl w:val="2"/>
      </w:pPr>
      <w:r>
        <w:rPr>
          <w:rFonts w:ascii="仿宋_GB2312" w:hAnsi="仿宋_GB2312" w:cs="仿宋_GB2312" w:eastAsia="仿宋_GB2312"/>
          <w:sz w:val="28"/>
          <w:b/>
        </w:rPr>
        <w:t>合阳县城市管理执法局</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合阳县城市管理执法局</w:t>
      </w:r>
      <w:r>
        <w:rPr>
          <w:rFonts w:ascii="仿宋_GB2312" w:hAnsi="仿宋_GB2312" w:cs="仿宋_GB2312" w:eastAsia="仿宋_GB2312"/>
        </w:rPr>
        <w:t>委托，拟对</w:t>
      </w:r>
      <w:r>
        <w:rPr>
          <w:rFonts w:ascii="仿宋_GB2312" w:hAnsi="仿宋_GB2312" w:cs="仿宋_GB2312" w:eastAsia="仿宋_GB2312"/>
        </w:rPr>
        <w:t>花卉景观营造服务项目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ZCZB-2026-0120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花卉景观营造服务项目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花卉景观营造服务项目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采购包1（花卉景观营造服务项目）：属于专门面向中小企业采购。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2、法人授权委托书：投标人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3、其它：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合阳县西新街66号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雷伟涛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17392121118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李岩泽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18149248289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计委关于印发《招标代理服务收费管理暂行办法》的通知（计价格[2002]1980号）、国家发展计划委员会文件（发改办价格[2003]857号）国家发展改革委办公厅关于招标代理服务收费有关问题的通知”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合阳县城市管理执法局</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合阳县城市管理执法局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验收将依据合同文本及其附件、竞争性磋商文件、磋商响应文件、 国家及行业相关标准、规范及采购人的要求进行验收。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联系人：李岩泽</w:t>
      </w:r>
    </w:p>
    <w:p>
      <w:pPr>
        <w:pStyle w:val="null3"/>
      </w:pPr>
      <w:r>
        <w:rPr>
          <w:rFonts w:ascii="仿宋_GB2312" w:hAnsi="仿宋_GB2312" w:cs="仿宋_GB2312" w:eastAsia="仿宋_GB2312"/>
        </w:rPr>
        <w:t>联系电话：18149248289</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花卉景观营造服务项目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花卉景观营造服务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标的名称：花卉景观营造服务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1"/>
            </w:pPr>
            <w:r>
              <w:rPr>
                <w:rFonts w:ascii="仿宋_GB2312" w:hAnsi="仿宋_GB2312" w:cs="仿宋_GB2312" w:eastAsia="仿宋_GB2312"/>
                <w:sz w:val="36"/>
                <w:b/>
              </w:rPr>
              <w:t xml:space="preserve"> </w:t>
            </w:r>
          </w:p>
          <w:p>
            <w:pPr>
              <w:pStyle w:val="null3"/>
              <w:jc w:val="both"/>
            </w:pPr>
            <w:r>
              <w:rPr>
                <w:rFonts w:ascii="仿宋_GB2312" w:hAnsi="仿宋_GB2312" w:cs="仿宋_GB2312" w:eastAsia="仿宋_GB2312"/>
                <w:sz w:val="32"/>
              </w:rPr>
              <w:t>一、服务内容</w:t>
            </w:r>
          </w:p>
          <w:p>
            <w:pPr>
              <w:pStyle w:val="null3"/>
              <w:jc w:val="left"/>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实施范围</w:t>
            </w:r>
            <w:r>
              <w:rPr>
                <w:rFonts w:ascii="仿宋_GB2312" w:hAnsi="仿宋_GB2312" w:cs="仿宋_GB2312" w:eastAsia="仿宋_GB2312"/>
                <w:sz w:val="28"/>
                <w:color w:val="000000"/>
              </w:rPr>
              <w:t>：城区花篮、花箱，覆盖主干道、交通十字、天合园景观节点、高速出入口、体育馆周边等全部点位</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b/>
                <w:color w:val="000000"/>
              </w:rPr>
              <w:t>2、采购</w:t>
            </w:r>
            <w:r>
              <w:rPr>
                <w:rFonts w:ascii="仿宋_GB2312" w:hAnsi="仿宋_GB2312" w:cs="仿宋_GB2312" w:eastAsia="仿宋_GB2312"/>
                <w:sz w:val="28"/>
                <w:b/>
                <w:color w:val="000000"/>
              </w:rPr>
              <w:t>内容</w:t>
            </w:r>
            <w:r>
              <w:rPr>
                <w:rFonts w:ascii="仿宋_GB2312" w:hAnsi="仿宋_GB2312" w:cs="仿宋_GB2312" w:eastAsia="仿宋_GB2312"/>
                <w:sz w:val="28"/>
                <w:color w:val="000000"/>
              </w:rPr>
              <w:t>：城区花篮、花箱花卉栽植、后期养护、补苗、药剂喷施、水肥管理、现场转运及摆放就位全部工作</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b/>
                <w:color w:val="000000"/>
              </w:rPr>
              <w:t>3、</w:t>
            </w:r>
            <w:r>
              <w:rPr>
                <w:rFonts w:ascii="仿宋_GB2312" w:hAnsi="仿宋_GB2312" w:cs="仿宋_GB2312" w:eastAsia="仿宋_GB2312"/>
                <w:sz w:val="28"/>
                <w:b/>
                <w:color w:val="000000"/>
              </w:rPr>
              <w:t>花卉配置</w:t>
            </w:r>
            <w:r>
              <w:rPr>
                <w:rFonts w:ascii="仿宋_GB2312" w:hAnsi="仿宋_GB2312" w:cs="仿宋_GB2312" w:eastAsia="仿宋_GB2312"/>
                <w:sz w:val="28"/>
                <w:color w:val="000000"/>
              </w:rPr>
              <w:t>：分层配置高层主景、中层时令花</w:t>
            </w:r>
            <w:r>
              <w:rPr>
                <w:rFonts w:ascii="仿宋_GB2312" w:hAnsi="仿宋_GB2312" w:cs="仿宋_GB2312" w:eastAsia="仿宋_GB2312"/>
                <w:sz w:val="28"/>
                <w:color w:val="000000"/>
              </w:rPr>
              <w:t>、</w:t>
            </w:r>
            <w:r>
              <w:rPr>
                <w:rFonts w:ascii="仿宋_GB2312" w:hAnsi="仿宋_GB2312" w:cs="仿宋_GB2312" w:eastAsia="仿宋_GB2312"/>
                <w:sz w:val="28"/>
                <w:color w:val="000000"/>
              </w:rPr>
              <w:t>低层镶边垂吊植物分层搭配，根据季节轮换品种，保障持续景观效果</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b/>
                <w:color w:val="000000"/>
              </w:rPr>
              <w:t>4、</w:t>
            </w:r>
            <w:r>
              <w:rPr>
                <w:rFonts w:ascii="仿宋_GB2312" w:hAnsi="仿宋_GB2312" w:cs="仿宋_GB2312" w:eastAsia="仿宋_GB2312"/>
                <w:sz w:val="28"/>
                <w:b/>
                <w:color w:val="000000"/>
              </w:rPr>
              <w:t>供货标准</w:t>
            </w:r>
            <w:r>
              <w:rPr>
                <w:rFonts w:ascii="仿宋_GB2312" w:hAnsi="仿宋_GB2312" w:cs="仿宋_GB2312" w:eastAsia="仿宋_GB2312"/>
                <w:sz w:val="28"/>
                <w:color w:val="000000"/>
              </w:rPr>
              <w:t>：苗木长势健壮、无病虫害、花冠饱满全覆盖花盆，适配渭北气候，耐热耐晒、花期长；</w:t>
            </w:r>
          </w:p>
          <w:p>
            <w:pPr>
              <w:pStyle w:val="null3"/>
              <w:jc w:val="left"/>
            </w:pPr>
            <w:r>
              <w:rPr>
                <w:rFonts w:ascii="仿宋_GB2312" w:hAnsi="仿宋_GB2312" w:cs="仿宋_GB2312" w:eastAsia="仿宋_GB2312"/>
                <w:sz w:val="28"/>
                <w:b/>
                <w:color w:val="000000"/>
              </w:rPr>
              <w:t>5、分项清单：</w:t>
            </w:r>
          </w:p>
          <w:tbl>
            <w:tblPr>
              <w:tblInd w:type="dxa" w:w="135"/>
              <w:tblBorders>
                <w:top w:val="none" w:color="000000" w:sz="4"/>
                <w:left w:val="none" w:color="000000" w:sz="4"/>
                <w:bottom w:val="none" w:color="000000" w:sz="4"/>
                <w:right w:val="none" w:color="000000" w:sz="4"/>
                <w:insideH w:val="none"/>
                <w:insideV w:val="none"/>
              </w:tblBorders>
            </w:tblPr>
            <w:tblGrid>
              <w:gridCol w:w="142"/>
              <w:gridCol w:w="242"/>
              <w:gridCol w:w="388"/>
              <w:gridCol w:w="142"/>
              <w:gridCol w:w="238"/>
              <w:gridCol w:w="330"/>
              <w:gridCol w:w="303"/>
              <w:gridCol w:w="234"/>
              <w:gridCol w:w="515"/>
            </w:tblGrid>
            <w:tr>
              <w:tc>
                <w:tcPr>
                  <w:tcW w:type="dxa" w:w="14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4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3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4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合价</w:t>
                  </w:r>
                </w:p>
              </w:tc>
              <w:tc>
                <w:tcPr>
                  <w:tcW w:type="dxa" w:w="23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供货产地</w:t>
                  </w:r>
                </w:p>
              </w:tc>
              <w:tc>
                <w:tcPr>
                  <w:tcW w:type="dxa" w:w="5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工作内容备注</w:t>
                  </w:r>
                </w:p>
              </w:tc>
            </w:tr>
            <w:tr>
              <w:tc>
                <w:tcPr>
                  <w:tcW w:type="dxa" w:w="142"/>
                  <w:vMerge/>
                  <w:tcBorders>
                    <w:top w:val="single" w:color="000000" w:sz="4"/>
                    <w:left w:val="single" w:color="000000" w:sz="4"/>
                    <w:bottom w:val="single" w:color="000000" w:sz="4"/>
                    <w:right w:val="single" w:color="000000" w:sz="4"/>
                  </w:tcBorders>
                </w:tcPr>
                <w:p/>
              </w:tc>
              <w:tc>
                <w:tcPr>
                  <w:tcW w:type="dxa" w:w="242"/>
                  <w:vMerge/>
                  <w:tcBorders>
                    <w:top w:val="single" w:color="000000" w:sz="4"/>
                    <w:left w:val="single" w:color="000000" w:sz="4"/>
                    <w:bottom w:val="single" w:color="000000" w:sz="4"/>
                    <w:right w:val="single" w:color="000000" w:sz="4"/>
                  </w:tcBorders>
                </w:tcPr>
                <w:p/>
              </w:tc>
              <w:tc>
                <w:tcPr>
                  <w:tcW w:type="dxa" w:w="388"/>
                  <w:vMerge/>
                  <w:tcBorders>
                    <w:top w:val="single" w:color="000000" w:sz="4"/>
                    <w:left w:val="single" w:color="000000" w:sz="4"/>
                    <w:bottom w:val="single" w:color="000000" w:sz="4"/>
                    <w:right w:val="single" w:color="000000" w:sz="4"/>
                  </w:tcBorders>
                </w:tcPr>
                <w:p/>
              </w:tc>
              <w:tc>
                <w:tcPr>
                  <w:tcW w:type="dxa" w:w="142"/>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(元)</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(元)</w:t>
                  </w:r>
                </w:p>
              </w:tc>
              <w:tc>
                <w:tcPr>
                  <w:tcW w:type="dxa" w:w="234"/>
                  <w:vMerge/>
                  <w:tcBorders>
                    <w:top w:val="single" w:color="000000" w:sz="4"/>
                    <w:left w:val="single" w:color="000000" w:sz="4"/>
                    <w:bottom w:val="single" w:color="000000" w:sz="4"/>
                    <w:right w:val="single" w:color="000000" w:sz="4"/>
                  </w:tcBorders>
                </w:tcPr>
                <w:p/>
              </w:tc>
              <w:tc>
                <w:tcPr>
                  <w:tcW w:type="dxa" w:w="515"/>
                  <w:vMerge/>
                  <w:tcBorders>
                    <w:top w:val="singl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大花海棠</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 加仑盆栽</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高层竖向主景花材，露天耐热</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四季海棠</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 加仑盆栽</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8928</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夏季核心开花品种，不易倒伏</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穗花婆婆纳</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 加仑盆栽</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直立蓝紫花穗，</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矮化百子莲</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 加仑盆栽</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路口环岛、节点造型造景</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满天星</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 加仑盆栽</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1725</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高杆大花，提升竖向景观</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假龙头</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 加仑盆栽</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1058</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宿根花卉，延长整体花期</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彩叶草（红）</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 盆苗</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26784</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四季彩叶填充，提亮色块</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孔雀草</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 盆苗</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26784</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耐热驱虫，夏季主力草花</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鸡冠花</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 盆苗</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53568</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夏秋亮色景观搭配</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彩叶草（绿）</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 盆苗</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13392</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低矮镶边，填充花箱缝隙</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长春花</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成品盆苗</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13392</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佛甲草</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成品盘苗</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低层铺面、保水抑草、四季常绿</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园艺营养土</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30L / 包</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4500</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花箱土壤改良、透气保肥基质</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小计</w:t>
                  </w:r>
                </w:p>
              </w:tc>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合计</w:t>
                  </w:r>
                </w:p>
              </w:tc>
              <w:tc>
                <w:tcPr>
                  <w:tcW w:type="dxa" w:w="3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w:t>
                  </w:r>
                </w:p>
              </w:tc>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w:t>
                  </w:r>
                </w:p>
              </w:tc>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w:t>
                  </w:r>
                </w:p>
              </w:tc>
              <w:tc>
                <w:tcPr>
                  <w:tcW w:type="dxa" w:w="3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4"/>
                      <w:b/>
                      <w:color w:val="000000"/>
                    </w:rPr>
                    <w:t>—</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w:t>
                  </w:r>
                </w:p>
              </w:tc>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含人工、培育、包装、产地运输、正常损耗、养护、补苗（花卉自然衰败、人为损毁、季节性换花免费补植更换）等</w:t>
                  </w:r>
                  <w:r>
                    <w:rPr>
                      <w:rFonts w:ascii="仿宋_GB2312" w:hAnsi="仿宋_GB2312" w:cs="仿宋_GB2312" w:eastAsia="仿宋_GB2312"/>
                      <w:sz w:val="24"/>
                      <w:b/>
                      <w:color w:val="000000"/>
                    </w:rPr>
                    <w:t>完成本次项目全部费用</w:t>
                  </w:r>
                </w:p>
              </w:tc>
            </w:tr>
          </w:tbl>
          <w:p>
            <w:pPr>
              <w:pStyle w:val="null3"/>
              <w:jc w:val="left"/>
            </w:pPr>
            <w:r>
              <w:rPr>
                <w:rFonts w:ascii="仿宋_GB2312" w:hAnsi="仿宋_GB2312" w:cs="仿宋_GB2312" w:eastAsia="仿宋_GB2312"/>
                <w:sz w:val="32"/>
              </w:rPr>
              <w:t>二、服务及商务要求</w:t>
            </w:r>
          </w:p>
          <w:p>
            <w:pPr>
              <w:pStyle w:val="null3"/>
              <w:jc w:val="left"/>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服务要求</w:t>
            </w:r>
            <w:r>
              <w:rPr>
                <w:rFonts w:ascii="仿宋_GB2312" w:hAnsi="仿宋_GB2312" w:cs="仿宋_GB2312" w:eastAsia="仿宋_GB2312"/>
                <w:sz w:val="28"/>
                <w:color w:val="000000"/>
              </w:rPr>
              <w:t>：栽植完成后常态化巡查养护，花卉枯萎、缺株、人为损毁无条件免费更换，景观效果持续达标</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人员配置要求</w:t>
            </w:r>
          </w:p>
          <w:p>
            <w:pPr>
              <w:pStyle w:val="null3"/>
              <w:jc w:val="left"/>
            </w:pPr>
            <w:r>
              <w:rPr>
                <w:rFonts w:ascii="仿宋_GB2312" w:hAnsi="仿宋_GB2312" w:cs="仿宋_GB2312" w:eastAsia="仿宋_GB2312"/>
                <w:sz w:val="28"/>
                <w:color w:val="000000"/>
              </w:rPr>
              <w:t>2.1、成立专项工作专班，下设选配采购组、种植养护组、巡查管护组；</w:t>
            </w:r>
          </w:p>
          <w:p>
            <w:pPr>
              <w:pStyle w:val="null3"/>
              <w:jc w:val="left"/>
            </w:pPr>
            <w:r>
              <w:rPr>
                <w:rFonts w:ascii="仿宋_GB2312" w:hAnsi="仿宋_GB2312" w:cs="仿宋_GB2312" w:eastAsia="仿宋_GB2312"/>
                <w:sz w:val="28"/>
                <w:color w:val="000000"/>
              </w:rPr>
              <w:t>2.2、配备苗木采购专员、现场栽植技工、日常养护人员、专职巡检人员，全程驻场作业；</w:t>
            </w:r>
          </w:p>
          <w:p>
            <w:pPr>
              <w:pStyle w:val="null3"/>
              <w:jc w:val="left"/>
            </w:pPr>
            <w:r>
              <w:rPr>
                <w:rFonts w:ascii="仿宋_GB2312" w:hAnsi="仿宋_GB2312" w:cs="仿宋_GB2312" w:eastAsia="仿宋_GB2312"/>
                <w:sz w:val="28"/>
                <w:color w:val="000000"/>
              </w:rPr>
              <w:t>2.3、所有作业人员经过绿化专业培训，熟练掌握花卉栽植、修剪、病虫害防治技术。</w:t>
            </w:r>
          </w:p>
          <w:p>
            <w:pPr>
              <w:pStyle w:val="null3"/>
              <w:jc w:val="left"/>
            </w:pPr>
            <w:r>
              <w:rPr>
                <w:rFonts w:ascii="仿宋_GB2312" w:hAnsi="仿宋_GB2312" w:cs="仿宋_GB2312" w:eastAsia="仿宋_GB2312"/>
                <w:sz w:val="28"/>
                <w:b/>
                <w:color w:val="000000"/>
              </w:rPr>
              <w:t>3、设施设备配置要求</w:t>
            </w:r>
            <w:r>
              <w:rPr>
                <w:rFonts w:ascii="仿宋_GB2312" w:hAnsi="仿宋_GB2312" w:cs="仿宋_GB2312" w:eastAsia="仿宋_GB2312"/>
                <w:sz w:val="28"/>
                <w:color w:val="000000"/>
              </w:rPr>
              <w:t>：服务商自行全额配备全套作业设备：花卉运输车辆、浇水洒水车、修剪工具、打药设备、铁锹、耙子、营养土装卸工具、垃圾清运工具等，满足全周期栽植、养护、巡检需求</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b/>
                <w:color w:val="000000"/>
              </w:rPr>
              <w:t>4、服务期限</w:t>
            </w:r>
            <w:r>
              <w:rPr>
                <w:rFonts w:ascii="仿宋_GB2312" w:hAnsi="仿宋_GB2312" w:cs="仿宋_GB2312" w:eastAsia="仿宋_GB2312"/>
                <w:sz w:val="28"/>
                <w:color w:val="000000"/>
              </w:rPr>
              <w:t>：自合同签订后至</w:t>
            </w:r>
            <w:r>
              <w:rPr>
                <w:rFonts w:ascii="仿宋_GB2312" w:hAnsi="仿宋_GB2312" w:cs="仿宋_GB2312" w:eastAsia="仿宋_GB2312"/>
                <w:sz w:val="28"/>
              </w:rPr>
              <w:t>2026年10月31日</w:t>
            </w:r>
            <w:r>
              <w:rPr>
                <w:rFonts w:ascii="仿宋_GB2312" w:hAnsi="仿宋_GB2312" w:cs="仿宋_GB2312" w:eastAsia="仿宋_GB2312"/>
                <w:sz w:val="28"/>
              </w:rPr>
              <w:t>止，</w:t>
            </w:r>
          </w:p>
          <w:p>
            <w:pPr>
              <w:pStyle w:val="null3"/>
              <w:jc w:val="left"/>
            </w:pPr>
            <w:r>
              <w:rPr>
                <w:rFonts w:ascii="仿宋_GB2312" w:hAnsi="仿宋_GB2312" w:cs="仿宋_GB2312" w:eastAsia="仿宋_GB2312"/>
                <w:sz w:val="28"/>
              </w:rPr>
              <w:t>其中：</w:t>
            </w:r>
          </w:p>
          <w:p>
            <w:pPr>
              <w:pStyle w:val="null3"/>
              <w:jc w:val="left"/>
            </w:pPr>
            <w:r>
              <w:rPr>
                <w:rFonts w:ascii="仿宋_GB2312" w:hAnsi="仿宋_GB2312" w:cs="仿宋_GB2312" w:eastAsia="仿宋_GB2312"/>
                <w:sz w:val="28"/>
                <w:color w:val="000000"/>
              </w:rPr>
              <w:t>①基础栽植：</w:t>
            </w:r>
            <w:r>
              <w:rPr>
                <w:rFonts w:ascii="仿宋_GB2312" w:hAnsi="仿宋_GB2312" w:cs="仿宋_GB2312" w:eastAsia="仿宋_GB2312"/>
                <w:sz w:val="28"/>
              </w:rPr>
              <w:t>签订合同后</w:t>
            </w:r>
            <w:r>
              <w:rPr>
                <w:rFonts w:ascii="仿宋_GB2312" w:hAnsi="仿宋_GB2312" w:cs="仿宋_GB2312" w:eastAsia="仿宋_GB2312"/>
                <w:sz w:val="28"/>
              </w:rPr>
              <w:t>10个日历天内完成</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②</w:t>
            </w:r>
            <w:r>
              <w:rPr>
                <w:rFonts w:ascii="仿宋_GB2312" w:hAnsi="仿宋_GB2312" w:cs="仿宋_GB2312" w:eastAsia="仿宋_GB2312"/>
                <w:sz w:val="28"/>
              </w:rPr>
              <w:t>分季换花期限：接采购人通知</w:t>
            </w:r>
            <w:r>
              <w:rPr>
                <w:rFonts w:ascii="仿宋_GB2312" w:hAnsi="仿宋_GB2312" w:cs="仿宋_GB2312" w:eastAsia="仿宋_GB2312"/>
                <w:sz w:val="28"/>
              </w:rPr>
              <w:t>7个日历日内完成</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③养护期：</w:t>
            </w:r>
            <w:r>
              <w:rPr>
                <w:rFonts w:ascii="仿宋_GB2312" w:hAnsi="仿宋_GB2312" w:cs="仿宋_GB2312" w:eastAsia="仿宋_GB2312"/>
                <w:sz w:val="28"/>
              </w:rPr>
              <w:t>基础栽植完成后至</w:t>
            </w:r>
            <w:r>
              <w:rPr>
                <w:rFonts w:ascii="仿宋_GB2312" w:hAnsi="仿宋_GB2312" w:cs="仿宋_GB2312" w:eastAsia="仿宋_GB2312"/>
                <w:sz w:val="28"/>
              </w:rPr>
              <w:t>2026年10月31日</w:t>
            </w:r>
            <w:r>
              <w:rPr>
                <w:rFonts w:ascii="仿宋_GB2312" w:hAnsi="仿宋_GB2312" w:cs="仿宋_GB2312" w:eastAsia="仿宋_GB2312"/>
                <w:sz w:val="28"/>
              </w:rPr>
              <w:t>止；</w:t>
            </w:r>
          </w:p>
          <w:p>
            <w:pPr>
              <w:pStyle w:val="null3"/>
              <w:jc w:val="left"/>
            </w:pPr>
            <w:r>
              <w:rPr>
                <w:rFonts w:ascii="仿宋_GB2312" w:hAnsi="仿宋_GB2312" w:cs="仿宋_GB2312" w:eastAsia="仿宋_GB2312"/>
                <w:sz w:val="28"/>
                <w:b/>
              </w:rPr>
              <w:t>5、质量标准</w:t>
            </w:r>
          </w:p>
          <w:p>
            <w:pPr>
              <w:pStyle w:val="null3"/>
              <w:jc w:val="left"/>
            </w:pPr>
            <w:r>
              <w:rPr>
                <w:rFonts w:ascii="仿宋_GB2312" w:hAnsi="仿宋_GB2312" w:cs="仿宋_GB2312" w:eastAsia="仿宋_GB2312"/>
                <w:sz w:val="28"/>
              </w:rPr>
              <w:t>5.1、进场花卉无黄叶、无病虫害、花冠饱满覆盖花盆，规格与清单完全一致；</w:t>
            </w:r>
          </w:p>
          <w:p>
            <w:pPr>
              <w:pStyle w:val="null3"/>
              <w:jc w:val="left"/>
            </w:pPr>
            <w:r>
              <w:rPr>
                <w:rFonts w:ascii="仿宋_GB2312" w:hAnsi="仿宋_GB2312" w:cs="仿宋_GB2312" w:eastAsia="仿宋_GB2312"/>
                <w:sz w:val="28"/>
              </w:rPr>
              <w:t>5.2、花箱分层栽植层次分明，色彩搭配协调，节点造型、道路花带景观效果符合方案；</w:t>
            </w:r>
          </w:p>
          <w:p>
            <w:pPr>
              <w:pStyle w:val="null3"/>
              <w:jc w:val="left"/>
            </w:pPr>
            <w:r>
              <w:rPr>
                <w:rFonts w:ascii="仿宋_GB2312" w:hAnsi="仿宋_GB2312" w:cs="仿宋_GB2312" w:eastAsia="仿宋_GB2312"/>
                <w:sz w:val="28"/>
              </w:rPr>
              <w:t>5.3、栽植完成后甲乙双方现场联合验收，建立养护巡查台账，定期复核景观效果，养护期内花卉成活率不低于 98%，死株72 小时内完成更换。</w:t>
            </w:r>
          </w:p>
          <w:p>
            <w:pPr>
              <w:pStyle w:val="null3"/>
              <w:numPr>
                <w:ilvl w:val="0"/>
                <w:numId w:val="1"/>
              </w:numPr>
              <w:jc w:val="left"/>
            </w:pPr>
            <w:r>
              <w:rPr>
                <w:rFonts w:ascii="仿宋_GB2312" w:hAnsi="仿宋_GB2312" w:cs="仿宋_GB2312" w:eastAsia="仿宋_GB2312"/>
                <w:sz w:val="28"/>
                <w:b/>
              </w:rPr>
              <w:t>结算及付款方式</w:t>
            </w:r>
          </w:p>
          <w:p>
            <w:pPr>
              <w:pStyle w:val="null3"/>
              <w:jc w:val="left"/>
            </w:pPr>
            <w:r>
              <w:rPr>
                <w:rFonts w:ascii="仿宋_GB2312" w:hAnsi="仿宋_GB2312" w:cs="仿宋_GB2312" w:eastAsia="仿宋_GB2312"/>
                <w:sz w:val="28"/>
              </w:rPr>
              <w:t>6.1、结算规则：本项目实行总价包干；</w:t>
            </w:r>
          </w:p>
          <w:p>
            <w:pPr>
              <w:pStyle w:val="null3"/>
              <w:jc w:val="left"/>
            </w:pPr>
            <w:r>
              <w:rPr>
                <w:rFonts w:ascii="仿宋_GB2312" w:hAnsi="仿宋_GB2312" w:cs="仿宋_GB2312" w:eastAsia="仿宋_GB2312"/>
                <w:sz w:val="28"/>
              </w:rPr>
              <w:t>6.2、付款方式：①合同签订后支付40%预付款；②养护期满、补植工作全部完成，验收合格后一次性结清剩余款项；付款前供应商须提供等额发票。</w:t>
            </w:r>
          </w:p>
          <w:p>
            <w:pPr>
              <w:pStyle w:val="null3"/>
              <w:jc w:val="center"/>
              <w:outlineLvl w:val="1"/>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（1）成立专项工作专班，下设选配采购组、种植养护组、巡查管护组； （2）配备苗木采购专员、现场栽植技工、日常养护人员、专职巡检人员，全程驻场作业； （3）所有作业人员经过绿化专业培训，熟练掌握花卉栽植、修剪、病虫害防治技术。</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服务商自行全额配备全套作业设备：花卉运输车辆、浇水洒水车、修剪工具、打药设备、铁锹、耙子、营养土装卸工具、垃圾清运工具等，满足全周期栽植、养护、巡检需求；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自合同签订后至2026年10月31日止， 其中： ①基础栽植：签订合同后10个日历天内完成； ②分季换花期限：接采购人通知7个日历日内完成； ③养护期：基础栽植完成后至2026年10月31日止；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合阳县城区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（1）供应商须保证服务质量，满足竞争性磋商文件采购内容及要求；磋商文件未明确要求的内容，供应商须按磋商采购人的补充要求为准。 （2）符合国家相关规范标准。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进度款，养护期满、补植工作全部完成，验收合格后一次性结清剩余款项；付款前供应商须提供等额发票，达到付款条件起15个工作日内，支付合同总金额的60.0%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（2）未按合同要求提供服务或服务质量不能满足服务要求，采购人有权终止合同，并对供方违约行为进行追究，同时按《中华人民共和国政府采购法》的有关规定进行处罚。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本项目实际采购人为：合阳县城市园林绿化中心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财务状况报告：投标人是法人的，提供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担保函； （2）税收缴纳证明：提供2025年7月1日以来任意一个月税收缴纳证明（至少包含增值税或企业所得税其中一种），依法免税或无需缴纳税收的单位应提供相关证明材料； （3）社会保障资金缴纳证明：提供2025年7月1日以来任意一个月的社会保障资金缴存单据或社保机构开具的社会保险参保缴费情况证明，依法不需要缴纳社会保障资金的单位应提供相关证明材料； （4）具备履行合同所必需的设备和专业技术能力的证明材料； （5）参加政府采购活动前3年内在经营活动中没有重大违法记录的书面声明； （6）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供应商为中型企业、小型企业、微型企业的，提供《中小企业声明函》，且中小企业的划分标准所属行业为其他未列明行业（科学研究和技术服务业）；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投标人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投标（响应）文件构成是否有重大缺项，是否按照采购文件要求编写投标（响应）文件。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w:t>
            </w:r>
          </w:p>
        </w:tc>
        <w:tc>
          <w:tcPr>
            <w:tcW w:type="dxa" w:w="3322"/>
          </w:tcPr>
          <w:p>
            <w:pPr>
              <w:pStyle w:val="null3"/>
            </w:pPr>
            <w:r>
              <w:rPr>
                <w:rFonts w:ascii="仿宋_GB2312" w:hAnsi="仿宋_GB2312" w:cs="仿宋_GB2312" w:eastAsia="仿宋_GB2312"/>
              </w:rPr>
              <w:t>投标（响应）文件的签署、加盖印章是否合格、有效；提供的各种证明文件、数据、资料是否有效。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投标方案是否有重大缺漏项；技术要求是否有重大偏离；商务条款是否有重大偏离；对合同中规定的双方的权利和义务是否做出了实质性修改。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采购文件其他章节中对无效投标的规定。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植被装饰方案</w:t>
            </w:r>
          </w:p>
        </w:tc>
        <w:tc>
          <w:tcPr>
            <w:tcW w:type="dxa" w:w="2492"/>
          </w:tcPr>
          <w:p>
            <w:pPr>
              <w:pStyle w:val="null3"/>
            </w:pPr>
            <w:r>
              <w:rPr>
                <w:rFonts w:ascii="仿宋_GB2312" w:hAnsi="仿宋_GB2312" w:cs="仿宋_GB2312" w:eastAsia="仿宋_GB2312"/>
              </w:rPr>
              <w:t>一、评审内容 根据供应商提供的植被选型、色彩搭配、空间布局及与周边环境协调性进行评分 二、评审标准 1、完整性：方案必须全面，对评审内容中的各项要求有详细描述； 2、可实施性：切合项目实际情况，提出步骤清晰、合理的方案； 3、针对性：方案能够紧扣标段实际情况，内容科学合理。 三、赋分标准（满分9分） ①植被选型：每完全满足一个评审标准得 1 分，满分3分； 每缺少一项内容扣 1 分，扣完为止；每有一处描述有缺陷的扣0.5 分，该项扣完为止；②色彩搭配:每完全满足一个评审标准得1分，满分 3分；每缺少一项内容扣 1 分，扣完为止；每有一处描述有缺陷的扣0.5 分，该项扣完为止； ③空间布局及与周边环境协调性:每完全满足一个评审标准得 1分，满分 3分；每缺少一项内容扣 1 分，扣完为止；每有一处描述有缺陷的扣0.5 分，该项扣完为止。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植被装饰方案.docx</w:t>
            </w:r>
          </w:p>
        </w:tc>
      </w:tr>
      <w:tr>
        <w:tc>
          <w:tcPr>
            <w:tcW w:type="dxa" w:w="831"/>
            <w:vMerge/>
          </w:tcPr>
          <w:p/>
        </w:tc>
        <w:tc>
          <w:tcPr>
            <w:tcW w:type="dxa" w:w="1661"/>
          </w:tcPr>
          <w:p>
            <w:pPr>
              <w:pStyle w:val="null3"/>
            </w:pPr>
            <w:r>
              <w:rPr>
                <w:rFonts w:ascii="仿宋_GB2312" w:hAnsi="仿宋_GB2312" w:cs="仿宋_GB2312" w:eastAsia="仿宋_GB2312"/>
              </w:rPr>
              <w:t>养护管理计划</w:t>
            </w:r>
          </w:p>
        </w:tc>
        <w:tc>
          <w:tcPr>
            <w:tcW w:type="dxa" w:w="2492"/>
          </w:tcPr>
          <w:p>
            <w:pPr>
              <w:pStyle w:val="null3"/>
            </w:pPr>
            <w:r>
              <w:rPr>
                <w:rFonts w:ascii="仿宋_GB2312" w:hAnsi="仿宋_GB2312" w:cs="仿宋_GB2312" w:eastAsia="仿宋_GB2312"/>
              </w:rPr>
              <w:t>一、评审内容 根据供应商提供的日常浇水施肥、修剪、病虫害防治及应急补植计划评分 二、评审标准 1、完整性：方案必须全面，对评审内容中的各项要求有详细描述； 2、可实施性：切合项目实际情况，提出步骤清晰、合理的方案； 3、针对性：方案能够紧扣标段实际情况，内容科学合理。 三、赋分标准（满分9分） ①日常浇水施肥：每完全满足一个评审标准得 1 分，满分3分； ②修剪:每完全满足一个评审标准得1分，满分 3分； ③病虫害防治及应急补植计划:每完全满足一个评审标准得 1分，满分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养护管理计划.docx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根据成活率保证承诺、景观效果保持标准及质量检查验收办法评分 二、评审标准 1、完整性：方案必须全面，对评审内容中的各项要求有详细描述； 2、可实施性：切合项目实际情况，提出步骤清晰、合理的方案； 3、针对性：方案能够紧扣标段实际情况，内容科学合理。 三、赋分标准（满分9分） ①成活率保证承诺：每完全满足一个评审标准得 1 分，满分3分；每缺少一项内容扣 1 分，扣完为止；每有一处描述有缺陷的扣0.5 分，该项扣完为止； ②景观效果保持标准:每完全满足一个评审标准得1分，满分 3分；每缺少一项内容扣 1 分，扣完为止；每有一处描述有缺陷的扣0.5 分，该项扣完为止； ③质量检查验收办法:每完全满足一个评审标准得 1分，满分 3分；每缺少一项内容扣 1 分，扣完为止；每有一处描述有缺陷的扣0.5 分，该项扣完为止。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w:t>
            </w:r>
          </w:p>
        </w:tc>
        <w:tc>
          <w:tcPr>
            <w:tcW w:type="dxa" w:w="2492"/>
          </w:tcPr>
          <w:p>
            <w:pPr>
              <w:pStyle w:val="null3"/>
            </w:pPr>
            <w:r>
              <w:rPr>
                <w:rFonts w:ascii="仿宋_GB2312" w:hAnsi="仿宋_GB2312" w:cs="仿宋_GB2312" w:eastAsia="仿宋_GB2312"/>
              </w:rPr>
              <w:t>一、评审内容 根据安全防护措施（围挡、警示）、废弃物处理及降噪降尘方案评分 二、评审标准 1、完整性：方案必须全面，对评审内容中的各项要求有详细描述； 2、可实施性：切合项目实际情况，提出步骤清晰、合理的方案； 3、针对性：方案能够紧扣标段实际情况，内容科学合理。 三、赋分标准（满分9分） ①安全防护措施（围挡、警示）：每完全满足一个评审标准得 1 分，满分3分；每缺少一项内容扣 1 分，扣完为止；每有一处描述有缺陷的扣0.5 分，该项扣完为止； ②废弃物处理:每完全满足一个评审标准得1分，满分 3分；每缺少一项内容扣 1 分，扣完为止；每有一处描述有缺陷的扣0.5 分，该项扣完为止； ③降噪降尘方案:每完全满足一个评审标准得 1分，满分 3分；每缺少一项内容扣 1 分，扣完为止；每有一处描述有缺陷的扣0.5 分，该项扣完为止。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安全文明施工.docx</w:t>
            </w:r>
          </w:p>
        </w:tc>
      </w:tr>
      <w:tr>
        <w:tc>
          <w:tcPr>
            <w:tcW w:type="dxa" w:w="831"/>
            <w:vMerge/>
          </w:tcPr>
          <w:p/>
        </w:tc>
        <w:tc>
          <w:tcPr>
            <w:tcW w:type="dxa" w:w="1661"/>
          </w:tcPr>
          <w:p>
            <w:pPr>
              <w:pStyle w:val="null3"/>
            </w:pPr>
            <w:r>
              <w:rPr>
                <w:rFonts w:ascii="仿宋_GB2312" w:hAnsi="仿宋_GB2312" w:cs="仿宋_GB2312" w:eastAsia="仿宋_GB2312"/>
              </w:rPr>
              <w:t>应急处置预案</w:t>
            </w:r>
          </w:p>
        </w:tc>
        <w:tc>
          <w:tcPr>
            <w:tcW w:type="dxa" w:w="2492"/>
          </w:tcPr>
          <w:p>
            <w:pPr>
              <w:pStyle w:val="null3"/>
            </w:pPr>
            <w:r>
              <w:rPr>
                <w:rFonts w:ascii="仿宋_GB2312" w:hAnsi="仿宋_GB2312" w:cs="仿宋_GB2312" w:eastAsia="仿宋_GB2312"/>
              </w:rPr>
              <w:t>针对极端天气（暴雨、大风、高温）、植物病虫害爆发等突发情况，提供应急响应预案： （1）预案完整，响应时限明确（≤2小时到场），物资储备清晰：4分； （2）预案基本覆盖，响应时限或物资不够明确：2分； （3）预案缺失或内容空洞：1分。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应急处置预案.docx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承诺日常维修或更换需求响应时间： （1）≤1小时响应，≤12小时完成处理：10分； （2）≤2小时响应，≤24小时完成处理：8分； （3）≤4小时响应，≤48小时完成处理：6分； （4）≤8小时响应，≤60小时完成处理：4分； （5）＞8小时响应或无明确承诺：0分。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服务响应承诺.docx</w:t>
            </w:r>
          </w:p>
        </w:tc>
      </w:tr>
      <w:tr>
        <w:tc>
          <w:tcPr>
            <w:tcW w:type="dxa" w:w="831"/>
            <w:vMerge/>
          </w:tcPr>
          <w:p/>
        </w:tc>
        <w:tc>
          <w:tcPr>
            <w:tcW w:type="dxa" w:w="1661"/>
          </w:tcPr>
          <w:p>
            <w:pPr>
              <w:pStyle w:val="null3"/>
            </w:pPr>
            <w:r>
              <w:rPr>
                <w:rFonts w:ascii="仿宋_GB2312" w:hAnsi="仿宋_GB2312" w:cs="仿宋_GB2312" w:eastAsia="仿宋_GB2312"/>
              </w:rPr>
              <w:t>节能环保措施</w:t>
            </w:r>
          </w:p>
        </w:tc>
        <w:tc>
          <w:tcPr>
            <w:tcW w:type="dxa" w:w="2492"/>
          </w:tcPr>
          <w:p>
            <w:pPr>
              <w:pStyle w:val="null3"/>
            </w:pPr>
            <w:r>
              <w:rPr>
                <w:rFonts w:ascii="仿宋_GB2312" w:hAnsi="仿宋_GB2312" w:cs="仿宋_GB2312" w:eastAsia="仿宋_GB2312"/>
              </w:rPr>
              <w:t>使用节水灌溉设备、有机肥料、可回收花盆容器、太阳能照明设施、雨水收集系统等绿色举措： （1）采用5项具体环保措施且有证明材料：10分； （2）采用3-4项具体环保措施且有证明材料：6分； （3）采用1-2项具体环保措施且有证明材料：3分； （4）无具体措施：0分。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节能环保措施.docx</w:t>
            </w:r>
          </w:p>
        </w:tc>
      </w:tr>
      <w:tr>
        <w:tc>
          <w:tcPr>
            <w:tcW w:type="dxa" w:w="831"/>
            <w:vMerge/>
          </w:tcPr>
          <w:p/>
        </w:tc>
        <w:tc>
          <w:tcPr>
            <w:tcW w:type="dxa" w:w="1661"/>
          </w:tcPr>
          <w:p>
            <w:pPr>
              <w:pStyle w:val="null3"/>
            </w:pPr>
            <w:r>
              <w:rPr>
                <w:rFonts w:ascii="仿宋_GB2312" w:hAnsi="仿宋_GB2312" w:cs="仿宋_GB2312" w:eastAsia="仿宋_GB2312"/>
              </w:rPr>
              <w:t>设备、服务人员配备</w:t>
            </w:r>
          </w:p>
        </w:tc>
        <w:tc>
          <w:tcPr>
            <w:tcW w:type="dxa" w:w="2492"/>
          </w:tcPr>
          <w:p>
            <w:pPr>
              <w:pStyle w:val="null3"/>
            </w:pPr>
            <w:r>
              <w:rPr>
                <w:rFonts w:ascii="仿宋_GB2312" w:hAnsi="仿宋_GB2312" w:cs="仿宋_GB2312" w:eastAsia="仿宋_GB2312"/>
              </w:rPr>
              <w:t>（1）具备栽植、养护、巡检所需的专业设备（花卉运输车辆、浇水洒水车、修剪工具、打药设备、铁锹、耙子、营养土装卸工具、垃圾清运工具等），每提供1种设备的购置证明材料或租赁证明得1分，最多得8分；未提供设备相关证明得0分 （2）服务团队（7分）： 承诺投入本项目的数量（至少包含苗木采购专员、现场栽植技工、日常养护人员、专职巡检人员，提供人员名单及岗位分工）： ①≥20人得7分； ②≥15人得5分； ③≥10人得3分； ④＜10人得0分。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设备、服务人员配备.docx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自2023年7月1日至今（以合同签订日期为准），每提供1个绿化景观或植被装饰类服务合同（附合同关键页复印件）得2.5分，最高得10分。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标基准价，其价格分为满分。磋商报价得分=（评审基准价/磋商报价）×价格权值×100。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详见附件：安全文明施工.docx</w:t>
      </w:r>
    </w:p>
    <w:p>
      <w:pPr>
        <w:pStyle w:val="null3"/>
        <w:ind w:firstLine="960"/>
      </w:pPr>
      <w:r>
        <w:rPr>
          <w:rFonts w:ascii="仿宋_GB2312" w:hAnsi="仿宋_GB2312" w:cs="仿宋_GB2312" w:eastAsia="仿宋_GB2312"/>
        </w:rPr>
        <w:t>详见附件：服务响应承诺.docx</w:t>
      </w:r>
    </w:p>
    <w:p>
      <w:pPr>
        <w:pStyle w:val="null3"/>
        <w:ind w:firstLine="960"/>
      </w:pPr>
      <w:r>
        <w:rPr>
          <w:rFonts w:ascii="仿宋_GB2312" w:hAnsi="仿宋_GB2312" w:cs="仿宋_GB2312" w:eastAsia="仿宋_GB2312"/>
        </w:rPr>
        <w:t>详见附件：节能环保措施.docx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详见附件：设备、服务人员配备.docx</w:t>
      </w:r>
    </w:p>
    <w:p>
      <w:pPr>
        <w:pStyle w:val="null3"/>
        <w:ind w:firstLine="960"/>
      </w:pPr>
      <w:r>
        <w:rPr>
          <w:rFonts w:ascii="仿宋_GB2312" w:hAnsi="仿宋_GB2312" w:cs="仿宋_GB2312" w:eastAsia="仿宋_GB2312"/>
        </w:rPr>
        <w:t>详见附件：养护管理计划.docx</w:t>
      </w:r>
    </w:p>
    <w:p>
      <w:pPr>
        <w:pStyle w:val="null3"/>
        <w:ind w:firstLine="960"/>
      </w:pPr>
      <w:r>
        <w:rPr>
          <w:rFonts w:ascii="仿宋_GB2312" w:hAnsi="仿宋_GB2312" w:cs="仿宋_GB2312" w:eastAsia="仿宋_GB2312"/>
        </w:rPr>
        <w:t>详见附件：应急处置预案.docx</w:t>
      </w:r>
    </w:p>
    <w:p>
      <w:pPr>
        <w:pStyle w:val="null3"/>
        <w:ind w:firstLine="960"/>
      </w:pPr>
      <w:r>
        <w:rPr>
          <w:rFonts w:ascii="仿宋_GB2312" w:hAnsi="仿宋_GB2312" w:cs="仿宋_GB2312" w:eastAsia="仿宋_GB2312"/>
        </w:rPr>
        <w:t>详见附件：植被装饰方案.docx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详见附件：10.合同范本.docx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