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版本号：ZX2026-05-7520260622001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机器人实践教学平台建设项目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ZX2026-05-75</w:t>
      </w:r>
      <w:r>
        <w:br/>
      </w:r>
      <w:r>
        <w:br/>
      </w:r>
      <w:r>
        <w:br/>
      </w:r>
    </w:p>
    <w:p>
      <w:pPr>
        <w:pStyle w:val="null3"/>
        <w:jc w:val="center"/>
        <w:outlineLvl w:val="2"/>
      </w:pPr>
      <w:r>
        <w:rPr>
          <w:rFonts w:ascii="仿宋_GB2312" w:hAnsi="仿宋_GB2312" w:cs="仿宋_GB2312" w:eastAsia="仿宋_GB2312"/>
          <w:sz w:val="28"/>
          <w:b/>
        </w:rPr>
        <w:t>咸阳师范学院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咸阳师范学院</w:t>
      </w:r>
      <w:r>
        <w:rPr>
          <w:rFonts w:ascii="仿宋_GB2312" w:hAnsi="仿宋_GB2312" w:cs="仿宋_GB2312" w:eastAsia="仿宋_GB2312"/>
        </w:rPr>
        <w:t>委托，拟对</w:t>
      </w:r>
      <w:r>
        <w:rPr>
          <w:rFonts w:ascii="仿宋_GB2312" w:hAnsi="仿宋_GB2312" w:cs="仿宋_GB2312" w:eastAsia="仿宋_GB2312"/>
        </w:rPr>
        <w:t>机器人实践教学平台建设项目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机器人实践教学平台建设项目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本项目为机器人实践教学平台建设项目。具体采购内容详见招标文件第三章。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陕西省咸阳市渭城区文林路东段1号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 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029-33720069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崔文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采购包1：769,200.00元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采购包1保证金金额：10,575.00元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说明：合同签订前，中标人须向采购人缴纳项目履约保证金，金额为合同总金额的5%。项目验收合格后，甲方一次性无息返还至乙方指定账户。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咸阳师范学院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按照招标文件及合同文本要求执行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联系人：崔文、梁文龙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本项目为机器人实践教学平台建设项目。具体采购内容详见招标文件第三章。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769,200.00</w:t>
      </w:r>
    </w:p>
    <w:p>
      <w:pPr>
        <w:pStyle w:val="null3"/>
      </w:pPr>
      <w:r>
        <w:rPr>
          <w:rFonts w:ascii="仿宋_GB2312" w:hAnsi="仿宋_GB2312" w:cs="仿宋_GB2312" w:eastAsia="仿宋_GB2312"/>
        </w:rPr>
        <w:t>采购包最高限价（元）: 769,200.00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769,200.00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产品名称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多模态复合机器人开发平台</w:t>
                  </w:r>
                </w:p>
              </w:tc>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具身智能大模型人形机器人实践平台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AI大模型四足机器狗</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机器人创新组件</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机器人创新实验平台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多模态复合机器人地图场景</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实验台凳</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双人实验桌凳</w:t>
                  </w:r>
                </w:p>
              </w:tc>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讲台转椅</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实验室环境建设</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批</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（一）多模态复合机器人开发平台</w:t>
            </w:r>
          </w:p>
          <w:p>
            <w:pPr>
              <w:pStyle w:val="null3"/>
            </w:pPr>
            <w:r>
              <w:rPr>
                <w:rFonts w:ascii="仿宋_GB2312" w:hAnsi="仿宋_GB2312" w:cs="仿宋_GB2312" w:eastAsia="仿宋_GB2312"/>
              </w:rPr>
              <w:t>多模态复合机器人开发平台总体构成包含供电系统、车体底盘、主控系统、系统接口、机械臂、3D深度相机（含臂载双目3D相机、全局3D深度相机）、音频采集识别播报模块、激光雷达、显示系统、软件系统、课程资源等；</w:t>
            </w:r>
          </w:p>
          <w:p>
            <w:pPr>
              <w:pStyle w:val="null3"/>
            </w:pPr>
            <w:r>
              <w:rPr>
                <w:rFonts w:ascii="仿宋_GB2312" w:hAnsi="仿宋_GB2312" w:cs="仿宋_GB2312" w:eastAsia="仿宋_GB2312"/>
              </w:rPr>
              <w:t>1、整机尺寸：长*宽*高≥ 310*250*450（mm）；</w:t>
            </w:r>
          </w:p>
          <w:p>
            <w:pPr>
              <w:pStyle w:val="null3"/>
            </w:pPr>
            <w:r>
              <w:rPr>
                <w:rFonts w:ascii="仿宋_GB2312" w:hAnsi="仿宋_GB2312" w:cs="仿宋_GB2312" w:eastAsia="仿宋_GB2312"/>
              </w:rPr>
              <w:t>2、供电：≥5000mAh锂电池；</w:t>
            </w:r>
          </w:p>
          <w:p>
            <w:pPr>
              <w:pStyle w:val="null3"/>
            </w:pPr>
            <w:r>
              <w:rPr>
                <w:rFonts w:ascii="仿宋_GB2312" w:hAnsi="仿宋_GB2312" w:cs="仿宋_GB2312" w:eastAsia="仿宋_GB2312"/>
              </w:rPr>
              <w:t>3、车体底盘：后轮双边摆式悬挂差速底盘：轮胎种类及数量：≥2个全向轮+2个实心橡胶轮；轮胎材质：尼龙加纤材质（全向轮）、高密度橡胶搭配铸铝轮毂（实心轮）</w:t>
            </w:r>
          </w:p>
          <w:p>
            <w:pPr>
              <w:pStyle w:val="null3"/>
            </w:pPr>
            <w:r>
              <w:rPr>
                <w:rFonts w:ascii="仿宋_GB2312" w:hAnsi="仿宋_GB2312" w:cs="仿宋_GB2312" w:eastAsia="仿宋_GB2312"/>
              </w:rPr>
              <w:t>4.车体主控系统：</w:t>
            </w:r>
          </w:p>
          <w:p>
            <w:pPr>
              <w:pStyle w:val="null3"/>
            </w:pPr>
            <w:r>
              <w:rPr>
                <w:rFonts w:ascii="仿宋_GB2312" w:hAnsi="仿宋_GB2312" w:cs="仿宋_GB2312" w:eastAsia="仿宋_GB2312"/>
              </w:rPr>
              <w:t>★4.1、GPU : AI运算核心≥32个，并行计算核心≥1024颗，主频≥600MHz、显存位宽≥128bit、显存容量≥8GB；支持同等算力、可兼容业务程序稳定运行的异构算力芯片视同满足；</w:t>
            </w:r>
          </w:p>
          <w:p>
            <w:pPr>
              <w:pStyle w:val="null3"/>
            </w:pPr>
            <w:r>
              <w:rPr>
                <w:rFonts w:ascii="仿宋_GB2312" w:hAnsi="仿宋_GB2312" w:cs="仿宋_GB2312" w:eastAsia="仿宋_GB2312"/>
              </w:rPr>
              <w:t>4.2、CPU:≥6核，≥64位架构，主频≥1.5GHz，整机AI推理总算力≥40TOPS；</w:t>
            </w:r>
          </w:p>
          <w:p>
            <w:pPr>
              <w:pStyle w:val="null3"/>
            </w:pPr>
            <w:r>
              <w:rPr>
                <w:rFonts w:ascii="仿宋_GB2312" w:hAnsi="仿宋_GB2312" w:cs="仿宋_GB2312" w:eastAsia="仿宋_GB2312"/>
              </w:rPr>
              <w:t>4.3、内存:≥8GB；</w:t>
            </w:r>
          </w:p>
          <w:p>
            <w:pPr>
              <w:pStyle w:val="null3"/>
            </w:pPr>
            <w:r>
              <w:rPr>
                <w:rFonts w:ascii="仿宋_GB2312" w:hAnsi="仿宋_GB2312" w:cs="仿宋_GB2312" w:eastAsia="仿宋_GB2312"/>
              </w:rPr>
              <w:t>5、车体系统接口：</w:t>
            </w:r>
          </w:p>
          <w:p>
            <w:pPr>
              <w:pStyle w:val="null3"/>
            </w:pPr>
            <w:r>
              <w:rPr>
                <w:rFonts w:ascii="仿宋_GB2312" w:hAnsi="仿宋_GB2312" w:cs="仿宋_GB2312" w:eastAsia="仿宋_GB2312"/>
              </w:rPr>
              <w:t>5.1、开发接口：≥2路GPIO接口，≥2路I²C接口，≥1路串口接口、内置LED灯、≥2个可编程按键、SWD调试接口，串口、ADC、≥2路USB串口、≥1个蓝牙接口。≥4路编码器电机接口、≥4路PWM舵机接口、≥2路总线舵机接口、CAN总线。</w:t>
            </w:r>
          </w:p>
          <w:p>
            <w:pPr>
              <w:pStyle w:val="null3"/>
            </w:pPr>
            <w:r>
              <w:rPr>
                <w:rFonts w:ascii="仿宋_GB2312" w:hAnsi="仿宋_GB2312" w:cs="仿宋_GB2312" w:eastAsia="仿宋_GB2312"/>
              </w:rPr>
              <w:t>5.2、MCU拓展模块：硬件集成 24PIN 无线模组接口；板载 Debug 调试串口，仿真器接口。 板载不少于28PIN的IO 口，还包含IIC、ADC3.3V、UART 等功能，3.3V电源输出。云技术可获取感知和传输层数据，提供网络拓扑图、网络 JSON 数据包、历史数据等信息；提供云端与本地访问功能；该模块搭载开源操作系统，支持国产开源系统部署适配；</w:t>
            </w:r>
          </w:p>
          <w:p>
            <w:pPr>
              <w:pStyle w:val="null3"/>
            </w:pPr>
            <w:r>
              <w:rPr>
                <w:rFonts w:ascii="仿宋_GB2312" w:hAnsi="仿宋_GB2312" w:cs="仿宋_GB2312" w:eastAsia="仿宋_GB2312"/>
              </w:rPr>
              <w:t>6、机械臂：</w:t>
            </w:r>
          </w:p>
          <w:p>
            <w:pPr>
              <w:pStyle w:val="null3"/>
            </w:pPr>
            <w:r>
              <w:rPr>
                <w:rFonts w:ascii="仿宋_GB2312" w:hAnsi="仿宋_GB2312" w:cs="仿宋_GB2312" w:eastAsia="仿宋_GB2312"/>
              </w:rPr>
              <w:t>6.1、关节自由度：≥5自由度+夹持器、末端负载≥500克、旋转半径≥430mm；</w:t>
            </w:r>
          </w:p>
          <w:p>
            <w:pPr>
              <w:pStyle w:val="null3"/>
            </w:pPr>
            <w:r>
              <w:rPr>
                <w:rFonts w:ascii="仿宋_GB2312" w:hAnsi="仿宋_GB2312" w:cs="仿宋_GB2312" w:eastAsia="仿宋_GB2312"/>
              </w:rPr>
              <w:t>6.2、机械臂舵机堵转扭矩≥45N·m、转动角度0°-240°（±0.25°）、工作模式为舵机模式/减速电机模式；</w:t>
            </w:r>
          </w:p>
          <w:p>
            <w:pPr>
              <w:pStyle w:val="null3"/>
            </w:pPr>
            <w:r>
              <w:rPr>
                <w:rFonts w:ascii="仿宋_GB2312" w:hAnsi="仿宋_GB2312" w:cs="仿宋_GB2312" w:eastAsia="仿宋_GB2312"/>
              </w:rPr>
              <w:t>6.3、机械臂总线舵机接线端口不少于3个；</w:t>
            </w:r>
          </w:p>
          <w:p>
            <w:pPr>
              <w:pStyle w:val="null3"/>
            </w:pPr>
            <w:r>
              <w:rPr>
                <w:rFonts w:ascii="仿宋_GB2312" w:hAnsi="仿宋_GB2312" w:cs="仿宋_GB2312" w:eastAsia="仿宋_GB2312"/>
              </w:rPr>
              <w:t>7、3D深度相机：</w:t>
            </w:r>
          </w:p>
          <w:p>
            <w:pPr>
              <w:pStyle w:val="null3"/>
            </w:pPr>
            <w:r>
              <w:rPr>
                <w:rFonts w:ascii="仿宋_GB2312" w:hAnsi="仿宋_GB2312" w:cs="仿宋_GB2312" w:eastAsia="仿宋_GB2312"/>
              </w:rPr>
              <w:t>7.1、具备两个3D深度相机，分为机器人臂载双目3D相机和机器人全局3D深度相机；</w:t>
            </w:r>
          </w:p>
          <w:p>
            <w:pPr>
              <w:pStyle w:val="null3"/>
            </w:pPr>
            <w:r>
              <w:rPr>
                <w:rFonts w:ascii="仿宋_GB2312" w:hAnsi="仿宋_GB2312" w:cs="仿宋_GB2312" w:eastAsia="仿宋_GB2312"/>
              </w:rPr>
              <w:t>7.2、3D相机的RGB图像分辨率≥1920*1080；</w:t>
            </w:r>
          </w:p>
          <w:p>
            <w:pPr>
              <w:pStyle w:val="null3"/>
            </w:pPr>
            <w:r>
              <w:rPr>
                <w:rFonts w:ascii="仿宋_GB2312" w:hAnsi="仿宋_GB2312" w:cs="仿宋_GB2312" w:eastAsia="仿宋_GB2312"/>
              </w:rPr>
              <w:t>7.3、臂载双目3D相机：装载于机械臂末端工作范围≥0.25~2.5米、精度1m±5mm、视场角（FOV）：≥H65.0°*V45.0°*D75°；视场角（RGB）：≥H70.00°*V55.00°*D80.00°；</w:t>
            </w:r>
          </w:p>
          <w:p>
            <w:pPr>
              <w:pStyle w:val="null3"/>
            </w:pPr>
            <w:r>
              <w:rPr>
                <w:rFonts w:ascii="仿宋_GB2312" w:hAnsi="仿宋_GB2312" w:cs="仿宋_GB2312" w:eastAsia="仿宋_GB2312"/>
              </w:rPr>
              <w:t>7.4 机器人全局3D深度相机：装载于机器人支架顶端、工作范围不低于0.6~8米；视场角（FOV）：≥H55.0°*V45.0°；视场角（RGB）：≥H65.0°*V40.0°；</w:t>
            </w:r>
          </w:p>
          <w:p>
            <w:pPr>
              <w:pStyle w:val="null3"/>
            </w:pPr>
            <w:r>
              <w:rPr>
                <w:rFonts w:ascii="仿宋_GB2312" w:hAnsi="仿宋_GB2312" w:cs="仿宋_GB2312" w:eastAsia="仿宋_GB2312"/>
              </w:rPr>
              <w:t>8、车载音频采集识别播报模块：≥6路麦克风阵列、拾音距离≥9m、声源定位不大于1°、角度范围360°、支持普通话&amp;英语、具有自定义指令词、回声消除、音频降噪功能；</w:t>
            </w:r>
          </w:p>
          <w:p>
            <w:pPr>
              <w:pStyle w:val="null3"/>
            </w:pPr>
            <w:r>
              <w:rPr>
                <w:rFonts w:ascii="仿宋_GB2312" w:hAnsi="仿宋_GB2312" w:cs="仿宋_GB2312" w:eastAsia="仿宋_GB2312"/>
              </w:rPr>
              <w:t>9、车载激光雷达：通讯速率≥1Mbps、角分辨率不大于0.12°、扫描半径0.05m-18m、采样频率≥32KHZ、扫描频率≥10Hz；</w:t>
            </w:r>
          </w:p>
          <w:p>
            <w:pPr>
              <w:pStyle w:val="null3"/>
            </w:pPr>
            <w:r>
              <w:rPr>
                <w:rFonts w:ascii="仿宋_GB2312" w:hAnsi="仿宋_GB2312" w:cs="仿宋_GB2312" w:eastAsia="仿宋_GB2312"/>
              </w:rPr>
              <w:t>10、车载显示系统：</w:t>
            </w:r>
          </w:p>
          <w:p>
            <w:pPr>
              <w:pStyle w:val="null3"/>
            </w:pPr>
            <w:r>
              <w:rPr>
                <w:rFonts w:ascii="仿宋_GB2312" w:hAnsi="仿宋_GB2312" w:cs="仿宋_GB2312" w:eastAsia="仿宋_GB2312"/>
              </w:rPr>
              <w:t>10.1、显示器≥7英寸OLCD主屏，≥1024*600分辨率，触摸控制；</w:t>
            </w:r>
          </w:p>
          <w:p>
            <w:pPr>
              <w:pStyle w:val="null3"/>
            </w:pPr>
            <w:r>
              <w:rPr>
                <w:rFonts w:ascii="仿宋_GB2312" w:hAnsi="仿宋_GB2312" w:cs="仿宋_GB2312" w:eastAsia="仿宋_GB2312"/>
              </w:rPr>
              <w:t>10.2、提供OLED显示副屏，支持用户配置信息等显示；</w:t>
            </w:r>
          </w:p>
          <w:p>
            <w:pPr>
              <w:pStyle w:val="null3"/>
            </w:pPr>
            <w:r>
              <w:rPr>
                <w:rFonts w:ascii="仿宋_GB2312" w:hAnsi="仿宋_GB2312" w:cs="仿宋_GB2312" w:eastAsia="仿宋_GB2312"/>
              </w:rPr>
              <w:t>11、软件系统：</w:t>
            </w:r>
          </w:p>
          <w:p>
            <w:pPr>
              <w:pStyle w:val="null3"/>
            </w:pPr>
            <w:r>
              <w:rPr>
                <w:rFonts w:ascii="仿宋_GB2312" w:hAnsi="仿宋_GB2312" w:cs="仿宋_GB2312" w:eastAsia="仿宋_GB2312"/>
              </w:rPr>
              <w:t>11.1、车体主控系统支持操作系统兼容Ubuntu22.04LTS及以上；具备同等兼容 ROS、Python/C/C++ 开发环境的 Linux 发行版；</w:t>
            </w:r>
          </w:p>
          <w:p>
            <w:pPr>
              <w:pStyle w:val="null3"/>
            </w:pPr>
            <w:r>
              <w:rPr>
                <w:rFonts w:ascii="仿宋_GB2312" w:hAnsi="仿宋_GB2312" w:cs="仿宋_GB2312" w:eastAsia="仿宋_GB2312"/>
              </w:rPr>
              <w:t>11.2、机器人控制系统：</w:t>
            </w:r>
          </w:p>
          <w:p>
            <w:pPr>
              <w:pStyle w:val="null3"/>
            </w:pPr>
            <w:r>
              <w:rPr>
                <w:rFonts w:ascii="仿宋_GB2312" w:hAnsi="仿宋_GB2312" w:cs="仿宋_GB2312" w:eastAsia="仿宋_GB2312"/>
              </w:rPr>
              <w:t>11.2.1、手机APP：支持IOS/安卓双端控制，拥有机体遥控、激光雷达、目标追踪、取色巡线、AR等快速体验功能。</w:t>
            </w:r>
          </w:p>
          <w:p>
            <w:pPr>
              <w:pStyle w:val="null3"/>
            </w:pPr>
            <w:r>
              <w:rPr>
                <w:rFonts w:ascii="仿宋_GB2312" w:hAnsi="仿宋_GB2312" w:cs="仿宋_GB2312" w:eastAsia="仿宋_GB2312"/>
              </w:rPr>
              <w:t>11.2.2、无线手柄控制：底盘接有 USB 手柄接收器，可用PS2手柄无线控制机器人完成基础移动。</w:t>
            </w:r>
          </w:p>
          <w:p>
            <w:pPr>
              <w:pStyle w:val="null3"/>
            </w:pPr>
            <w:r>
              <w:rPr>
                <w:rFonts w:ascii="仿宋_GB2312" w:hAnsi="仿宋_GB2312" w:cs="仿宋_GB2312" w:eastAsia="仿宋_GB2312"/>
              </w:rPr>
              <w:t>11.2.3、上位机控制软件：软件界面包含舵机操控区域、动作详情列表、动作组设置区域、偏差设置区域。可通过滑杆调整舵机位置，支持手掰编程、角度回读，动作组编辑、偏差读取等操作；NoMachine远程控制：可通过连接机器人的热点，直接在电脑上进入机器人系统桌面，进而完成控制操作。</w:t>
            </w:r>
          </w:p>
          <w:p>
            <w:pPr>
              <w:pStyle w:val="null3"/>
            </w:pPr>
            <w:r>
              <w:rPr>
                <w:rFonts w:ascii="仿宋_GB2312" w:hAnsi="仿宋_GB2312" w:cs="仿宋_GB2312" w:eastAsia="仿宋_GB2312"/>
              </w:rPr>
              <w:t>11.3、云接入PC端网关系统：有配置数据中心接入点、云接入账号/密钥管理；一键二维码分享网络配置、二维码扫描等功能。</w:t>
            </w:r>
          </w:p>
          <w:p>
            <w:pPr>
              <w:pStyle w:val="null3"/>
            </w:pPr>
            <w:r>
              <w:rPr>
                <w:rFonts w:ascii="仿宋_GB2312" w:hAnsi="仿宋_GB2312" w:cs="仿宋_GB2312" w:eastAsia="仿宋_GB2312"/>
              </w:rPr>
              <w:t>11.3.1、云接入PC端网关系统远程服务：采用标准的json数据包，支持本地摄像头视频推流和WEB端浏览器访问实时视频;</w:t>
            </w:r>
          </w:p>
          <w:p>
            <w:pPr>
              <w:pStyle w:val="null3"/>
            </w:pPr>
            <w:r>
              <w:rPr>
                <w:rFonts w:ascii="仿宋_GB2312" w:hAnsi="仿宋_GB2312" w:cs="仿宋_GB2312" w:eastAsia="仿宋_GB2312"/>
              </w:rPr>
              <w:t>▲11.3.2、本地服务无须外网，通过网关本地服务，即可实现本地局域网内手机及WEB访问MCU拓展模块；云接入PC端网关系统支持Windows等系统，能自动可视化的方式生成接入到云数据中心的接入帐号。</w:t>
            </w:r>
          </w:p>
          <w:p>
            <w:pPr>
              <w:pStyle w:val="null3"/>
            </w:pPr>
            <w:r>
              <w:rPr>
                <w:rFonts w:ascii="仿宋_GB2312" w:hAnsi="仿宋_GB2312" w:cs="仿宋_GB2312" w:eastAsia="仿宋_GB2312"/>
              </w:rPr>
              <w:t>11.4、B/S架构WEB端开发调试工具：具有BS WEB跨平台架构，学生可以远程登陆进行设备访问调试包括MCU拓展模块等，支持多用户同时访问同一设备并实现消息同步，支持对各种智能感控设备的远程信息化数据监测管理；具有用户客户端配置并连接数据中心，支持局域网以及互联网访问；WEB可视化的方式展示实时数据、历史数据、网络拓扑、视频数据；（提供演示）</w:t>
            </w:r>
          </w:p>
          <w:p>
            <w:pPr>
              <w:pStyle w:val="null3"/>
            </w:pPr>
            <w:r>
              <w:rPr>
                <w:rFonts w:ascii="仿宋_GB2312" w:hAnsi="仿宋_GB2312" w:cs="仿宋_GB2312" w:eastAsia="仿宋_GB2312"/>
              </w:rPr>
              <w:t>11.5、数据传输</w:t>
            </w:r>
          </w:p>
          <w:p>
            <w:pPr>
              <w:pStyle w:val="null3"/>
            </w:pPr>
            <w:r>
              <w:rPr>
                <w:rFonts w:ascii="仿宋_GB2312" w:hAnsi="仿宋_GB2312" w:cs="仿宋_GB2312" w:eastAsia="仿宋_GB2312"/>
              </w:rPr>
              <w:t>11.5.1、实时数据：通过消息推送接口，须能够实时在线显示被控设备的名称类型、网络地址，显示设备通信的原始数据流；程序设计中的控制方法提供调试与功能原型验证：用户可以选定相应的MAC地址设备进行控制，指令下发，数据状态回显；调试指令支持JSON标准数据格式包；</w:t>
            </w:r>
          </w:p>
          <w:p>
            <w:pPr>
              <w:pStyle w:val="null3"/>
            </w:pPr>
            <w:r>
              <w:rPr>
                <w:rFonts w:ascii="仿宋_GB2312" w:hAnsi="仿宋_GB2312" w:cs="仿宋_GB2312" w:eastAsia="仿宋_GB2312"/>
              </w:rPr>
              <w:t>11.5.2、历史数据：能够对被控感知设备进行历史数据查询，支持数值型数据曲线图展示、同时支持JSON数据格式展示。具有数据库存储与查询；同时支持多种异构网络设备接入到互联网中心时的网络拓扑图与“互联网+”结构显示、动态数据流显示；</w:t>
            </w:r>
          </w:p>
          <w:p>
            <w:pPr>
              <w:pStyle w:val="null3"/>
            </w:pPr>
            <w:r>
              <w:rPr>
                <w:rFonts w:ascii="仿宋_GB2312" w:hAnsi="仿宋_GB2312" w:cs="仿宋_GB2312" w:eastAsia="仿宋_GB2312"/>
              </w:rPr>
              <w:t>11.6、应用软件操作界面具有中英双语，提供向导式校准工具；支持可视化的传感器监控，包括但不限于摄像头、传感器等；</w:t>
            </w:r>
          </w:p>
          <w:p>
            <w:pPr>
              <w:pStyle w:val="null3"/>
            </w:pPr>
            <w:r>
              <w:rPr>
                <w:rFonts w:ascii="仿宋_GB2312" w:hAnsi="仿宋_GB2312" w:cs="仿宋_GB2312" w:eastAsia="仿宋_GB2312"/>
              </w:rPr>
              <w:t>▲11.7、具有加速仿真，对已结束的实验进行3D回放，支持暂停、快进以及进度条展示，支持虚拟摄像头的调用完成视觉编程训练，支持 STL、OBJ、DAE 等主流 3D 格式直接导入，坐标系与单位可自动识别与转换；</w:t>
            </w:r>
          </w:p>
          <w:p>
            <w:pPr>
              <w:pStyle w:val="null3"/>
            </w:pPr>
            <w:r>
              <w:rPr>
                <w:rFonts w:ascii="仿宋_GB2312" w:hAnsi="仿宋_GB2312" w:cs="仿宋_GB2312" w:eastAsia="仿宋_GB2312"/>
              </w:rPr>
              <w:t>11.8、具有内置的逻辑编辑器实现程序的自动控制逻辑验证，包括触发器、执行器、执行任务的创建等，具有查询、创建、删除等功能；</w:t>
            </w:r>
          </w:p>
          <w:p>
            <w:pPr>
              <w:pStyle w:val="null3"/>
            </w:pPr>
            <w:r>
              <w:rPr>
                <w:rFonts w:ascii="仿宋_GB2312" w:hAnsi="仿宋_GB2312" w:cs="仿宋_GB2312" w:eastAsia="仿宋_GB2312"/>
              </w:rPr>
              <w:t>11.9、舵机自带实体键盘映射配置界面，支持 W/A/S/D、方向键及自定义组合键实时控制机器人；仿真窗口同步显示机器人运动轨迹、速度、朝向等数据；</w:t>
            </w:r>
          </w:p>
          <w:p>
            <w:pPr>
              <w:pStyle w:val="null3"/>
            </w:pPr>
            <w:r>
              <w:rPr>
                <w:rFonts w:ascii="仿宋_GB2312" w:hAnsi="仿宋_GB2312" w:cs="仿宋_GB2312" w:eastAsia="仿宋_GB2312"/>
              </w:rPr>
              <w:t>12、课程资源：</w:t>
            </w:r>
          </w:p>
          <w:p>
            <w:pPr>
              <w:pStyle w:val="null3"/>
            </w:pPr>
            <w:r>
              <w:rPr>
                <w:rFonts w:ascii="仿宋_GB2312" w:hAnsi="仿宋_GB2312" w:cs="仿宋_GB2312" w:eastAsia="仿宋_GB2312"/>
              </w:rPr>
              <w:t>▲12.1、课程资料：≥80学时课程资料和讲解视频、程序源码等内容，至少涵盖机器人入门、编程环境及系统环境搭建、Linux基础课程、Python基础课程、OpenCV基础课程、ROS基础课程、STM32控制板课程、ROS主控教程、底盘运动控制课程、激光雷达课程、深度相机基础课程、建图与导航课程、ROS+OpenCV课程、ROS+机器学习课程、Movelt及Gazebo仿真课程等课程。</w:t>
            </w:r>
          </w:p>
          <w:p>
            <w:pPr>
              <w:pStyle w:val="null3"/>
            </w:pPr>
            <w:r>
              <w:rPr>
                <w:rFonts w:ascii="仿宋_GB2312" w:hAnsi="仿宋_GB2312" w:cs="仿宋_GB2312" w:eastAsia="仿宋_GB2312"/>
              </w:rPr>
              <w:t>▲12.2、实验课程：提供≥40个实验案例，机器人ROS操作系统实验课程、机器人运动控制基础与操作实验课程、ROS激光雷达开发基础课程、激光雷达环境感知实验课程、激光雷达即时定位与地图构建SLAM实验、激光雷达路径规划与自主导航实验课程、基于ROS深度相机开发实验基础课程、基于ROS深度相机的图像识别实验课程、基于ROS深度相机的3D应用实验课程、基于深度相机的即时定位与地图构建SLAM实验课程、基于ROS深度相机的路径规划与自主导航课程、机器人仿真开发基础实验课程、机器人仿真开发操作实验课程、基于ROS的机械臂开发基础实验课程、基于ROS的机械臂运动控制实验课程、视觉机械臂开发基础实验课程、视觉机械臂应用开发实验等课程；</w:t>
            </w:r>
          </w:p>
          <w:p>
            <w:pPr>
              <w:pStyle w:val="null3"/>
            </w:pPr>
            <w:r>
              <w:rPr>
                <w:rFonts w:ascii="仿宋_GB2312" w:hAnsi="仿宋_GB2312" w:cs="仿宋_GB2312" w:eastAsia="仿宋_GB2312"/>
              </w:rPr>
              <w:t>12.3、三维视觉建图与导航项目：运用RTABSLAM算法，小车融合视觉和雷达数据可构建三维彩色地图，并在三维地图中自主导航避障；小车可通过机械臂上的3D深度相机，探测前方道路，进而调整机身行驶角度实现自主过桥；通过深度学习技术，支持主流目标检测算法框架完成自主模型训练、图像识别、目标追踪。通过逆运动算法从而实现目标追踪；小车可通过麦克风阵列实现声源定位、语音唤醒和语音识别。再通过机载扬声器，进行语音回复，可设置播报内容；</w:t>
            </w:r>
          </w:p>
          <w:p>
            <w:pPr>
              <w:pStyle w:val="null3"/>
            </w:pPr>
            <w:r>
              <w:rPr>
                <w:rFonts w:ascii="仿宋_GB2312" w:hAnsi="仿宋_GB2312" w:cs="仿宋_GB2312" w:eastAsia="仿宋_GB2312"/>
              </w:rPr>
              <w:t>12.4、内置搬运示例场景项目</w:t>
            </w:r>
          </w:p>
          <w:p>
            <w:pPr>
              <w:pStyle w:val="null3"/>
            </w:pPr>
            <w:r>
              <w:rPr>
                <w:rFonts w:ascii="仿宋_GB2312" w:hAnsi="仿宋_GB2312" w:cs="仿宋_GB2312" w:eastAsia="仿宋_GB2312"/>
              </w:rPr>
              <w:t>12.4.1、含起始点/目标点设置、路径规划、导航避障、抓取/卸载动作脚本；同时具有自主导航与指令式控制两种模式，用人声指令控制小车在已建好地图上进行自主导航，到达任意指定位置；通过3D深度视觉机械臂，可以获取所处环境的3D点云图像，将物品的深度信息和RGB信息进行融合，进行关节自适应调节，实现三维空间内的任意抓取。（提供演示）</w:t>
            </w:r>
          </w:p>
          <w:p>
            <w:pPr>
              <w:pStyle w:val="null3"/>
            </w:pPr>
            <w:r>
              <w:rPr>
                <w:rFonts w:ascii="仿宋_GB2312" w:hAnsi="仿宋_GB2312" w:cs="仿宋_GB2312" w:eastAsia="仿宋_GB2312"/>
              </w:rPr>
              <w:t xml:space="preserve">12.4.2、程序启动，激活机器人后，可通过语音对机器人进行操控，指令下达后，终端将识别到的语音内容，阵列麦克风则会播报经思考生成的回答，并同步执行相应动作； </w:t>
            </w:r>
          </w:p>
          <w:p>
            <w:pPr>
              <w:pStyle w:val="null3"/>
            </w:pPr>
            <w:r>
              <w:rPr>
                <w:rFonts w:ascii="仿宋_GB2312" w:hAnsi="仿宋_GB2312" w:cs="仿宋_GB2312" w:eastAsia="仿宋_GB2312"/>
              </w:rPr>
              <w:t>12.4.3、提供机器人完成赛项场景任务，包括语音启动、上下坡道、随机障碍和固定障碍穿越、物品识别、物品随机位置采集、自主返回机器人基地等任务；</w:t>
            </w:r>
          </w:p>
          <w:p>
            <w:pPr>
              <w:pStyle w:val="null3"/>
            </w:pPr>
            <w:r>
              <w:rPr>
                <w:rFonts w:ascii="仿宋_GB2312" w:hAnsi="仿宋_GB2312" w:cs="仿宋_GB2312" w:eastAsia="仿宋_GB2312"/>
              </w:rPr>
              <w:t>12.4.4、机器人可通过具身智能算法识别理解视觉画面场景，当收到追踪画面某一物体指令后，机器人可通过视觉算法对该物体进行追踪；</w:t>
            </w:r>
          </w:p>
          <w:p>
            <w:pPr>
              <w:pStyle w:val="null3"/>
            </w:pPr>
            <w:r>
              <w:rPr>
                <w:rFonts w:ascii="仿宋_GB2312" w:hAnsi="仿宋_GB2312" w:cs="仿宋_GB2312" w:eastAsia="仿宋_GB2312"/>
              </w:rPr>
              <w:t>13、技术服务要求：</w:t>
            </w:r>
          </w:p>
          <w:p>
            <w:pPr>
              <w:pStyle w:val="null3"/>
            </w:pPr>
            <w:r>
              <w:rPr>
                <w:rFonts w:ascii="仿宋_GB2312" w:hAnsi="仿宋_GB2312" w:cs="仿宋_GB2312" w:eastAsia="仿宋_GB2312"/>
              </w:rPr>
              <w:t>13.1 支持不少于2个A类赛事如中国机器人及人工智能大赛、全国大学生信息安全与对抗技术竞赛等；</w:t>
            </w:r>
          </w:p>
          <w:p>
            <w:pPr>
              <w:pStyle w:val="null3"/>
            </w:pPr>
            <w:r>
              <w:rPr>
                <w:rFonts w:ascii="仿宋_GB2312" w:hAnsi="仿宋_GB2312" w:cs="仿宋_GB2312" w:eastAsia="仿宋_GB2312"/>
              </w:rPr>
              <w:t>13.2针对赛事，提供原厂上门技术支持不少于4次。</w:t>
            </w:r>
          </w:p>
          <w:p>
            <w:pPr>
              <w:pStyle w:val="null3"/>
            </w:pPr>
            <w:r>
              <w:rPr>
                <w:rFonts w:ascii="仿宋_GB2312" w:hAnsi="仿宋_GB2312" w:cs="仿宋_GB2312" w:eastAsia="仿宋_GB2312"/>
              </w:rPr>
              <w:t>（二）具身智能大模型人形机器人实践平台</w:t>
            </w:r>
          </w:p>
          <w:p>
            <w:pPr>
              <w:pStyle w:val="null3"/>
            </w:pPr>
            <w:r>
              <w:rPr>
                <w:rFonts w:ascii="仿宋_GB2312" w:hAnsi="仿宋_GB2312" w:cs="仿宋_GB2312" w:eastAsia="仿宋_GB2312"/>
              </w:rPr>
              <w:t>1、机器人机体要求</w:t>
            </w:r>
          </w:p>
          <w:p>
            <w:pPr>
              <w:pStyle w:val="null3"/>
            </w:pPr>
            <w:r>
              <w:rPr>
                <w:rFonts w:ascii="仿宋_GB2312" w:hAnsi="仿宋_GB2312" w:cs="仿宋_GB2312" w:eastAsia="仿宋_GB2312"/>
              </w:rPr>
              <w:t>1.1、高宽厚(站立)：≥1300×450×200mm；</w:t>
            </w:r>
          </w:p>
          <w:p>
            <w:pPr>
              <w:pStyle w:val="null3"/>
            </w:pPr>
            <w:r>
              <w:rPr>
                <w:rFonts w:ascii="仿宋_GB2312" w:hAnsi="仿宋_GB2312" w:cs="仿宋_GB2312" w:eastAsia="仿宋_GB2312"/>
              </w:rPr>
              <w:t>1.2、高宽厚(折叠)：≤700×450×300mm；</w:t>
            </w:r>
          </w:p>
          <w:p>
            <w:pPr>
              <w:pStyle w:val="null3"/>
            </w:pPr>
            <w:r>
              <w:rPr>
                <w:rFonts w:ascii="仿宋_GB2312" w:hAnsi="仿宋_GB2312" w:cs="仿宋_GB2312" w:eastAsia="仿宋_GB2312"/>
              </w:rPr>
              <w:t>1.3、负载：≥35kg；</w:t>
            </w:r>
          </w:p>
          <w:p>
            <w:pPr>
              <w:pStyle w:val="null3"/>
            </w:pPr>
            <w:r>
              <w:rPr>
                <w:rFonts w:ascii="仿宋_GB2312" w:hAnsi="仿宋_GB2312" w:cs="仿宋_GB2312" w:eastAsia="仿宋_GB2312"/>
              </w:rPr>
              <w:t>1.4.总自由度(关节电机)：≥23；</w:t>
            </w:r>
          </w:p>
          <w:p>
            <w:pPr>
              <w:pStyle w:val="null3"/>
            </w:pPr>
            <w:r>
              <w:rPr>
                <w:rFonts w:ascii="仿宋_GB2312" w:hAnsi="仿宋_GB2312" w:cs="仿宋_GB2312" w:eastAsia="仿宋_GB2312"/>
              </w:rPr>
              <w:t>1.5、单腿自由度：≥6个；</w:t>
            </w:r>
          </w:p>
          <w:p>
            <w:pPr>
              <w:pStyle w:val="null3"/>
            </w:pPr>
            <w:r>
              <w:rPr>
                <w:rFonts w:ascii="仿宋_GB2312" w:hAnsi="仿宋_GB2312" w:cs="仿宋_GB2312" w:eastAsia="仿宋_GB2312"/>
              </w:rPr>
              <w:t>1.6、腰部自由度：≥1个；</w:t>
            </w:r>
          </w:p>
          <w:p>
            <w:pPr>
              <w:pStyle w:val="null3"/>
            </w:pPr>
            <w:r>
              <w:rPr>
                <w:rFonts w:ascii="仿宋_GB2312" w:hAnsi="仿宋_GB2312" w:cs="仿宋_GB2312" w:eastAsia="仿宋_GB2312"/>
              </w:rPr>
              <w:t>1.7、单手臂自由度：≥5个；</w:t>
            </w:r>
          </w:p>
          <w:p>
            <w:pPr>
              <w:pStyle w:val="null3"/>
            </w:pPr>
            <w:r>
              <w:rPr>
                <w:rFonts w:ascii="仿宋_GB2312" w:hAnsi="仿宋_GB2312" w:cs="仿宋_GB2312" w:eastAsia="仿宋_GB2312"/>
              </w:rPr>
              <w:t>1.8、支持OTA升级；感知传感器，深度相机最小深度距离40CM，深度图像分辨率≥1280*720@30fps，≥848*480@90fps，深度视场角≥85°*55°；3D激光雷达激光波长≥905nm，FOV水平360°，竖直-5°-50°、≥4麦克风阵列、≥5W扬声器；</w:t>
            </w:r>
          </w:p>
          <w:p>
            <w:pPr>
              <w:pStyle w:val="null3"/>
            </w:pPr>
            <w:r>
              <w:rPr>
                <w:rFonts w:ascii="仿宋_GB2312" w:hAnsi="仿宋_GB2312" w:cs="仿宋_GB2312" w:eastAsia="仿宋_GB2312"/>
              </w:rPr>
              <w:t>1.9、膝关节扭矩：≥120N.m；关节运动空间，腰部Z轴关节：Z±155°、X±45°、Y±158°；膝关节：0~165°；髋关节：P±154°、R-30~±170°、Y±158°；手腕关节：二自由度手腕P±92.5°、Y±92.5°；</w:t>
            </w:r>
          </w:p>
          <w:p>
            <w:pPr>
              <w:pStyle w:val="null3"/>
            </w:pPr>
            <w:r>
              <w:rPr>
                <w:rFonts w:ascii="仿宋_GB2312" w:hAnsi="仿宋_GB2312" w:cs="仿宋_GB2312" w:eastAsia="仿宋_GB2312"/>
              </w:rPr>
              <w:t>1.10、手臂负载≥3kg；手臂臂展≥0.45m；</w:t>
            </w:r>
          </w:p>
          <w:p>
            <w:pPr>
              <w:pStyle w:val="null3"/>
            </w:pPr>
            <w:r>
              <w:rPr>
                <w:rFonts w:ascii="仿宋_GB2312" w:hAnsi="仿宋_GB2312" w:cs="仿宋_GB2312" w:eastAsia="仿宋_GB2312"/>
              </w:rPr>
              <w:t>1.11、小腿+大腿长度：≥0.6m；</w:t>
            </w:r>
          </w:p>
          <w:p>
            <w:pPr>
              <w:pStyle w:val="null3"/>
            </w:pPr>
            <w:r>
              <w:rPr>
                <w:rFonts w:ascii="仿宋_GB2312" w:hAnsi="仿宋_GB2312" w:cs="仿宋_GB2312" w:eastAsia="仿宋_GB2312"/>
              </w:rPr>
              <w:t>1.12、全关节中空内走线，局部风冷散热；</w:t>
            </w:r>
          </w:p>
          <w:p>
            <w:pPr>
              <w:pStyle w:val="null3"/>
            </w:pPr>
            <w:r>
              <w:rPr>
                <w:rFonts w:ascii="仿宋_GB2312" w:hAnsi="仿宋_GB2312" w:cs="仿宋_GB2312" w:eastAsia="仿宋_GB2312"/>
              </w:rPr>
              <w:t>1.13、关节编码器：双编码器，重复精度±2bit；</w:t>
            </w:r>
          </w:p>
          <w:p>
            <w:pPr>
              <w:pStyle w:val="null3"/>
            </w:pPr>
            <w:r>
              <w:rPr>
                <w:rFonts w:ascii="仿宋_GB2312" w:hAnsi="仿宋_GB2312" w:cs="仿宋_GB2312" w:eastAsia="仿宋_GB2312"/>
              </w:rPr>
              <w:t>1.14、CPU≥8核，主频≥2.1GHz；</w:t>
            </w:r>
          </w:p>
          <w:p>
            <w:pPr>
              <w:pStyle w:val="null3"/>
            </w:pPr>
            <w:r>
              <w:rPr>
                <w:rFonts w:ascii="仿宋_GB2312" w:hAnsi="仿宋_GB2312" w:cs="仿宋_GB2312" w:eastAsia="仿宋_GB2312"/>
              </w:rPr>
              <w:t>1.15、具备推理算力≥100Tops算力的拓展坞；</w:t>
            </w:r>
          </w:p>
          <w:p>
            <w:pPr>
              <w:pStyle w:val="null3"/>
            </w:pPr>
            <w:r>
              <w:rPr>
                <w:rFonts w:ascii="仿宋_GB2312" w:hAnsi="仿宋_GB2312" w:cs="仿宋_GB2312" w:eastAsia="仿宋_GB2312"/>
              </w:rPr>
              <w:t xml:space="preserve">▲1.16、支持高层和底层的二次开发，提供用户使用，软件开发等手册等，提供高层控制行走功能的二次开发文档及例程，提供底层控制电机的位置、速度和力矩功能的二次开发文档及例程。通用Ubuntu操作系统，含AI算法及技术支持； </w:t>
            </w:r>
          </w:p>
          <w:p>
            <w:pPr>
              <w:pStyle w:val="null3"/>
            </w:pPr>
            <w:r>
              <w:rPr>
                <w:rFonts w:ascii="仿宋_GB2312" w:hAnsi="仿宋_GB2312" w:cs="仿宋_GB2312" w:eastAsia="仿宋_GB2312"/>
              </w:rPr>
              <w:t>1.17、提供调用运动控制的接口≥3个XT30UPB-F接口、≥2个RJ45接口、≥4个Type-C接口、≥1个I/O接口；</w:t>
            </w:r>
          </w:p>
          <w:p>
            <w:pPr>
              <w:pStyle w:val="null3"/>
            </w:pPr>
            <w:r>
              <w:rPr>
                <w:rFonts w:ascii="仿宋_GB2312" w:hAnsi="仿宋_GB2312" w:cs="仿宋_GB2312" w:eastAsia="仿宋_GB2312"/>
              </w:rPr>
              <w:t>1.18、提供产学研赛合作支持；</w:t>
            </w:r>
          </w:p>
          <w:p>
            <w:pPr>
              <w:pStyle w:val="null3"/>
            </w:pPr>
            <w:r>
              <w:rPr>
                <w:rFonts w:ascii="仿宋_GB2312" w:hAnsi="仿宋_GB2312" w:cs="仿宋_GB2312" w:eastAsia="仿宋_GB2312"/>
              </w:rPr>
              <w:t>2、配套网络设备要求</w:t>
            </w:r>
          </w:p>
          <w:p>
            <w:pPr>
              <w:pStyle w:val="null3"/>
            </w:pPr>
            <w:r>
              <w:rPr>
                <w:rFonts w:ascii="仿宋_GB2312" w:hAnsi="仿宋_GB2312" w:cs="仿宋_GB2312" w:eastAsia="仿宋_GB2312"/>
              </w:rPr>
              <w:t>2.1、网络连接模块</w:t>
            </w:r>
          </w:p>
          <w:p>
            <w:pPr>
              <w:pStyle w:val="null3"/>
            </w:pPr>
            <w:r>
              <w:rPr>
                <w:rFonts w:ascii="仿宋_GB2312" w:hAnsi="仿宋_GB2312" w:cs="仿宋_GB2312" w:eastAsia="仿宋_GB2312"/>
              </w:rPr>
              <w:t>2.1.1、交换容量≥30Gbps;</w:t>
            </w:r>
          </w:p>
          <w:p>
            <w:pPr>
              <w:pStyle w:val="null3"/>
            </w:pPr>
            <w:r>
              <w:rPr>
                <w:rFonts w:ascii="仿宋_GB2312" w:hAnsi="仿宋_GB2312" w:cs="仿宋_GB2312" w:eastAsia="仿宋_GB2312"/>
              </w:rPr>
              <w:t>2.1.2、包转发率≥22Mpps;</w:t>
            </w:r>
          </w:p>
          <w:p>
            <w:pPr>
              <w:pStyle w:val="null3"/>
            </w:pPr>
            <w:r>
              <w:rPr>
                <w:rFonts w:ascii="仿宋_GB2312" w:hAnsi="仿宋_GB2312" w:cs="仿宋_GB2312" w:eastAsia="仿宋_GB2312"/>
              </w:rPr>
              <w:t>2.1.3、端口类型 ≥16个千兆电口;</w:t>
            </w:r>
          </w:p>
          <w:p>
            <w:pPr>
              <w:pStyle w:val="null3"/>
            </w:pPr>
            <w:r>
              <w:rPr>
                <w:rFonts w:ascii="仿宋_GB2312" w:hAnsi="仿宋_GB2312" w:cs="仿宋_GB2312" w:eastAsia="仿宋_GB2312"/>
              </w:rPr>
              <w:t>2.1.4、二层功能:支持 MAC 地址≥8K;</w:t>
            </w:r>
          </w:p>
          <w:p>
            <w:pPr>
              <w:pStyle w:val="null3"/>
            </w:pPr>
            <w:r>
              <w:rPr>
                <w:rFonts w:ascii="仿宋_GB2312" w:hAnsi="仿宋_GB2312" w:cs="仿宋_GB2312" w:eastAsia="仿宋_GB2312"/>
              </w:rPr>
              <w:t>2.1.5、工作模式:支持标准模式、端口隔离、汇聚上联、流量控制</w:t>
            </w:r>
          </w:p>
          <w:p>
            <w:pPr>
              <w:pStyle w:val="null3"/>
            </w:pPr>
            <w:r>
              <w:rPr>
                <w:rFonts w:ascii="仿宋_GB2312" w:hAnsi="仿宋_GB2312" w:cs="仿宋_GB2312" w:eastAsia="仿宋_GB2312"/>
              </w:rPr>
              <w:t>2.2、无线通讯模块</w:t>
            </w:r>
          </w:p>
          <w:p>
            <w:pPr>
              <w:pStyle w:val="null3"/>
            </w:pPr>
            <w:r>
              <w:rPr>
                <w:rFonts w:ascii="仿宋_GB2312" w:hAnsi="仿宋_GB2312" w:cs="仿宋_GB2312" w:eastAsia="仿宋_GB2312"/>
              </w:rPr>
              <w:t>2.2.1、带机量≥100; AP接入数量≥8；</w:t>
            </w:r>
          </w:p>
          <w:p>
            <w:pPr>
              <w:pStyle w:val="null3"/>
            </w:pPr>
            <w:r>
              <w:rPr>
                <w:rFonts w:ascii="仿宋_GB2312" w:hAnsi="仿宋_GB2312" w:cs="仿宋_GB2312" w:eastAsia="仿宋_GB2312"/>
              </w:rPr>
              <w:t>2.2.2、出口带宽≥2Gbps;</w:t>
            </w:r>
          </w:p>
          <w:p>
            <w:pPr>
              <w:pStyle w:val="null3"/>
            </w:pPr>
            <w:r>
              <w:rPr>
                <w:rFonts w:ascii="仿宋_GB2312" w:hAnsi="仿宋_GB2312" w:cs="仿宋_GB2312" w:eastAsia="仿宋_GB2312"/>
              </w:rPr>
              <w:t>2.2.3、IPSec VPN,隧道数≥8；VPN转发性能≥200Mbps；</w:t>
            </w:r>
          </w:p>
          <w:p>
            <w:pPr>
              <w:pStyle w:val="null3"/>
            </w:pPr>
            <w:r>
              <w:rPr>
                <w:rFonts w:ascii="仿宋_GB2312" w:hAnsi="仿宋_GB2312" w:cs="仿宋_GB2312" w:eastAsia="仿宋_GB2312"/>
              </w:rPr>
              <w:t>2.2.4、应用识别数量≥500；</w:t>
            </w:r>
          </w:p>
          <w:p>
            <w:pPr>
              <w:pStyle w:val="null3"/>
            </w:pPr>
            <w:r>
              <w:rPr>
                <w:rFonts w:ascii="仿宋_GB2312" w:hAnsi="仿宋_GB2312" w:cs="仿宋_GB2312" w:eastAsia="仿宋_GB2312"/>
              </w:rPr>
              <w:t>2.2.5、支持WIFI,无线标准：2.4G: 802.11b/g/n/ax/be; 5G: 802.11a/n/ac/ac wave2/ax/be;</w:t>
            </w:r>
          </w:p>
          <w:p>
            <w:pPr>
              <w:pStyle w:val="null3"/>
            </w:pPr>
            <w:r>
              <w:rPr>
                <w:rFonts w:ascii="仿宋_GB2312" w:hAnsi="仿宋_GB2312" w:cs="仿宋_GB2312" w:eastAsia="仿宋_GB2312"/>
              </w:rPr>
              <w:t>2.2.6、2.5GE端口数量≥1；</w:t>
            </w:r>
          </w:p>
          <w:p>
            <w:pPr>
              <w:pStyle w:val="null3"/>
            </w:pPr>
            <w:r>
              <w:rPr>
                <w:rFonts w:ascii="仿宋_GB2312" w:hAnsi="仿宋_GB2312" w:cs="仿宋_GB2312" w:eastAsia="仿宋_GB2312"/>
              </w:rPr>
              <w:t>2.2.7、以太网交换支持Eth-Trunk；</w:t>
            </w:r>
          </w:p>
          <w:p>
            <w:pPr>
              <w:pStyle w:val="null3"/>
            </w:pPr>
            <w:r>
              <w:rPr>
                <w:rFonts w:ascii="仿宋_GB2312" w:hAnsi="仿宋_GB2312" w:cs="仿宋_GB2312" w:eastAsia="仿宋_GB2312"/>
              </w:rPr>
              <w:t>2.2.8、Wan/LAN转换,支持数量≥4；</w:t>
            </w:r>
          </w:p>
          <w:p>
            <w:pPr>
              <w:pStyle w:val="null3"/>
            </w:pPr>
            <w:r>
              <w:rPr>
                <w:rFonts w:ascii="仿宋_GB2312" w:hAnsi="仿宋_GB2312" w:cs="仿宋_GB2312" w:eastAsia="仿宋_GB2312"/>
              </w:rPr>
              <w:t>2.2.9、具备业务加速口。</w:t>
            </w:r>
          </w:p>
          <w:p>
            <w:pPr>
              <w:pStyle w:val="null3"/>
            </w:pPr>
            <w:r>
              <w:rPr>
                <w:rFonts w:ascii="仿宋_GB2312" w:hAnsi="仿宋_GB2312" w:cs="仿宋_GB2312" w:eastAsia="仿宋_GB2312"/>
              </w:rPr>
              <w:t>（三）AI大模型四足机器狗</w:t>
            </w:r>
          </w:p>
          <w:p>
            <w:pPr>
              <w:pStyle w:val="null3"/>
            </w:pPr>
            <w:r>
              <w:rPr>
                <w:rFonts w:ascii="仿宋_GB2312" w:hAnsi="仿宋_GB2312" w:cs="仿宋_GB2312" w:eastAsia="仿宋_GB2312"/>
              </w:rPr>
              <w:t>整体要求：AI大模型四足机器狗配合多模态复合机器人开发平台协同工作，实现统一指令控制、数据共享等功能；</w:t>
            </w:r>
          </w:p>
          <w:p>
            <w:pPr>
              <w:pStyle w:val="null3"/>
            </w:pPr>
            <w:r>
              <w:rPr>
                <w:rFonts w:ascii="仿宋_GB2312" w:hAnsi="仿宋_GB2312" w:cs="仿宋_GB2312" w:eastAsia="仿宋_GB2312"/>
              </w:rPr>
              <w:t>1、整机尺寸：长*高*宽≥330*210*210(mm)；</w:t>
            </w:r>
          </w:p>
          <w:p>
            <w:pPr>
              <w:pStyle w:val="null3"/>
            </w:pPr>
            <w:r>
              <w:rPr>
                <w:rFonts w:ascii="仿宋_GB2312" w:hAnsi="仿宋_GB2312" w:cs="仿宋_GB2312" w:eastAsia="仿宋_GB2312"/>
              </w:rPr>
              <w:t>2、供电：≥3500mAh 锂电池；</w:t>
            </w:r>
          </w:p>
          <w:p>
            <w:pPr>
              <w:pStyle w:val="null3"/>
            </w:pPr>
            <w:r>
              <w:rPr>
                <w:rFonts w:ascii="仿宋_GB2312" w:hAnsi="仿宋_GB2312" w:cs="仿宋_GB2312" w:eastAsia="仿宋_GB2312"/>
              </w:rPr>
              <w:t>3、自由度数量：≥12个自由度；</w:t>
            </w:r>
          </w:p>
          <w:p>
            <w:pPr>
              <w:pStyle w:val="null3"/>
            </w:pPr>
            <w:r>
              <w:rPr>
                <w:rFonts w:ascii="仿宋_GB2312" w:hAnsi="仿宋_GB2312" w:cs="仿宋_GB2312" w:eastAsia="仿宋_GB2312"/>
              </w:rPr>
              <w:t>4、机身结构材质：硬铝合金材料；</w:t>
            </w:r>
          </w:p>
          <w:p>
            <w:pPr>
              <w:pStyle w:val="null3"/>
            </w:pPr>
            <w:r>
              <w:rPr>
                <w:rFonts w:ascii="仿宋_GB2312" w:hAnsi="仿宋_GB2312" w:cs="仿宋_GB2312" w:eastAsia="仿宋_GB2312"/>
              </w:rPr>
              <w:t>5、控制系统：GPU 算力单元：算力≥128 个；CPU：≥4核心；系统运行内存≥4GB；支持主流 AI 开发框架；</w:t>
            </w:r>
          </w:p>
          <w:p>
            <w:pPr>
              <w:pStyle w:val="null3"/>
            </w:pPr>
            <w:r>
              <w:rPr>
                <w:rFonts w:ascii="仿宋_GB2312" w:hAnsi="仿宋_GB2312" w:cs="仿宋_GB2312" w:eastAsia="仿宋_GB2312"/>
              </w:rPr>
              <w:t>6、系统接口：≥2路GPIO接口，≥2路I²C接口、≥1路通信串口、≥1个LED灯、≥2个可编程按钮；</w:t>
            </w:r>
          </w:p>
          <w:p>
            <w:pPr>
              <w:pStyle w:val="null3"/>
            </w:pPr>
            <w:r>
              <w:rPr>
                <w:rFonts w:ascii="仿宋_GB2312" w:hAnsi="仿宋_GB2312" w:cs="仿宋_GB2312" w:eastAsia="仿宋_GB2312"/>
              </w:rPr>
              <w:t>7、激光雷达：测距频率≥4500Hz、扫描频率≥7Hz、测距范围≥12m；</w:t>
            </w:r>
          </w:p>
          <w:p>
            <w:pPr>
              <w:pStyle w:val="null3"/>
            </w:pPr>
            <w:r>
              <w:rPr>
                <w:rFonts w:ascii="仿宋_GB2312" w:hAnsi="仿宋_GB2312" w:cs="仿宋_GB2312" w:eastAsia="仿宋_GB2312"/>
              </w:rPr>
              <w:t>8、摄像头：≥800万像素、分辨率≥3200*2400；</w:t>
            </w:r>
          </w:p>
          <w:p>
            <w:pPr>
              <w:pStyle w:val="null3"/>
            </w:pPr>
            <w:r>
              <w:rPr>
                <w:rFonts w:ascii="仿宋_GB2312" w:hAnsi="仿宋_GB2312" w:cs="仿宋_GB2312" w:eastAsia="仿宋_GB2312"/>
              </w:rPr>
              <w:t>9、舵机：转速≤0.10sec/60°、堵转扭矩≥2.94N.m、舵机精度±0.3°；</w:t>
            </w:r>
          </w:p>
          <w:p>
            <w:pPr>
              <w:pStyle w:val="null3"/>
            </w:pPr>
            <w:r>
              <w:rPr>
                <w:rFonts w:ascii="仿宋_GB2312" w:hAnsi="仿宋_GB2312" w:cs="仿宋_GB2312" w:eastAsia="仿宋_GB2312"/>
              </w:rPr>
              <w:t>10、提供教学资料，使用入门介绍、Linux基础课程、Python基础课程、ROS基础课程、远程桌面工具安装与连接、ROS机器狗运动控制、ROS机器狗运作编辑课程、OpenCV计算机视觉学习、ROS+OpenCV视觉项目、ROS机器狗激光雷达课程、SLAM建图与自主导航、ROS+深度学习、玩法教学文档及python代码、安卓和iOS手机APP软件、nomachine软件、上位机软件等；</w:t>
            </w:r>
          </w:p>
          <w:p>
            <w:pPr>
              <w:pStyle w:val="null3"/>
            </w:pPr>
            <w:r>
              <w:rPr>
                <w:rFonts w:ascii="仿宋_GB2312" w:hAnsi="仿宋_GB2312" w:cs="仿宋_GB2312" w:eastAsia="仿宋_GB2312"/>
              </w:rPr>
              <w:t>11、软件系统：</w:t>
            </w:r>
          </w:p>
          <w:p>
            <w:pPr>
              <w:pStyle w:val="null3"/>
            </w:pPr>
            <w:r>
              <w:rPr>
                <w:rFonts w:ascii="仿宋_GB2312" w:hAnsi="仿宋_GB2312" w:cs="仿宋_GB2312" w:eastAsia="仿宋_GB2312"/>
              </w:rPr>
              <w:t>11.1、操作系统：ROS操作系统；</w:t>
            </w:r>
          </w:p>
          <w:p>
            <w:pPr>
              <w:pStyle w:val="null3"/>
            </w:pPr>
            <w:r>
              <w:rPr>
                <w:rFonts w:ascii="仿宋_GB2312" w:hAnsi="仿宋_GB2312" w:cs="仿宋_GB2312" w:eastAsia="仿宋_GB2312"/>
              </w:rPr>
              <w:t>11.2、编程语言：支持Python/C/C++；</w:t>
            </w:r>
          </w:p>
          <w:p>
            <w:pPr>
              <w:pStyle w:val="null3"/>
            </w:pPr>
            <w:r>
              <w:rPr>
                <w:rFonts w:ascii="仿宋_GB2312" w:hAnsi="仿宋_GB2312" w:cs="仿宋_GB2312" w:eastAsia="仿宋_GB2312"/>
              </w:rPr>
              <w:t xml:space="preserve">11.3、动作控制软件功能： </w:t>
            </w:r>
          </w:p>
          <w:p>
            <w:pPr>
              <w:pStyle w:val="null3"/>
            </w:pPr>
            <w:r>
              <w:rPr>
                <w:rFonts w:ascii="仿宋_GB2312" w:hAnsi="仿宋_GB2312" w:cs="仿宋_GB2312" w:eastAsia="仿宋_GB2312"/>
              </w:rPr>
              <w:t>11.3.1、内置多种表演动作组：可进行太空漫步、匍匐前进等表演动作，还可通过手机APP自定义表演动作；颜色追踪；标签识别，并根据标签做相应的动作等；可检测视野范围内出现的人脸；通过摄像头选取视野范围内线条的颜色，并利用颜色识别自主完成巡线移动；激光雷达控制：通过激光雷达扫描前方的物体，可在避障模式下会选择转向绕行；在跟随模式下会选择追踪移动；（提供演示）</w:t>
            </w:r>
          </w:p>
          <w:p>
            <w:pPr>
              <w:pStyle w:val="null3"/>
            </w:pPr>
            <w:r>
              <w:rPr>
                <w:rFonts w:ascii="仿宋_GB2312" w:hAnsi="仿宋_GB2312" w:cs="仿宋_GB2312" w:eastAsia="仿宋_GB2312"/>
              </w:rPr>
              <w:t>11.3.2、指尖轨迹控制：利用高清摄像头，机器狗可检测视野范围内出现的动态手势，通过手势可遥控做出相应动作；</w:t>
            </w:r>
          </w:p>
          <w:p>
            <w:pPr>
              <w:pStyle w:val="null3"/>
            </w:pPr>
            <w:r>
              <w:rPr>
                <w:rFonts w:ascii="仿宋_GB2312" w:hAnsi="仿宋_GB2312" w:cs="仿宋_GB2312" w:eastAsia="仿宋_GB2312"/>
              </w:rPr>
              <w:t>11.3.3、手机APP：可控制机器狗完成基础移动，可在移动过程中无极调节高度及姿态，实现边走边转弯。</w:t>
            </w:r>
          </w:p>
          <w:p>
            <w:pPr>
              <w:pStyle w:val="null3"/>
            </w:pPr>
            <w:r>
              <w:rPr>
                <w:rFonts w:ascii="仿宋_GB2312" w:hAnsi="仿宋_GB2312" w:cs="仿宋_GB2312" w:eastAsia="仿宋_GB2312"/>
              </w:rPr>
              <w:t>11.4、系统开发软件模块功能</w:t>
            </w:r>
          </w:p>
          <w:p>
            <w:pPr>
              <w:pStyle w:val="null3"/>
            </w:pPr>
            <w:r>
              <w:rPr>
                <w:rFonts w:ascii="仿宋_GB2312" w:hAnsi="仿宋_GB2312" w:cs="仿宋_GB2312" w:eastAsia="仿宋_GB2312"/>
              </w:rPr>
              <w:t>11.4.1、系统具有接口模块基于标准RESTful 设计，用户可以通过浏览器在线浏览、测试各个接口；具有Python 计算引擎，支持使用Python 进行算法开发；</w:t>
            </w:r>
          </w:p>
          <w:p>
            <w:pPr>
              <w:pStyle w:val="null3"/>
            </w:pPr>
            <w:r>
              <w:rPr>
                <w:rFonts w:ascii="仿宋_GB2312" w:hAnsi="仿宋_GB2312" w:cs="仿宋_GB2312" w:eastAsia="仿宋_GB2312"/>
              </w:rPr>
              <w:t>▲11.4.2、系统具有算法组件调用GPU 资源进行任务计算，在有GPU节点情况下，具有深度学习组件以可选方式使用GPU 资源运算组件；</w:t>
            </w:r>
          </w:p>
          <w:p>
            <w:pPr>
              <w:pStyle w:val="null3"/>
            </w:pPr>
            <w:r>
              <w:rPr>
                <w:rFonts w:ascii="仿宋_GB2312" w:hAnsi="仿宋_GB2312" w:cs="仿宋_GB2312" w:eastAsia="仿宋_GB2312"/>
              </w:rPr>
              <w:t>（四）机器人创新组件</w:t>
            </w:r>
          </w:p>
          <w:p>
            <w:pPr>
              <w:pStyle w:val="null3"/>
            </w:pPr>
            <w:r>
              <w:rPr>
                <w:rFonts w:ascii="仿宋_GB2312" w:hAnsi="仿宋_GB2312" w:cs="仿宋_GB2312" w:eastAsia="仿宋_GB2312"/>
              </w:rPr>
              <w:t>整体要求：机器人创新组件配合多模态复合机器人开发平台协同工作，协助完成多模态复合机器人开发平台的组装、开发、维护与协同控制实验；</w:t>
            </w:r>
          </w:p>
          <w:p>
            <w:pPr>
              <w:pStyle w:val="null3"/>
            </w:pPr>
            <w:r>
              <w:rPr>
                <w:rFonts w:ascii="仿宋_GB2312" w:hAnsi="仿宋_GB2312" w:cs="仿宋_GB2312" w:eastAsia="仿宋_GB2312"/>
              </w:rPr>
              <w:t>1、≥1个工程收纳箱（容量≥40L），≥3个EVA内胆，含至少2个零件收纳盒；</w:t>
            </w:r>
          </w:p>
          <w:p>
            <w:pPr>
              <w:pStyle w:val="null3"/>
            </w:pPr>
            <w:r>
              <w:rPr>
                <w:rFonts w:ascii="仿宋_GB2312" w:hAnsi="仿宋_GB2312" w:cs="仿宋_GB2312" w:eastAsia="仿宋_GB2312"/>
              </w:rPr>
              <w:t>2、金属结构件≥20种（包含平板零件、折弯零件、连杆零件、圆形零件、万向轮、传动轴等），总数≥320个，主要结构零件孔严格遵循GB/T 70.1-2008国家标准；</w:t>
            </w:r>
          </w:p>
          <w:p>
            <w:pPr>
              <w:pStyle w:val="null3"/>
            </w:pPr>
            <w:r>
              <w:rPr>
                <w:rFonts w:ascii="仿宋_GB2312" w:hAnsi="仿宋_GB2312" w:cs="仿宋_GB2312" w:eastAsia="仿宋_GB2312"/>
              </w:rPr>
              <w:t>2.1、主要材质为铝镁合金，厚度为≥2.0mm，冲压钣金工艺，非型材零件，外表金属原色喷砂氧化工艺。每个零件均有通孔和螺纹孔≥5个；</w:t>
            </w:r>
          </w:p>
          <w:p>
            <w:pPr>
              <w:pStyle w:val="null3"/>
            </w:pPr>
            <w:r>
              <w:rPr>
                <w:rFonts w:ascii="仿宋_GB2312" w:hAnsi="仿宋_GB2312" w:cs="仿宋_GB2312" w:eastAsia="仿宋_GB2312"/>
              </w:rPr>
              <w:t>2.2、平板零件：不少于3种，包括7×11孔平板，5×7孔平板，10mm滑轨板；</w:t>
            </w:r>
          </w:p>
          <w:p>
            <w:pPr>
              <w:pStyle w:val="null3"/>
            </w:pPr>
            <w:r>
              <w:rPr>
                <w:rFonts w:ascii="仿宋_GB2312" w:hAnsi="仿宋_GB2312" w:cs="仿宋_GB2312" w:eastAsia="仿宋_GB2312"/>
              </w:rPr>
              <w:t>2.3、折弯零件：不少于7种，包括输出支架、马达支架、大舵机支架、直流电机支架、舵机双折弯、U型支架、3×5折弯；</w:t>
            </w:r>
          </w:p>
          <w:p>
            <w:pPr>
              <w:pStyle w:val="null3"/>
            </w:pPr>
            <w:r>
              <w:rPr>
                <w:rFonts w:ascii="仿宋_GB2312" w:hAnsi="仿宋_GB2312" w:cs="仿宋_GB2312" w:eastAsia="仿宋_GB2312"/>
              </w:rPr>
              <w:t>2.4、连杆零件：不少于7种，包括机械手40mm、机械手40mm驱动、机械手指、双足腿、双足支杆、双足连杆、四足连杆；</w:t>
            </w:r>
          </w:p>
          <w:p>
            <w:pPr>
              <w:pStyle w:val="null3"/>
            </w:pPr>
            <w:r>
              <w:rPr>
                <w:rFonts w:ascii="仿宋_GB2312" w:hAnsi="仿宋_GB2312" w:cs="仿宋_GB2312" w:eastAsia="仿宋_GB2312"/>
              </w:rPr>
              <w:t>2.5、圆形零件：不少于3种，包括小轮、大轮、垫片10mm；</w:t>
            </w:r>
          </w:p>
          <w:p>
            <w:pPr>
              <w:pStyle w:val="null3"/>
            </w:pPr>
            <w:r>
              <w:rPr>
                <w:rFonts w:ascii="仿宋_GB2312" w:hAnsi="仿宋_GB2312" w:cs="仿宋_GB2312" w:eastAsia="仿宋_GB2312"/>
              </w:rPr>
              <w:t>2.6、万向轮：不少于1种；</w:t>
            </w:r>
          </w:p>
          <w:p>
            <w:pPr>
              <w:pStyle w:val="null3"/>
            </w:pPr>
            <w:r>
              <w:rPr>
                <w:rFonts w:ascii="仿宋_GB2312" w:hAnsi="仿宋_GB2312" w:cs="仿宋_GB2312" w:eastAsia="仿宋_GB2312"/>
              </w:rPr>
              <w:t>2.7、传动轴：不少于1种；</w:t>
            </w:r>
          </w:p>
          <w:p>
            <w:pPr>
              <w:pStyle w:val="null3"/>
            </w:pPr>
            <w:r>
              <w:rPr>
                <w:rFonts w:ascii="仿宋_GB2312" w:hAnsi="仿宋_GB2312" w:cs="仿宋_GB2312" w:eastAsia="仿宋_GB2312"/>
              </w:rPr>
              <w:t>3、塑胶结构件不少于10种，总数不少于260个。主要材质为ABS，主要为黑色，每个零件均有多个国际标准M3零件孔；</w:t>
            </w:r>
          </w:p>
          <w:p>
            <w:pPr>
              <w:pStyle w:val="null3"/>
            </w:pPr>
            <w:r>
              <w:rPr>
                <w:rFonts w:ascii="仿宋_GB2312" w:hAnsi="仿宋_GB2312" w:cs="仿宋_GB2312" w:eastAsia="仿宋_GB2312"/>
              </w:rPr>
              <w:t>3.1、齿轮：包括不少于2种；</w:t>
            </w:r>
          </w:p>
          <w:p>
            <w:pPr>
              <w:pStyle w:val="null3"/>
            </w:pPr>
            <w:r>
              <w:rPr>
                <w:rFonts w:ascii="仿宋_GB2312" w:hAnsi="仿宋_GB2312" w:cs="仿宋_GB2312" w:eastAsia="仿宋_GB2312"/>
              </w:rPr>
              <w:t>3.2、偏心轮：不少于2种；</w:t>
            </w:r>
          </w:p>
          <w:p>
            <w:pPr>
              <w:pStyle w:val="null3"/>
            </w:pPr>
            <w:r>
              <w:rPr>
                <w:rFonts w:ascii="仿宋_GB2312" w:hAnsi="仿宋_GB2312" w:cs="仿宋_GB2312" w:eastAsia="仿宋_GB2312"/>
              </w:rPr>
              <w:t>3.3、电机输出头：不少于3种；</w:t>
            </w:r>
          </w:p>
          <w:p>
            <w:pPr>
              <w:pStyle w:val="null3"/>
            </w:pPr>
            <w:r>
              <w:rPr>
                <w:rFonts w:ascii="仿宋_GB2312" w:hAnsi="仿宋_GB2312" w:cs="仿宋_GB2312" w:eastAsia="仿宋_GB2312"/>
              </w:rPr>
              <w:t>3.4、联轴器：不少于5个；</w:t>
            </w:r>
          </w:p>
          <w:p>
            <w:pPr>
              <w:pStyle w:val="null3"/>
            </w:pPr>
            <w:r>
              <w:rPr>
                <w:rFonts w:ascii="仿宋_GB2312" w:hAnsi="仿宋_GB2312" w:cs="仿宋_GB2312" w:eastAsia="仿宋_GB2312"/>
              </w:rPr>
              <w:t>3.5、模型轮胎：不少于4个1:10；</w:t>
            </w:r>
          </w:p>
          <w:p>
            <w:pPr>
              <w:pStyle w:val="null3"/>
            </w:pPr>
            <w:r>
              <w:rPr>
                <w:rFonts w:ascii="仿宋_GB2312" w:hAnsi="仿宋_GB2312" w:cs="仿宋_GB2312" w:eastAsia="仿宋_GB2312"/>
              </w:rPr>
              <w:t>3.6、硅胶轮胎不少于8个；</w:t>
            </w:r>
          </w:p>
          <w:p>
            <w:pPr>
              <w:pStyle w:val="null3"/>
            </w:pPr>
            <w:r>
              <w:rPr>
                <w:rFonts w:ascii="仿宋_GB2312" w:hAnsi="仿宋_GB2312" w:cs="仿宋_GB2312" w:eastAsia="仿宋_GB2312"/>
              </w:rPr>
              <w:t>3.7、可调式履带片：不少于100节，履带总长度不小于140cm；</w:t>
            </w:r>
          </w:p>
          <w:p>
            <w:pPr>
              <w:pStyle w:val="null3"/>
            </w:pPr>
            <w:r>
              <w:rPr>
                <w:rFonts w:ascii="仿宋_GB2312" w:hAnsi="仿宋_GB2312" w:cs="仿宋_GB2312" w:eastAsia="仿宋_GB2312"/>
              </w:rPr>
              <w:t>4、其他零配件不少于10种，总数不少于1000个，主要紧固零件严格遵循GB/T5277-1985国家标准；</w:t>
            </w:r>
          </w:p>
          <w:p>
            <w:pPr>
              <w:pStyle w:val="null3"/>
            </w:pPr>
            <w:r>
              <w:rPr>
                <w:rFonts w:ascii="仿宋_GB2312" w:hAnsi="仿宋_GB2312" w:cs="仿宋_GB2312" w:eastAsia="仿宋_GB2312"/>
              </w:rPr>
              <w:t>4.1、螺丝：不少于8种，主要为不锈钢材质，主要型号为国际标准M3；</w:t>
            </w:r>
          </w:p>
          <w:p>
            <w:pPr>
              <w:pStyle w:val="null3"/>
            </w:pPr>
            <w:r>
              <w:rPr>
                <w:rFonts w:ascii="仿宋_GB2312" w:hAnsi="仿宋_GB2312" w:cs="仿宋_GB2312" w:eastAsia="仿宋_GB2312"/>
              </w:rPr>
              <w:t>4.2、尼龙螺柱：不少于3种；</w:t>
            </w:r>
          </w:p>
          <w:p>
            <w:pPr>
              <w:pStyle w:val="null3"/>
            </w:pPr>
            <w:r>
              <w:rPr>
                <w:rFonts w:ascii="仿宋_GB2312" w:hAnsi="仿宋_GB2312" w:cs="仿宋_GB2312" w:eastAsia="仿宋_GB2312"/>
              </w:rPr>
              <w:t>4.3、铜套管：不少于3种；</w:t>
            </w:r>
          </w:p>
          <w:p>
            <w:pPr>
              <w:pStyle w:val="null3"/>
            </w:pPr>
            <w:r>
              <w:rPr>
                <w:rFonts w:ascii="仿宋_GB2312" w:hAnsi="仿宋_GB2312" w:cs="仿宋_GB2312" w:eastAsia="仿宋_GB2312"/>
              </w:rPr>
              <w:t>▲5、可组装不少于15种机器人模块，不少于40个机构作为实验平台。可完成不少于75个实验项目，包括机器人模块化设计、双轮机器人设计、履带机器人设计、云台实验、蛇形机器人实验、双足步行机器人实验、人车混合型机器人实验、仿生机器人实验、机械臂实验、机器人避障实验、机器人循迹实验、WiFi视频监控实验、语音对话实验、蓝牙通信实验、无线示教编程实验等；</w:t>
            </w:r>
          </w:p>
          <w:p>
            <w:pPr>
              <w:pStyle w:val="null3"/>
            </w:pPr>
            <w:r>
              <w:rPr>
                <w:rFonts w:ascii="仿宋_GB2312" w:hAnsi="仿宋_GB2312" w:cs="仿宋_GB2312" w:eastAsia="仿宋_GB2312"/>
              </w:rPr>
              <w:t>6、主控板</w:t>
            </w:r>
          </w:p>
          <w:p>
            <w:pPr>
              <w:pStyle w:val="null3"/>
            </w:pPr>
            <w:r>
              <w:rPr>
                <w:rFonts w:ascii="仿宋_GB2312" w:hAnsi="仿宋_GB2312" w:cs="仿宋_GB2312" w:eastAsia="仿宋_GB2312"/>
              </w:rPr>
              <w:t>6.1、主控处理器：32 位高性能 ARM 内核，主时钟频率≥160MHz，Flash≥512KB，SRAM≥190KB；硬件引脚接口布局兼容 Arduino 标准生态，数字 I/O 口≥58 路；供电支持 7V~12V；</w:t>
            </w:r>
          </w:p>
          <w:p>
            <w:pPr>
              <w:pStyle w:val="null3"/>
            </w:pPr>
            <w:r>
              <w:rPr>
                <w:rFonts w:ascii="仿宋_GB2312" w:hAnsi="仿宋_GB2312" w:cs="仿宋_GB2312" w:eastAsia="仿宋_GB2312"/>
              </w:rPr>
              <w:t>6.2、尺寸：不小于100*50mm，开有M3零件孔，孔距应为10mm的整倍数。应支持7v~12v的电压；</w:t>
            </w:r>
          </w:p>
          <w:p>
            <w:pPr>
              <w:pStyle w:val="null3"/>
            </w:pPr>
            <w:r>
              <w:rPr>
                <w:rFonts w:ascii="仿宋_GB2312" w:hAnsi="仿宋_GB2312" w:cs="仿宋_GB2312" w:eastAsia="仿宋_GB2312"/>
              </w:rPr>
              <w:t>6.3、存储：不少于512 KBytes的Flash；不少于190 KBytes的SRAM；不少于160Mhz的CPU时钟频率；Flash Memory 不少于32 KB，SRAM  不少于2 KB，工作时钟 16 MHz；主控板基于 Arduino 开源平台方案设计，兼容标准 Arduino 开发环境与开源生态，支持二次开发与功能扩展；</w:t>
            </w:r>
          </w:p>
          <w:p>
            <w:pPr>
              <w:pStyle w:val="null3"/>
            </w:pPr>
            <w:r>
              <w:rPr>
                <w:rFonts w:ascii="仿宋_GB2312" w:hAnsi="仿宋_GB2312" w:cs="仿宋_GB2312" w:eastAsia="仿宋_GB2312"/>
              </w:rPr>
              <w:t>6.4、数字输入/输出:具有至少包含14路，尺寸不大于60*60mm，有M3零件孔，孔距应为10mm的整倍数。应支持5v~20v的电压；</w:t>
            </w:r>
          </w:p>
          <w:p>
            <w:pPr>
              <w:pStyle w:val="null3"/>
            </w:pPr>
            <w:r>
              <w:rPr>
                <w:rFonts w:ascii="仿宋_GB2312" w:hAnsi="仿宋_GB2312" w:cs="仿宋_GB2312" w:eastAsia="仿宋_GB2312"/>
              </w:rPr>
              <w:t>7、扩展版：</w:t>
            </w:r>
          </w:p>
          <w:p>
            <w:pPr>
              <w:pStyle w:val="null3"/>
            </w:pPr>
            <w:r>
              <w:rPr>
                <w:rFonts w:ascii="仿宋_GB2312" w:hAnsi="仿宋_GB2312" w:cs="仿宋_GB2312" w:eastAsia="仿宋_GB2312"/>
              </w:rPr>
              <w:t>7.1、扩展驱动板：≥2个，完全兼容arduino控制板标准接口。可支持与主控板堆叠使用，3P、4P接口全部采用彩色镀金分组插针，防反插设计。可支持直接驱动舵机、直流电机、数码管等机器人常规执行部件，无需外围电路。</w:t>
            </w:r>
          </w:p>
          <w:p>
            <w:pPr>
              <w:pStyle w:val="null3"/>
            </w:pPr>
            <w:r>
              <w:rPr>
                <w:rFonts w:ascii="仿宋_GB2312" w:hAnsi="仿宋_GB2312" w:cs="仿宋_GB2312" w:eastAsia="仿宋_GB2312"/>
              </w:rPr>
              <w:t>7.2、扩展坞：板载至少2个2*5的杜邦座扩展坞；</w:t>
            </w:r>
          </w:p>
          <w:p>
            <w:pPr>
              <w:pStyle w:val="null3"/>
            </w:pPr>
            <w:r>
              <w:rPr>
                <w:rFonts w:ascii="仿宋_GB2312" w:hAnsi="仿宋_GB2312" w:cs="仿宋_GB2312" w:eastAsia="仿宋_GB2312"/>
              </w:rPr>
              <w:t>7.3、扩展版：≥1个兼容STM32；</w:t>
            </w:r>
          </w:p>
          <w:p>
            <w:pPr>
              <w:pStyle w:val="null3"/>
            </w:pPr>
            <w:r>
              <w:rPr>
                <w:rFonts w:ascii="仿宋_GB2312" w:hAnsi="仿宋_GB2312" w:cs="仿宋_GB2312" w:eastAsia="仿宋_GB2312"/>
              </w:rPr>
              <w:t>7.4、电机：可同时驱动4路直流电机；板载舵机接口、直流电机接口，可直接驱动舵机、直流电机等机器人常规执行部件，无需外围电路；电机不少于3种，总数不少于22个。包括两种扭矩的金属齿轮伺服电机，一种最大转动角度为180°，一种最大转动角度270°，额定扭矩≥18N·cm；一种双轴直流电机，减速比90；≥3块锂电池，额定电压7.0V，≥1100mAh，≥1个专用充电器；</w:t>
            </w:r>
          </w:p>
          <w:p>
            <w:pPr>
              <w:pStyle w:val="null3"/>
            </w:pPr>
            <w:r>
              <w:rPr>
                <w:rFonts w:ascii="仿宋_GB2312" w:hAnsi="仿宋_GB2312" w:cs="仿宋_GB2312" w:eastAsia="仿宋_GB2312"/>
              </w:rPr>
              <w:t>7.5、接口及外设：不少于3路串口，不少于7路PWM舵机接口；不少于14路传感器接口，不少于1个手柄扩展版，完全兼容Arduino接口。包含不少于2个X\Y轴摇杆电位器，可以通过AD转换读出扭动角度， 不少于2路独立按键，数字输出，方便使用。板上标注有各个模块的端口配置，方便调试。预留了其他没有占用的端口，方便后期扩展。兼容BIGFISH扩展板的扩展接口， 不少于1个I²C接口、 不少于1个TTL串口，不少于6个LED指示灯。通过该扩展板应可用于制作遥控手柄，结合无线模块可实现无线控制，提供示教编程固件；内置DDN，≥128M内存，≥16M Flash，预留≥4个GPIO接口；</w:t>
            </w:r>
          </w:p>
          <w:p>
            <w:pPr>
              <w:pStyle w:val="null3"/>
            </w:pPr>
            <w:r>
              <w:rPr>
                <w:rFonts w:ascii="仿宋_GB2312" w:hAnsi="仿宋_GB2312" w:cs="仿宋_GB2312" w:eastAsia="仿宋_GB2312"/>
              </w:rPr>
              <w:t>8、传感器：≥14种，总数≥24个。应包括触碰、近红外、灰度、光强、闪动、声控、白标、超声测距、陀螺仪、温湿度、编码器、颜色识别、语音识别、摄像头等。其中编码器对管宽度10mm，可与直流电机配合安装，形成直流伺服模块；</w:t>
            </w:r>
          </w:p>
          <w:p>
            <w:pPr>
              <w:pStyle w:val="null3"/>
            </w:pPr>
            <w:r>
              <w:rPr>
                <w:rFonts w:ascii="仿宋_GB2312" w:hAnsi="仿宋_GB2312" w:cs="仿宋_GB2312" w:eastAsia="仿宋_GB2312"/>
              </w:rPr>
              <w:t>9、摄像头：采用≥130万像素的CMOS传感器，非黑白摄像头，分辨率≥1280×960，帧数≥30fps，≥24bit色彩位数；</w:t>
            </w:r>
          </w:p>
          <w:p>
            <w:pPr>
              <w:pStyle w:val="null3"/>
            </w:pPr>
            <w:r>
              <w:rPr>
                <w:rFonts w:ascii="仿宋_GB2312" w:hAnsi="仿宋_GB2312" w:cs="仿宋_GB2312" w:eastAsia="仿宋_GB2312"/>
              </w:rPr>
              <w:t>10、通信模块：≥3种，支持蓝牙、无线串口2.4G、WiFi等通信模式；蓝牙串口模块具有命令响应工作模式和自动连接工作模式两种工作模式；</w:t>
            </w:r>
          </w:p>
          <w:p>
            <w:pPr>
              <w:pStyle w:val="null3"/>
            </w:pPr>
            <w:r>
              <w:rPr>
                <w:rFonts w:ascii="仿宋_GB2312" w:hAnsi="仿宋_GB2312" w:cs="仿宋_GB2312" w:eastAsia="仿宋_GB2312"/>
              </w:rPr>
              <w:t>11、系统软件：</w:t>
            </w:r>
          </w:p>
          <w:p>
            <w:pPr>
              <w:pStyle w:val="null3"/>
            </w:pPr>
            <w:r>
              <w:rPr>
                <w:rFonts w:ascii="仿宋_GB2312" w:hAnsi="仿宋_GB2312" w:cs="仿宋_GB2312" w:eastAsia="仿宋_GB2312"/>
              </w:rPr>
              <w:t>11.1、支持Android手机控制机器人，并提供.apk文件及开发教程。其中WiFi模块应具备双网口。支持连接USB摄像头，通过手机APP可以访问。支持连接U盘或USB移动硬盘，支持一键更新固件；</w:t>
            </w:r>
          </w:p>
          <w:p>
            <w:pPr>
              <w:pStyle w:val="null3"/>
            </w:pPr>
            <w:r>
              <w:rPr>
                <w:rFonts w:ascii="仿宋_GB2312" w:hAnsi="仿宋_GB2312" w:cs="仿宋_GB2312" w:eastAsia="仿宋_GB2312"/>
              </w:rPr>
              <w:t>11.2、语音识别模块支持非特定人语音识别技术，支持中文音素识别，支持中文识别词条，单次识别可支持不低于1000 条的语音命令；</w:t>
            </w:r>
          </w:p>
          <w:p>
            <w:pPr>
              <w:pStyle w:val="null3"/>
            </w:pPr>
            <w:r>
              <w:rPr>
                <w:rFonts w:ascii="仿宋_GB2312" w:hAnsi="仿宋_GB2312" w:cs="仿宋_GB2312" w:eastAsia="仿宋_GB2312"/>
              </w:rPr>
              <w:t>11.3、开发环境主控板具备示教编程功能，对任意设备进行脱离电脑的、快速的示教编程。支持国际流行的Arduino函数库。支持主流图形化编程环境，同时兼容 C 语言底层开发，支持Visual Studio，Eclipse、Sublime text等主流编程环境。提供机器人实验系统；</w:t>
            </w:r>
          </w:p>
          <w:p>
            <w:pPr>
              <w:pStyle w:val="null3"/>
            </w:pPr>
            <w:r>
              <w:rPr>
                <w:rFonts w:ascii="仿宋_GB2312" w:hAnsi="仿宋_GB2312" w:cs="仿宋_GB2312" w:eastAsia="仿宋_GB2312"/>
              </w:rPr>
              <w:t>11.4、配套开发系统具备容器化架构，支持深度学习框架，CPU/GPU异构计算分布式集群；</w:t>
            </w:r>
          </w:p>
          <w:p>
            <w:pPr>
              <w:pStyle w:val="null3"/>
            </w:pPr>
            <w:r>
              <w:rPr>
                <w:rFonts w:ascii="仿宋_GB2312" w:hAnsi="仿宋_GB2312" w:cs="仿宋_GB2312" w:eastAsia="仿宋_GB2312"/>
              </w:rPr>
              <w:t>11.5、提供编程环境所需全部软件，包括C语言编程软件、图形化编程插件、驱动程序、示教编程程序等；提供所有电子模块的电路文件，可用Protel打开；全部样机的3D文件，STP格式，可用于Pro/E、SolidWorks等软件搭建机器人虚拟样机，也可用于ANSYS、UG等软件进行运动学和动力学仿真；</w:t>
            </w:r>
          </w:p>
          <w:p>
            <w:pPr>
              <w:pStyle w:val="null3"/>
            </w:pPr>
            <w:r>
              <w:rPr>
                <w:rFonts w:ascii="仿宋_GB2312" w:hAnsi="仿宋_GB2312" w:cs="仿宋_GB2312" w:eastAsia="仿宋_GB2312"/>
              </w:rPr>
              <w:t>12、课程资源：</w:t>
            </w:r>
          </w:p>
          <w:p>
            <w:pPr>
              <w:pStyle w:val="null3"/>
            </w:pPr>
            <w:r>
              <w:rPr>
                <w:rFonts w:ascii="仿宋_GB2312" w:hAnsi="仿宋_GB2312" w:cs="仿宋_GB2312" w:eastAsia="仿宋_GB2312"/>
              </w:rPr>
              <w:t>12.1、提供模块化机器人创新教学与实践教材,提供电子版实验教程≥4种，实验教程提供≥80学时实验课，≥150课时，提供标准色卡电子图片；（提供演示）</w:t>
            </w:r>
          </w:p>
          <w:p>
            <w:pPr>
              <w:pStyle w:val="null3"/>
            </w:pPr>
            <w:r>
              <w:rPr>
                <w:rFonts w:ascii="仿宋_GB2312" w:hAnsi="仿宋_GB2312" w:cs="仿宋_GB2312" w:eastAsia="仿宋_GB2312"/>
              </w:rPr>
              <w:t>12.2、提供实验范例的全部源程序。提供≥100个样机视频；</w:t>
            </w:r>
          </w:p>
          <w:p>
            <w:pPr>
              <w:pStyle w:val="null3"/>
            </w:pPr>
            <w:r>
              <w:rPr>
                <w:rFonts w:ascii="仿宋_GB2312" w:hAnsi="仿宋_GB2312" w:cs="仿宋_GB2312" w:eastAsia="仿宋_GB2312"/>
              </w:rPr>
              <w:t>13、支持中国机器人及人工智能大赛、中国高校智能机器人创意大赛、国际青年人工智能大赛。</w:t>
            </w:r>
          </w:p>
          <w:p>
            <w:pPr>
              <w:pStyle w:val="null3"/>
            </w:pPr>
            <w:r>
              <w:rPr>
                <w:rFonts w:ascii="仿宋_GB2312" w:hAnsi="仿宋_GB2312" w:cs="仿宋_GB2312" w:eastAsia="仿宋_GB2312"/>
              </w:rPr>
              <w:t>（五）机器人创新实验平台</w:t>
            </w:r>
          </w:p>
          <w:p>
            <w:pPr>
              <w:pStyle w:val="null3"/>
            </w:pPr>
            <w:r>
              <w:rPr>
                <w:rFonts w:ascii="仿宋_GB2312" w:hAnsi="仿宋_GB2312" w:cs="仿宋_GB2312" w:eastAsia="仿宋_GB2312"/>
              </w:rPr>
              <w:t>整体要求：机器人创新实验平台配合多模态复合机器人开发平台协同工作，协助完成多模态复合机器人开发平台的硬件开发、设计及系统控制实验；</w:t>
            </w:r>
          </w:p>
          <w:p>
            <w:pPr>
              <w:pStyle w:val="null3"/>
            </w:pPr>
            <w:r>
              <w:rPr>
                <w:rFonts w:ascii="仿宋_GB2312" w:hAnsi="仿宋_GB2312" w:cs="仿宋_GB2312" w:eastAsia="仿宋_GB2312"/>
              </w:rPr>
              <w:t>1、基础平台要求：</w:t>
            </w:r>
          </w:p>
          <w:p>
            <w:pPr>
              <w:pStyle w:val="null3"/>
            </w:pPr>
            <w:r>
              <w:rPr>
                <w:rFonts w:ascii="仿宋_GB2312" w:hAnsi="仿宋_GB2312" w:cs="仿宋_GB2312" w:eastAsia="仿宋_GB2312"/>
              </w:rPr>
              <w:t>1.1、集成一体化设计，双处理器单元平台架构,双CPU能与可编程逻辑芯片实现硬件总线连接及数据交互，实现数字逻辑电路实验及功能扩展；</w:t>
            </w:r>
          </w:p>
          <w:p>
            <w:pPr>
              <w:pStyle w:val="null3"/>
            </w:pPr>
            <w:r>
              <w:rPr>
                <w:rFonts w:ascii="仿宋_GB2312" w:hAnsi="仿宋_GB2312" w:cs="仿宋_GB2312" w:eastAsia="仿宋_GB2312"/>
              </w:rPr>
              <w:t>1.2、搭载CPU≥8核,64位,主频≥2.4GHz ；GPU: 算力≥6Tops；内置AI加速器NPU，算力≥6Tops，支持int4/int8/int16/FP16/BF16/TF32，支持深度学习框架；支持H.265/H.264/AV1/VP9/AVS2视频解码，≥8K60FPS；内存≥8GB ；eMMC存储≥32GB；</w:t>
            </w:r>
          </w:p>
          <w:p>
            <w:pPr>
              <w:pStyle w:val="null3"/>
            </w:pPr>
            <w:r>
              <w:rPr>
                <w:rFonts w:ascii="仿宋_GB2312" w:hAnsi="仿宋_GB2312" w:cs="仿宋_GB2312" w:eastAsia="仿宋_GB2312"/>
              </w:rPr>
              <w:t>▲1.3、第一处理器单元可通过以太网、RS485、CAN等通讯方式与第二处理器单元进行数据交互，可进行相关实验。板载高性能FPGA芯片，逻辑单元≥75K，BRAM存储资源≥3780Kb。第二处理器单元采用≥32位CPU，主频≥168MHz，具有浮点单元；具备≥16MB的Flash存储器以及≥1MB的SRAM；</w:t>
            </w:r>
          </w:p>
          <w:p>
            <w:pPr>
              <w:pStyle w:val="null3"/>
            </w:pPr>
            <w:r>
              <w:rPr>
                <w:rFonts w:ascii="仿宋_GB2312" w:hAnsi="仿宋_GB2312" w:cs="仿宋_GB2312" w:eastAsia="仿宋_GB2312"/>
              </w:rPr>
              <w:t>1.4、第二处理器单元通过RS485、SPI、I2C、FSMC等总线与FPGA进行不少于2组RS485、不少于6组RS232、不少于8路DI、不少于8路DO、不少于1路继电器、不少于1组步进电机等接口扩展。进行数字逻辑电路实验时，第一和第二处理器单元均可作为其信号源输入工具，配合FPGA进行基础功能实验；</w:t>
            </w:r>
          </w:p>
          <w:p>
            <w:pPr>
              <w:pStyle w:val="null3"/>
            </w:pPr>
            <w:r>
              <w:rPr>
                <w:rFonts w:ascii="仿宋_GB2312" w:hAnsi="仿宋_GB2312" w:cs="仿宋_GB2312" w:eastAsia="仿宋_GB2312"/>
              </w:rPr>
              <w:t>1.5、主板功能：</w:t>
            </w:r>
          </w:p>
          <w:p>
            <w:pPr>
              <w:pStyle w:val="null3"/>
            </w:pPr>
            <w:r>
              <w:rPr>
                <w:rFonts w:ascii="仿宋_GB2312" w:hAnsi="仿宋_GB2312" w:cs="仿宋_GB2312" w:eastAsia="仿宋_GB2312"/>
              </w:rPr>
              <w:t>1.5.1、接口：具有HDMI视频输出接口，板载支持M.2接口硬盘。板载不少于2路USB2.0、2路USB3.0、1路TYPE-C USB带OTG下载接口、1路 USB to TTL调试接口、1路RS485接口、双1000M以太网络接口，板载不少于2组RS485接口，板载不少于6组RS232接口，不少于1组步进电机控制接口。板载不少于1路继电器控制接口，板内支持RS485，SPI，I2C，PCIe，CAN，GPIO，PWM等接口与其他平台进行通信交互，支持可控DC 5V输出、继电器等执行器控制接口</w:t>
            </w:r>
          </w:p>
          <w:p>
            <w:pPr>
              <w:pStyle w:val="null3"/>
            </w:pPr>
            <w:r>
              <w:rPr>
                <w:rFonts w:ascii="仿宋_GB2312" w:hAnsi="仿宋_GB2312" w:cs="仿宋_GB2312" w:eastAsia="仿宋_GB2312"/>
              </w:rPr>
              <w:t>1.5.2、通讯模组模块：具备M.2接口5G通讯模组，实现5G通讯功能；板载Wi-Fi，蓝牙；支持JTAG调试。</w:t>
            </w:r>
          </w:p>
          <w:p>
            <w:pPr>
              <w:pStyle w:val="null3"/>
            </w:pPr>
            <w:r>
              <w:rPr>
                <w:rFonts w:ascii="仿宋_GB2312" w:hAnsi="仿宋_GB2312" w:cs="仿宋_GB2312" w:eastAsia="仿宋_GB2312"/>
              </w:rPr>
              <w:t>1.5.3、指示灯：板载不少于4个LED指示灯；板载不少于3组红黄绿灯控制；</w:t>
            </w:r>
          </w:p>
          <w:p>
            <w:pPr>
              <w:pStyle w:val="null3"/>
            </w:pPr>
            <w:r>
              <w:rPr>
                <w:rFonts w:ascii="仿宋_GB2312" w:hAnsi="仿宋_GB2312" w:cs="仿宋_GB2312" w:eastAsia="仿宋_GB2312"/>
              </w:rPr>
              <w:t>1.5.4、板载按键：应至少包含：复位按键、下载按键、电源按键、3*3矩阵键盘等；</w:t>
            </w:r>
          </w:p>
          <w:p>
            <w:pPr>
              <w:pStyle w:val="null3"/>
            </w:pPr>
            <w:r>
              <w:rPr>
                <w:rFonts w:ascii="仿宋_GB2312" w:hAnsi="仿宋_GB2312" w:cs="仿宋_GB2312" w:eastAsia="仿宋_GB2312"/>
              </w:rPr>
              <w:t>1.5.5、电源：至少支持1路DAC输出，设备供电电压为DC至少包含5V、12V、24V、通用等电源；</w:t>
            </w:r>
          </w:p>
          <w:p>
            <w:pPr>
              <w:pStyle w:val="null3"/>
            </w:pPr>
            <w:r>
              <w:rPr>
                <w:rFonts w:ascii="仿宋_GB2312" w:hAnsi="仿宋_GB2312" w:cs="仿宋_GB2312" w:eastAsia="仿宋_GB2312"/>
              </w:rPr>
              <w:t>1.5.6、板载OLED液晶屏：尺寸不小于1.3英寸；</w:t>
            </w:r>
          </w:p>
          <w:p>
            <w:pPr>
              <w:pStyle w:val="null3"/>
            </w:pPr>
            <w:r>
              <w:rPr>
                <w:rFonts w:ascii="仿宋_GB2312" w:hAnsi="仿宋_GB2312" w:cs="仿宋_GB2312" w:eastAsia="仿宋_GB2312"/>
              </w:rPr>
              <w:t>1.5.7、控制：不少于6位八段数码管控制；</w:t>
            </w:r>
          </w:p>
          <w:p>
            <w:pPr>
              <w:pStyle w:val="null3"/>
            </w:pPr>
            <w:r>
              <w:rPr>
                <w:rFonts w:ascii="仿宋_GB2312" w:hAnsi="仿宋_GB2312" w:cs="仿宋_GB2312" w:eastAsia="仿宋_GB2312"/>
              </w:rPr>
              <w:t>1.5.8、扩展模块：至少包含I/O控制模块、多合一传感器模块、触摸液晶屏、USB高清摄像头。触摸液晶屏尺寸≥10英寸，分辨率≥1920*1080，刷新率≥60Hz。USB摄像头的分辨率≥1080P，帧数≥30帧，内置降噪麦克风；</w:t>
            </w:r>
          </w:p>
          <w:p>
            <w:pPr>
              <w:pStyle w:val="null3"/>
            </w:pPr>
            <w:r>
              <w:rPr>
                <w:rFonts w:ascii="仿宋_GB2312" w:hAnsi="仿宋_GB2312" w:cs="仿宋_GB2312" w:eastAsia="仿宋_GB2312"/>
              </w:rPr>
              <w:t>1.6、板载有光敏传感器，支持ADC采样等实验；支持PWM等基础实验。板载不少于8路DI接口数据采集。板载不少于8路DO接口设备控制；</w:t>
            </w:r>
          </w:p>
          <w:p>
            <w:pPr>
              <w:pStyle w:val="null3"/>
            </w:pPr>
            <w:r>
              <w:rPr>
                <w:rFonts w:ascii="仿宋_GB2312" w:hAnsi="仿宋_GB2312" w:cs="仿宋_GB2312" w:eastAsia="仿宋_GB2312"/>
              </w:rPr>
              <w:t>1.7、多合一传感器模块：包含不少于9种数据采集功能，且传感器通过处理器集中完成信号采集与信号输出，板载继电器信号控制输出，支持Wi-Fi、蓝牙无线信号接入，支持RS485接口通讯；</w:t>
            </w:r>
          </w:p>
          <w:p>
            <w:pPr>
              <w:pStyle w:val="null3"/>
            </w:pPr>
            <w:r>
              <w:rPr>
                <w:rFonts w:ascii="仿宋_GB2312" w:hAnsi="仿宋_GB2312" w:cs="仿宋_GB2312" w:eastAsia="仿宋_GB2312"/>
              </w:rPr>
              <w:t>1.7.1、人体红外传感器感应距离≥5米；</w:t>
            </w:r>
          </w:p>
          <w:p>
            <w:pPr>
              <w:pStyle w:val="null3"/>
            </w:pPr>
            <w:r>
              <w:rPr>
                <w:rFonts w:ascii="仿宋_GB2312" w:hAnsi="仿宋_GB2312" w:cs="仿宋_GB2312" w:eastAsia="仿宋_GB2312"/>
              </w:rPr>
              <w:t>1.7.2、PM2.5传感器检测精度：0～100μg/m³，±15μg/m³；101～1000μg/m³，±15%读数，测量范围-40～125℃；</w:t>
            </w:r>
          </w:p>
          <w:p>
            <w:pPr>
              <w:pStyle w:val="null3"/>
            </w:pPr>
            <w:r>
              <w:rPr>
                <w:rFonts w:ascii="仿宋_GB2312" w:hAnsi="仿宋_GB2312" w:cs="仿宋_GB2312" w:eastAsia="仿宋_GB2312"/>
              </w:rPr>
              <w:t>1.7.3、温度测量精度±0.2℃（0～90℃时的典型值）；</w:t>
            </w:r>
          </w:p>
          <w:p>
            <w:pPr>
              <w:pStyle w:val="null3"/>
            </w:pPr>
            <w:r>
              <w:rPr>
                <w:rFonts w:ascii="仿宋_GB2312" w:hAnsi="仿宋_GB2312" w:cs="仿宋_GB2312" w:eastAsia="仿宋_GB2312"/>
              </w:rPr>
              <w:t>1.7.4、湿度传感器测量范围0～100%RH，湿度测量精度：±2.0%RH；</w:t>
            </w:r>
          </w:p>
          <w:p>
            <w:pPr>
              <w:pStyle w:val="null3"/>
            </w:pPr>
            <w:r>
              <w:rPr>
                <w:rFonts w:ascii="仿宋_GB2312" w:hAnsi="仿宋_GB2312" w:cs="仿宋_GB2312" w:eastAsia="仿宋_GB2312"/>
              </w:rPr>
              <w:t>1.7.5、大气压传感器测量范围300～1100hPa，测量精度±1.2hPa；</w:t>
            </w:r>
          </w:p>
          <w:p>
            <w:pPr>
              <w:pStyle w:val="null3"/>
            </w:pPr>
            <w:r>
              <w:rPr>
                <w:rFonts w:ascii="仿宋_GB2312" w:hAnsi="仿宋_GB2312" w:cs="仿宋_GB2312" w:eastAsia="仿宋_GB2312"/>
              </w:rPr>
              <w:t>1.7.6、TVOC（苯系物、醇类、醛类等）传感器测量范围0ppb～60000ppb，0~2008ppb区间测量精度符合要求；</w:t>
            </w:r>
          </w:p>
          <w:p>
            <w:pPr>
              <w:pStyle w:val="null3"/>
            </w:pPr>
            <w:r>
              <w:rPr>
                <w:rFonts w:ascii="仿宋_GB2312" w:hAnsi="仿宋_GB2312" w:cs="仿宋_GB2312" w:eastAsia="仿宋_GB2312"/>
              </w:rPr>
              <w:t>1.7.7、二氧化碳传感器测量范围400ppm～60000ppm，测量精度400ppm～1400ppm；</w:t>
            </w:r>
          </w:p>
          <w:p>
            <w:pPr>
              <w:pStyle w:val="null3"/>
            </w:pPr>
            <w:r>
              <w:rPr>
                <w:rFonts w:ascii="仿宋_GB2312" w:hAnsi="仿宋_GB2312" w:cs="仿宋_GB2312" w:eastAsia="仿宋_GB2312"/>
              </w:rPr>
              <w:t>1.7.8、光敏传感器暗电流（0Lux）≤1uA，饱和压降不高于0.18V，感光光谱λ范围480～1050nm；</w:t>
            </w:r>
          </w:p>
          <w:p>
            <w:pPr>
              <w:pStyle w:val="null3"/>
            </w:pPr>
            <w:r>
              <w:rPr>
                <w:rFonts w:ascii="仿宋_GB2312" w:hAnsi="仿宋_GB2312" w:cs="仿宋_GB2312" w:eastAsia="仿宋_GB2312"/>
              </w:rPr>
              <w:t>1.7.9、火焰传感器探测波长范围840～1100nm，峰值灵敏度波长940nm；</w:t>
            </w:r>
          </w:p>
          <w:p>
            <w:pPr>
              <w:pStyle w:val="null3"/>
            </w:pPr>
            <w:r>
              <w:rPr>
                <w:rFonts w:ascii="仿宋_GB2312" w:hAnsi="仿宋_GB2312" w:cs="仿宋_GB2312" w:eastAsia="仿宋_GB2312"/>
              </w:rPr>
              <w:t>1.8、传感器</w:t>
            </w:r>
          </w:p>
          <w:p>
            <w:pPr>
              <w:pStyle w:val="null3"/>
            </w:pPr>
            <w:r>
              <w:rPr>
                <w:rFonts w:ascii="仿宋_GB2312" w:hAnsi="仿宋_GB2312" w:cs="仿宋_GB2312" w:eastAsia="仿宋_GB2312"/>
              </w:rPr>
              <w:t>▲1.8.1、有线传感器：至少包含空气质量传感器、大气压力传感器、二氧化碳传感器、氧气传感器、PM2.5传感器、土壤水分传感器、液位传感器、水温传感器、风向传感器、风速传感器、人体传感器、火焰传感器、红外对射传感器、微波传感器、烟雾传感器、温湿度传感器（485）、光照度传感器（485）等；</w:t>
            </w:r>
          </w:p>
          <w:p>
            <w:pPr>
              <w:pStyle w:val="null3"/>
            </w:pPr>
            <w:r>
              <w:rPr>
                <w:rFonts w:ascii="仿宋_GB2312" w:hAnsi="仿宋_GB2312" w:cs="仿宋_GB2312" w:eastAsia="仿宋_GB2312"/>
              </w:rPr>
              <w:t xml:space="preserve">1.8.2、无线传感器：至少包含空气质量传感器、火焰传感器、人体传感器、可燃气体传感器、温湿度传感器、光照传感器等； </w:t>
            </w:r>
          </w:p>
          <w:p>
            <w:pPr>
              <w:pStyle w:val="null3"/>
            </w:pPr>
            <w:r>
              <w:rPr>
                <w:rFonts w:ascii="仿宋_GB2312" w:hAnsi="仿宋_GB2312" w:cs="仿宋_GB2312" w:eastAsia="仿宋_GB2312"/>
              </w:rPr>
              <w:t xml:space="preserve">2、课程资源要求： </w:t>
            </w:r>
          </w:p>
          <w:p>
            <w:pPr>
              <w:pStyle w:val="null3"/>
            </w:pPr>
            <w:r>
              <w:rPr>
                <w:rFonts w:ascii="仿宋_GB2312" w:hAnsi="仿宋_GB2312" w:cs="仿宋_GB2312" w:eastAsia="仿宋_GB2312"/>
              </w:rPr>
              <w:t>2.1、配套OpenHarmony系统开发实验教程相关教程，采用C语言开发，实验包括但不限于： OpenHarmony 内核基础（定时器、互斥锁、信号量、消息队列、获取SHELL输入、KV存储、标准文件读写等内容）、OpenHarmony 驱动实现（LED控制、PWM蜂鸣器、NFC读写、RS485通信、温湿度/火焰/可燃气体/人体红外传感器等实验）、OpenHarmony 网络通信（TCP、UDP、MQTT等通信技术）、OpenHarmony 综合应用（录音机、播放器、语音识别、环境监测等应用）等；（提供演示）</w:t>
            </w:r>
          </w:p>
          <w:p>
            <w:pPr>
              <w:pStyle w:val="null3"/>
            </w:pPr>
            <w:r>
              <w:rPr>
                <w:rFonts w:ascii="仿宋_GB2312" w:hAnsi="仿宋_GB2312" w:cs="仿宋_GB2312" w:eastAsia="仿宋_GB2312"/>
              </w:rPr>
              <w:t>2.2、配套OpenHarmony-ArkTS声明式开发与应用相关教程，教程基于HUAWEI DevEco Studio 4.0 Release版本、OpenHarmony 4.0 Release版本，采用ArkTS声明式开发范式和Stage应用模型进行应用开发，完成具有物联网特性的OpenHarmony应用开发（含页面开发+传感设备数据采集+上报云平台+控制设备），实验包括但不限于： 搭建OpenHarmony应用开发环境、认识Stage模型下的工程文件、认识ArkTS基础语法、设计添加设备页的UI布局、使用交互类组件开发登录页、使用自定义和渲染组件开发设置页、使用页面路由实现闪屏页的跳转、使用Swiper实现轮播页面、使用Tabs实现主页开发、开发自定义的时间弹窗、使用List和Grid显示数据、一次开发多端部署、采集RS485型传感器数据、自动采集与智能告警、对接AloT平台-数据上报与指令下发、搭建FullSDK的开发环境、搭建MVVM架构的工程并处理用户授权、实现多级分类导航、实现相机拍照功能、部署YOLOv5模型并进行目标检测等；</w:t>
            </w:r>
          </w:p>
          <w:p>
            <w:pPr>
              <w:pStyle w:val="null3"/>
            </w:pPr>
            <w:r>
              <w:rPr>
                <w:rFonts w:ascii="仿宋_GB2312" w:hAnsi="仿宋_GB2312" w:cs="仿宋_GB2312" w:eastAsia="仿宋_GB2312"/>
              </w:rPr>
              <w:t>2.3、配套教学课件PPT≥40个，包括但不限于：搭建OpenHarmony应用开发环境.pptx、Stage应用模型及资源文件.pptx、认识Stage模型下的工程文件.pptx、认识并使用ArkTS基础语法.pptx、认识并使用ArkTS面向对象语法.pptx、ArkTS声明式UI的用法.pptx、编写第1个ArkTS页面.pptx 、文字和图片显示组件.pptx、设计添加设备页的UI布局.pptx、弹性布局与层叠布局.pptx、使用弹性布局和层叠布局开发场景设置页.pptx、使用交互类组件开发登录页.pptx、自定义组件与渲染组件.pptx、使用自定义组件和渲染组件开发设置页.pptx、使用Swriper实现轮播页面.pptx、@Observed装饰器和@ObjectLink装饰器.pptx、一次开发多端部署之多端UI适配开发.pptx、采集RS485型传感器数据.pptx、搭建MVVM架构的工程并处理用户授权.pptx、基于YOLOv5进行目标检测.pptx等；</w:t>
            </w:r>
          </w:p>
          <w:p>
            <w:pPr>
              <w:pStyle w:val="null3"/>
            </w:pPr>
            <w:r>
              <w:rPr>
                <w:rFonts w:ascii="仿宋_GB2312" w:hAnsi="仿宋_GB2312" w:cs="仿宋_GB2312" w:eastAsia="仿宋_GB2312"/>
              </w:rPr>
              <w:t>2.4、配套教学视频≥60个，包括但不限于：ArkTS声明式UI的用法.mp4、Column与Row线性布局的使用.mp4、在线性布局中使用权重属性和Blank组件.mp4、使用Flex和Stack设计场景设置页.mp4、交互类输入组件TextInput.mp4、状态管理(@State@Prop@Link@Provide@Consume).mp4、使用private向@State变量单向传值.mp4、组件间的单向(@Prop)和双向传值(@Link@Provide@Consum).mp4、使用页面路由实现闪屏页的跳转并传值.mp9、使用Swiper实现页面轮播.mp4、@Observed和@ObjectLink装饰器.mp4、多端UI适配之延伸隐藏折行能力.mp4、进度条组件Progress.mp4、采集RS485型传感器数据-开发自定义的显示传感器数据的组件.mp4、封装SensorBean传感器类和实现自定义的SensorItem组件.mp4、使用事件订阅发送和显示动画实现智能告警.mp4、工程整理及添加MQTT依赖和网络权限.mp4、创建FULL SDK开发环境.mp4、搭建MVVM架构的工程并处理用户授权.mp4、基于YOLOv5进行目标检测.mp4等；</w:t>
            </w:r>
          </w:p>
          <w:p>
            <w:pPr>
              <w:pStyle w:val="null3"/>
            </w:pPr>
            <w:r>
              <w:rPr>
                <w:rFonts w:ascii="仿宋_GB2312" w:hAnsi="仿宋_GB2312" w:cs="仿宋_GB2312" w:eastAsia="仿宋_GB2312"/>
              </w:rPr>
              <w:t>2.5、配套系统的采集与控制API≥1套：集成RS485型传感器、执行器系统服务功能，应用程序通过调用TS层接口，实现下述但不限于：温度、湿度、大气压、火焰检测、人体检测、光照度、CO2等传感器的采集及RS485型执行器的控制等；</w:t>
            </w:r>
          </w:p>
          <w:p>
            <w:pPr>
              <w:pStyle w:val="null3"/>
            </w:pPr>
            <w:r>
              <w:rPr>
                <w:rFonts w:ascii="仿宋_GB2312" w:hAnsi="仿宋_GB2312" w:cs="仿宋_GB2312" w:eastAsia="仿宋_GB2312"/>
              </w:rPr>
              <w:t>3、平台功能要求：</w:t>
            </w:r>
          </w:p>
          <w:p>
            <w:pPr>
              <w:pStyle w:val="null3"/>
            </w:pPr>
            <w:r>
              <w:rPr>
                <w:rFonts w:ascii="仿宋_GB2312" w:hAnsi="仿宋_GB2312" w:cs="仿宋_GB2312" w:eastAsia="仿宋_GB2312"/>
              </w:rPr>
              <w:t>3.1、提供1个AIoT智联网综合实践平台账号，授权使用时长3年，每年可用时长不少于200小时。仿真实训系统须具备存档（导出）与读档（导入）功能，支持随时保存、读取，根据保存进度，随时继续实训或重新实训；实训结果文件存储，至少支持加密工具认证存储和导出存储两种方式；仿真工作台须支持图形化形式存放和布局虚拟套件；支持添加连线图；</w:t>
            </w:r>
          </w:p>
          <w:p>
            <w:pPr>
              <w:pStyle w:val="null3"/>
            </w:pPr>
            <w:r>
              <w:rPr>
                <w:rFonts w:ascii="仿宋_GB2312" w:hAnsi="仿宋_GB2312" w:cs="仿宋_GB2312" w:eastAsia="仿宋_GB2312"/>
              </w:rPr>
              <w:t xml:space="preserve">▲3.2、仿真实训系统操作软件需具备相关的检测功能，仿真硬件具有模拟数据源产生模拟数据；NLP处理能力：可通过自然语言处理技术，通过问答的形式解决学习难点；提供在线编码环境，支持多种语言和文件格式的编写、编译：C、Java、Python、JavaScript等； </w:t>
            </w:r>
          </w:p>
          <w:p>
            <w:pPr>
              <w:pStyle w:val="null3"/>
            </w:pPr>
            <w:r>
              <w:rPr>
                <w:rFonts w:ascii="仿宋_GB2312" w:hAnsi="仿宋_GB2312" w:cs="仿宋_GB2312" w:eastAsia="仿宋_GB2312"/>
              </w:rPr>
              <w:t>3.3、仿真实训系统操作软件需具备检测功能，通过拖拉图形改变布局，通过接线、配置仿真部件参数等后由自动检测和手动检测两种模式检测操作连接状态并显示实训结果；</w:t>
            </w:r>
          </w:p>
          <w:p>
            <w:pPr>
              <w:pStyle w:val="null3"/>
            </w:pPr>
            <w:r>
              <w:rPr>
                <w:rFonts w:ascii="仿宋_GB2312" w:hAnsi="仿宋_GB2312" w:cs="仿宋_GB2312" w:eastAsia="仿宋_GB2312"/>
              </w:rPr>
              <w:t>3.4、支持为每位用户提供一台独立的虚拟机；用户可在AIOT平台上通过SSH终端接入虚拟机，完成物联网中间件配置部署、docker微服务配置部署等工作；应用平台支持使用HTTP、MQTT、COAP协议采集设备数据；应用平台支持在内置的非关系型数据库中存储时序数据；应用平台支持查询最新的时序数据值和查询特定时间段内的所有数据；应用平台支持通过API和WebSocket查询或订阅数据更新；</w:t>
            </w:r>
          </w:p>
          <w:p>
            <w:pPr>
              <w:pStyle w:val="null3"/>
            </w:pPr>
            <w:r>
              <w:rPr>
                <w:rFonts w:ascii="仿宋_GB2312" w:hAnsi="仿宋_GB2312" w:cs="仿宋_GB2312" w:eastAsia="仿宋_GB2312"/>
              </w:rPr>
              <w:t>3.5、应用平台能够监视设备连接状态并触发推送到规则引擎的设备连接事件；应用平台支持服务端应用程序向设备发送远程RPC调用；应用平台具备规则引擎，能够接收来自设备、设备生命周期事件、API事件、RPC请求等传入的数据，并创建规则节点和规则链对接收的数据进行过滤、转换和执行；应用平台支持通过添加数字量和模拟量仪表、地图组件、设备控件、图表、数据卡片等部件，创建自定义数据看板，完成数据可视化展示；</w:t>
            </w:r>
          </w:p>
          <w:p>
            <w:pPr>
              <w:pStyle w:val="null3"/>
            </w:pPr>
            <w:r>
              <w:rPr>
                <w:rFonts w:ascii="仿宋_GB2312" w:hAnsi="仿宋_GB2312" w:cs="仿宋_GB2312" w:eastAsia="仿宋_GB2312"/>
              </w:rPr>
              <w:t>3.6、虚拟仿真系统</w:t>
            </w:r>
          </w:p>
          <w:p>
            <w:pPr>
              <w:pStyle w:val="null3"/>
            </w:pPr>
            <w:r>
              <w:rPr>
                <w:rFonts w:ascii="仿宋_GB2312" w:hAnsi="仿宋_GB2312" w:cs="仿宋_GB2312" w:eastAsia="仿宋_GB2312"/>
              </w:rPr>
              <w:t>3.6.1、继电器：至少包含继电器、双联继电器、单联继电器等；</w:t>
            </w:r>
          </w:p>
          <w:p>
            <w:pPr>
              <w:pStyle w:val="null3"/>
            </w:pPr>
            <w:r>
              <w:rPr>
                <w:rFonts w:ascii="仿宋_GB2312" w:hAnsi="仿宋_GB2312" w:cs="仿宋_GB2312" w:eastAsia="仿宋_GB2312"/>
              </w:rPr>
              <w:t>3.6.2、网络及计算模块：至少包含新网关、路由器、串口服务器等；</w:t>
            </w:r>
          </w:p>
          <w:p>
            <w:pPr>
              <w:pStyle w:val="null3"/>
            </w:pPr>
            <w:r>
              <w:rPr>
                <w:rFonts w:ascii="仿宋_GB2312" w:hAnsi="仿宋_GB2312" w:cs="仿宋_GB2312" w:eastAsia="仿宋_GB2312"/>
              </w:rPr>
              <w:t>3.6.3、I/O模块：至少包含模拟量采集器、数字量采集器、zigBee协调器、zigBee四输入模拟量模块等；</w:t>
            </w:r>
          </w:p>
          <w:p>
            <w:pPr>
              <w:pStyle w:val="null3"/>
            </w:pPr>
            <w:r>
              <w:rPr>
                <w:rFonts w:ascii="仿宋_GB2312" w:hAnsi="仿宋_GB2312" w:cs="仿宋_GB2312" w:eastAsia="仿宋_GB2312"/>
              </w:rPr>
              <w:t>3.6.4、RFID：至少包含低频读卡器、低频卡，高频读卡器、高频卡，NL超高频一体机、超高频卡、桌面超高频读写器等；</w:t>
            </w:r>
          </w:p>
          <w:p>
            <w:pPr>
              <w:pStyle w:val="null3"/>
            </w:pPr>
            <w:r>
              <w:rPr>
                <w:rFonts w:ascii="仿宋_GB2312" w:hAnsi="仿宋_GB2312" w:cs="仿宋_GB2312" w:eastAsia="仿宋_GB2312"/>
              </w:rPr>
              <w:t>3.6.5、终端：包含虚拟PC等；</w:t>
            </w:r>
          </w:p>
          <w:p>
            <w:pPr>
              <w:pStyle w:val="null3"/>
            </w:pPr>
            <w:r>
              <w:rPr>
                <w:rFonts w:ascii="仿宋_GB2312" w:hAnsi="仿宋_GB2312" w:cs="仿宋_GB2312" w:eastAsia="仿宋_GB2312"/>
              </w:rPr>
              <w:t>3.6.6、负载：至少包含警示灯、雾化器、通用负载、风扇、灯泡、水泵等；</w:t>
            </w:r>
          </w:p>
          <w:p>
            <w:pPr>
              <w:pStyle w:val="null3"/>
            </w:pPr>
            <w:r>
              <w:rPr>
                <w:rFonts w:ascii="仿宋_GB2312" w:hAnsi="仿宋_GB2312" w:cs="仿宋_GB2312" w:eastAsia="仿宋_GB2312"/>
              </w:rPr>
              <w:t>3.6.7、其它外设：至少包含电压电流变送器、摄像头、LED屏、485转232转换器、USB转232转换器等。</w:t>
            </w:r>
          </w:p>
          <w:p>
            <w:pPr>
              <w:pStyle w:val="null3"/>
            </w:pPr>
            <w:r>
              <w:rPr>
                <w:rFonts w:ascii="仿宋_GB2312" w:hAnsi="仿宋_GB2312" w:cs="仿宋_GB2312" w:eastAsia="仿宋_GB2312"/>
              </w:rPr>
              <w:t>（六）多模态复合机器人地图场景</w:t>
            </w:r>
          </w:p>
          <w:p>
            <w:pPr>
              <w:pStyle w:val="null3"/>
            </w:pPr>
            <w:r>
              <w:rPr>
                <w:rFonts w:ascii="仿宋_GB2312" w:hAnsi="仿宋_GB2312" w:cs="仿宋_GB2312" w:eastAsia="仿宋_GB2312"/>
              </w:rPr>
              <w:t>1、多模态复合机器人地图场景支持多模态复合机器人平台使用，支持实现自动驾驶、货物搬运、指令识别与控制等实验，同时支持赛事创新；</w:t>
            </w:r>
          </w:p>
          <w:p>
            <w:pPr>
              <w:pStyle w:val="null3"/>
            </w:pPr>
            <w:r>
              <w:rPr>
                <w:rFonts w:ascii="仿宋_GB2312" w:hAnsi="仿宋_GB2312" w:cs="仿宋_GB2312" w:eastAsia="仿宋_GB2312"/>
              </w:rPr>
              <w:t>2、场地尺寸：长*宽 ≥3.50*2.00（m）；</w:t>
            </w:r>
          </w:p>
          <w:p>
            <w:pPr>
              <w:pStyle w:val="null3"/>
            </w:pPr>
            <w:r>
              <w:rPr>
                <w:rFonts w:ascii="仿宋_GB2312" w:hAnsi="仿宋_GB2312" w:cs="仿宋_GB2312" w:eastAsia="仿宋_GB2312"/>
              </w:rPr>
              <w:t>3、机器人基地：出发点斜坡平台1个，长宽高≥800*400*100（mm）；</w:t>
            </w:r>
          </w:p>
          <w:p>
            <w:pPr>
              <w:pStyle w:val="null3"/>
            </w:pPr>
            <w:r>
              <w:rPr>
                <w:rFonts w:ascii="仿宋_GB2312" w:hAnsi="仿宋_GB2312" w:cs="仿宋_GB2312" w:eastAsia="仿宋_GB2312"/>
              </w:rPr>
              <w:t>4、机器人收纳盒≥1个；长宽高≥145*145*50（mm）;</w:t>
            </w:r>
          </w:p>
          <w:p>
            <w:pPr>
              <w:pStyle w:val="null3"/>
            </w:pPr>
            <w:r>
              <w:rPr>
                <w:rFonts w:ascii="仿宋_GB2312" w:hAnsi="仿宋_GB2312" w:cs="仿宋_GB2312" w:eastAsia="仿宋_GB2312"/>
              </w:rPr>
              <w:t>5、任务卡片：矿石卡片≥3张；尺寸≥145*145（mm）；</w:t>
            </w:r>
          </w:p>
          <w:p>
            <w:pPr>
              <w:pStyle w:val="null3"/>
            </w:pPr>
            <w:r>
              <w:rPr>
                <w:rFonts w:ascii="仿宋_GB2312" w:hAnsi="仿宋_GB2312" w:cs="仿宋_GB2312" w:eastAsia="仿宋_GB2312"/>
              </w:rPr>
              <w:t>6、障碍道具：正方体海绵块≥5个，长宽高≥355*360*360（mm）;</w:t>
            </w:r>
          </w:p>
          <w:p>
            <w:pPr>
              <w:pStyle w:val="null3"/>
            </w:pPr>
            <w:r>
              <w:rPr>
                <w:rFonts w:ascii="仿宋_GB2312" w:hAnsi="仿宋_GB2312" w:cs="仿宋_GB2312" w:eastAsia="仿宋_GB2312"/>
              </w:rPr>
              <w:t>7、矿石采集平台：EVA方块≥2个,长宽高为≥230*140*70（mm）；</w:t>
            </w:r>
          </w:p>
          <w:p>
            <w:pPr>
              <w:pStyle w:val="null3"/>
            </w:pPr>
            <w:r>
              <w:rPr>
                <w:rFonts w:ascii="仿宋_GB2312" w:hAnsi="仿宋_GB2312" w:cs="仿宋_GB2312" w:eastAsia="仿宋_GB2312"/>
              </w:rPr>
              <w:t>8、矿石道具：木块≥6个，有正方体、长方体、圆柱体3种形状；圆柱体直径：30（mm），高度：45（mm）；正方体长宽高：30*30*30（mm）；长方体长宽高：30*30*60（mm）；</w:t>
            </w:r>
          </w:p>
          <w:p>
            <w:pPr>
              <w:pStyle w:val="null3"/>
            </w:pPr>
            <w:r>
              <w:rPr>
                <w:rFonts w:ascii="仿宋_GB2312" w:hAnsi="仿宋_GB2312" w:cs="仿宋_GB2312" w:eastAsia="仿宋_GB2312"/>
              </w:rPr>
              <w:t xml:space="preserve">9、支持机器人配套完成场景任务完成实践创新及A类赛事拓展：能结合包括语音启动、上下坡道、随机障碍和固定障碍穿越、卡片识别、物品随机位置采集、自主返回基地等任务； </w:t>
            </w:r>
          </w:p>
          <w:p>
            <w:pPr>
              <w:pStyle w:val="null3"/>
            </w:pPr>
            <w:r>
              <w:rPr>
                <w:rFonts w:ascii="仿宋_GB2312" w:hAnsi="仿宋_GB2312" w:cs="仿宋_GB2312" w:eastAsia="仿宋_GB2312"/>
              </w:rPr>
              <w:t>（七）实验台凳</w:t>
            </w:r>
          </w:p>
          <w:p>
            <w:pPr>
              <w:pStyle w:val="null3"/>
            </w:pPr>
            <w:r>
              <w:rPr>
                <w:rFonts w:ascii="仿宋_GB2312" w:hAnsi="仿宋_GB2312" w:cs="仿宋_GB2312" w:eastAsia="仿宋_GB2312"/>
              </w:rPr>
              <w:t>1、尺寸：≥1400*600*750mm，板木结构，外形尺寸误差控制在±5mm以内，符合人体工学设计，适配办公场景使用；台面采用≥25mm厚E1级环保实木颗粒板，符合国家环保标准，PVC封边处理；</w:t>
            </w:r>
          </w:p>
          <w:p>
            <w:pPr>
              <w:pStyle w:val="null3"/>
            </w:pPr>
            <w:r>
              <w:rPr>
                <w:rFonts w:ascii="仿宋_GB2312" w:hAnsi="仿宋_GB2312" w:cs="仿宋_GB2312" w:eastAsia="仿宋_GB2312"/>
              </w:rPr>
              <w:t>2、桌体（含抽屉、柜门）采用采用≥16mm厚E1级环保实木颗粒板，与台面材质一致，表面采用PVC封边处理，工艺与台面一致，无翘边、脱胶现象；上面两个抽屉，下面双开门。</w:t>
            </w:r>
          </w:p>
          <w:p>
            <w:pPr>
              <w:pStyle w:val="null3"/>
            </w:pPr>
            <w:r>
              <w:rPr>
                <w:rFonts w:ascii="仿宋_GB2312" w:hAnsi="仿宋_GB2312" w:cs="仿宋_GB2312" w:eastAsia="仿宋_GB2312"/>
              </w:rPr>
              <w:t>3、方凳参数：钢木结构，尺寸：≥340*240*430mm，外形尺寸误差控制在±3mm以内，适配上述办公桌高度，符合人体工学坐姿要求；台面采用≥25mmE1级环保实木颗粒板，四周PVC封边。凳腿采用≥25*25*1.0 mm高频焊接钢管，辅料采用≥20*20*1.0mm高频焊接钢管，脚套采用优质ABS塑料件，静音耐磨防滑。</w:t>
            </w:r>
          </w:p>
          <w:p>
            <w:pPr>
              <w:pStyle w:val="null3"/>
            </w:pPr>
            <w:r>
              <w:rPr>
                <w:rFonts w:ascii="仿宋_GB2312" w:hAnsi="仿宋_GB2312" w:cs="仿宋_GB2312" w:eastAsia="仿宋_GB2312"/>
              </w:rPr>
              <w:t>4、一桌两凳。</w:t>
            </w:r>
          </w:p>
          <w:p>
            <w:pPr>
              <w:pStyle w:val="null3"/>
            </w:pPr>
            <w:r>
              <w:rPr>
                <w:rFonts w:ascii="仿宋_GB2312" w:hAnsi="仿宋_GB2312" w:cs="仿宋_GB2312" w:eastAsia="仿宋_GB2312"/>
              </w:rPr>
              <w:t>（八）双人实验桌凳</w:t>
            </w:r>
          </w:p>
          <w:p>
            <w:pPr>
              <w:pStyle w:val="null3"/>
            </w:pPr>
            <w:r>
              <w:rPr>
                <w:rFonts w:ascii="仿宋_GB2312" w:hAnsi="仿宋_GB2312" w:cs="仿宋_GB2312" w:eastAsia="仿宋_GB2312"/>
              </w:rPr>
              <w:t>1、尺寸：≥1200*600*750mm，尺寸偏差±5mm，钢木结构，台面采用≥25mm厚E1级环保实木颗粒板，PVC封边处理，桌腿采用≥1.2mm厚40*40高频焊接钢管，后背板采用≥0.6mm厚网板，下面带线槽及隐形插板槽，配件采用优质五金件；</w:t>
            </w:r>
          </w:p>
          <w:p>
            <w:pPr>
              <w:pStyle w:val="null3"/>
            </w:pPr>
            <w:r>
              <w:rPr>
                <w:rFonts w:ascii="仿宋_GB2312" w:hAnsi="仿宋_GB2312" w:cs="仿宋_GB2312" w:eastAsia="仿宋_GB2312"/>
              </w:rPr>
              <w:t>2、方凳参数：钢木结构，尺寸：≥340*240*430mm，尺寸偏差±3mm，台面采用≥25mmE1级环保实木颗粒板，四周PVC封边。凳腿采用≥25*25*1.0mm高频焊接钢管，辅料采用≥20*20*1.0mm高频焊接钢管，脚套采用优质ABS塑料件，静音耐磨防滑。</w:t>
            </w:r>
          </w:p>
          <w:p>
            <w:pPr>
              <w:pStyle w:val="null3"/>
            </w:pPr>
            <w:r>
              <w:rPr>
                <w:rFonts w:ascii="仿宋_GB2312" w:hAnsi="仿宋_GB2312" w:cs="仿宋_GB2312" w:eastAsia="仿宋_GB2312"/>
              </w:rPr>
              <w:t>3、一桌两凳。</w:t>
            </w:r>
          </w:p>
          <w:p>
            <w:pPr>
              <w:pStyle w:val="null3"/>
            </w:pPr>
            <w:r>
              <w:rPr>
                <w:rFonts w:ascii="仿宋_GB2312" w:hAnsi="仿宋_GB2312" w:cs="仿宋_GB2312" w:eastAsia="仿宋_GB2312"/>
              </w:rPr>
              <w:t>（九）讲台转椅</w:t>
            </w:r>
          </w:p>
          <w:p>
            <w:pPr>
              <w:pStyle w:val="null3"/>
            </w:pPr>
            <w:r>
              <w:rPr>
                <w:rFonts w:ascii="仿宋_GB2312" w:hAnsi="仿宋_GB2312" w:cs="仿宋_GB2312" w:eastAsia="仿宋_GB2312"/>
              </w:rPr>
              <w:t>1、尺寸：整体尺寸≥1400mm×600mm×750mm（长×宽×高），外形尺寸误差控制在±5mm以内，符合人体工学设计，适配办公场景使用需求；</w:t>
            </w:r>
          </w:p>
          <w:p>
            <w:pPr>
              <w:pStyle w:val="null3"/>
            </w:pPr>
            <w:r>
              <w:rPr>
                <w:rFonts w:ascii="仿宋_GB2312" w:hAnsi="仿宋_GB2312" w:cs="仿宋_GB2312" w:eastAsia="仿宋_GB2312"/>
              </w:rPr>
              <w:t>2、结构材质：钢木结构，框架稳固，无晃动、无异响；</w:t>
            </w:r>
          </w:p>
          <w:p>
            <w:pPr>
              <w:pStyle w:val="null3"/>
            </w:pPr>
            <w:r>
              <w:rPr>
                <w:rFonts w:ascii="仿宋_GB2312" w:hAnsi="仿宋_GB2312" w:cs="仿宋_GB2312" w:eastAsia="仿宋_GB2312"/>
              </w:rPr>
              <w:t>3、台面要求：采用≥25mm厚E1级环保实木颗粒板，PVC封边处理，符合国家环保标准，表面平整光滑、耐磨、耐刮、耐污，易清洁；台面边缘采用PVC封边处理，封边厚度≥2mm，封边紧密无翘边、无脱胶；桌腿采用≥1.2mm厚40mm*40mm高频焊接钢管，防腐蚀、防生锈，色泽均匀无瑕疵；桌腿底部配备防滑耐磨脚垫，防止刮伤地面，增强稳定性；后背板采用≥0.6mm厚网板，网孔均匀，表面静电喷塑处理，防锈防腐，通风性好，便于设备散热及线路整理；下面带一抽一门柜，配件采用优质五金件；</w:t>
            </w:r>
          </w:p>
          <w:p>
            <w:pPr>
              <w:pStyle w:val="null3"/>
            </w:pPr>
            <w:r>
              <w:rPr>
                <w:rFonts w:ascii="仿宋_GB2312" w:hAnsi="仿宋_GB2312" w:cs="仿宋_GB2312" w:eastAsia="仿宋_GB2312"/>
              </w:rPr>
              <w:t>4、五轮转椅材质要求：椅面、椅背采用环保透气网布+高密度海绵，久坐不塌陷，透气舒适，无异味，符合E1级环保标准；椅架采用冷轧钢板冲压成型，表面静电喷塑处理，防锈防腐；支持360°自由旋转，五轮万向轮采用优质PU静音轮，耐磨、静音，滚动顺畅无卡顿，不刮伤地面；支持升降调节，升降范围100-150mm，调节顺畅，锁定牢固。</w:t>
            </w:r>
          </w:p>
          <w:p>
            <w:pPr>
              <w:pStyle w:val="null3"/>
            </w:pPr>
            <w:r>
              <w:rPr>
                <w:rFonts w:ascii="仿宋_GB2312" w:hAnsi="仿宋_GB2312" w:cs="仿宋_GB2312" w:eastAsia="仿宋_GB2312"/>
              </w:rPr>
              <w:t>（十）实验室环境建设</w:t>
            </w:r>
          </w:p>
          <w:p>
            <w:pPr>
              <w:pStyle w:val="null3"/>
            </w:pPr>
            <w:r>
              <w:rPr>
                <w:rFonts w:ascii="仿宋_GB2312" w:hAnsi="仿宋_GB2312" w:cs="仿宋_GB2312" w:eastAsia="仿宋_GB2312"/>
              </w:rPr>
              <w:t>1.拆除旧设备及搬运：</w:t>
            </w:r>
          </w:p>
          <w:p>
            <w:pPr>
              <w:pStyle w:val="null3"/>
            </w:pPr>
            <w:r>
              <w:rPr>
                <w:rFonts w:ascii="仿宋_GB2312" w:hAnsi="仿宋_GB2312" w:cs="仿宋_GB2312" w:eastAsia="仿宋_GB2312"/>
              </w:rPr>
              <w:t>1.1、现有设备拆除、搬运、入库等；</w:t>
            </w:r>
          </w:p>
          <w:p>
            <w:pPr>
              <w:pStyle w:val="null3"/>
            </w:pPr>
            <w:r>
              <w:rPr>
                <w:rFonts w:ascii="仿宋_GB2312" w:hAnsi="仿宋_GB2312" w:cs="仿宋_GB2312" w:eastAsia="仿宋_GB2312"/>
              </w:rPr>
              <w:t>1.2、现有150平米左右（以实际面积为准）的静电地板的拆除、搬运、清理等；</w:t>
            </w:r>
          </w:p>
          <w:p>
            <w:pPr>
              <w:pStyle w:val="null3"/>
            </w:pPr>
            <w:r>
              <w:rPr>
                <w:rFonts w:ascii="仿宋_GB2312" w:hAnsi="仿宋_GB2312" w:cs="仿宋_GB2312" w:eastAsia="仿宋_GB2312"/>
              </w:rPr>
              <w:t>1.3、桌椅等搬运、清理；</w:t>
            </w:r>
          </w:p>
          <w:p>
            <w:pPr>
              <w:pStyle w:val="null3"/>
            </w:pPr>
            <w:r>
              <w:rPr>
                <w:rFonts w:ascii="仿宋_GB2312" w:hAnsi="仿宋_GB2312" w:cs="仿宋_GB2312" w:eastAsia="仿宋_GB2312"/>
              </w:rPr>
              <w:t>2.实验室搬运恢复建设：</w:t>
            </w:r>
          </w:p>
          <w:p>
            <w:pPr>
              <w:pStyle w:val="null3"/>
            </w:pPr>
            <w:r>
              <w:rPr>
                <w:rFonts w:ascii="仿宋_GB2312" w:hAnsi="仿宋_GB2312" w:cs="仿宋_GB2312" w:eastAsia="仿宋_GB2312"/>
              </w:rPr>
              <w:t>2.1、约150m²地面处理，造平等；以实际面积为准。</w:t>
            </w:r>
          </w:p>
          <w:p>
            <w:pPr>
              <w:pStyle w:val="null3"/>
            </w:pPr>
            <w:r>
              <w:rPr>
                <w:rFonts w:ascii="仿宋_GB2312" w:hAnsi="仿宋_GB2312" w:cs="仿宋_GB2312" w:eastAsia="仿宋_GB2312"/>
              </w:rPr>
              <w:t>2.2、地胶铺设，采用PVC环保地胶，无毒、无味、无甲醛，符合国家环保标准（GB 18583-2008），阻燃等级≥B1级，耐磨等级≥T级；厚度约2.0mm，耐磨层约0.3-0.5mm；铺设后整体平整、牢固，无起翘、气泡、褶皱，接缝美观牢固，环保、阻燃、耐磨性能符合规定标准；</w:t>
            </w:r>
          </w:p>
          <w:p>
            <w:pPr>
              <w:pStyle w:val="null3"/>
            </w:pPr>
            <w:r>
              <w:rPr>
                <w:rFonts w:ascii="仿宋_GB2312" w:hAnsi="仿宋_GB2312" w:cs="仿宋_GB2312" w:eastAsia="仿宋_GB2312"/>
              </w:rPr>
              <w:t>2.3、墙面处理，现有墙面腻子、乳胶漆铲除、清理，对墙面进行修补，保证墙面平整，采用环保无异味乳胶漆刮白；</w:t>
            </w:r>
          </w:p>
          <w:p>
            <w:pPr>
              <w:pStyle w:val="null3"/>
            </w:pPr>
            <w:r>
              <w:rPr>
                <w:rFonts w:ascii="仿宋_GB2312" w:hAnsi="仿宋_GB2312" w:cs="仿宋_GB2312" w:eastAsia="仿宋_GB2312"/>
              </w:rPr>
              <w:t>2.4、电路改造，主电路采用3*4²电源线，分电路采用3*2.5²电源线, 导电性能符合国家电线电缆标准（GB/T 5023-2008）；所有线路均采用地面暗敷，需进行地面开槽、线管铺设、线路穿管、槽体填埋等完整工序；配置空气开关（主开关≥32A，分开关≥16A），具备过载、短路保护功能；分电路预留接线端子，方便后续设备接线；</w:t>
            </w:r>
          </w:p>
          <w:p>
            <w:pPr>
              <w:pStyle w:val="null3"/>
            </w:pPr>
            <w:r>
              <w:rPr>
                <w:rFonts w:ascii="仿宋_GB2312" w:hAnsi="仿宋_GB2312" w:cs="仿宋_GB2312" w:eastAsia="仿宋_GB2312"/>
              </w:rPr>
              <w:t>2.5、包含桌面插排， 插排规格：采用国标阻燃插排，外壳为ABS阻燃材质，阻燃等级≥V0级；每个插排不少于20孔插座（国标两极+三极），1个总控开关，支持独立断电等；满足教学使用</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咸阳师范学院渭城校区指定地点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进度款，项目验收合格且中标人向采购人开具、交付与合同总金额等值的增值税专用发票后，达到付款条件起10个工作日内，支付合同总金额的100.0%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按照招标文件、中标人投标文件和合同文本执行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按照招标文件及合同文本要求执行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 3.5.2本项目主要标的同核心产品。根据法律规定，中标公告须公布主要标的的名称、品牌、规格型号、数量、单价。 3.5.3因系统编制制式限制，本项目支付约定以此处表述为准： ①若中标人为非中小企业，项目验收合格且中标人向采购人开具、交付与合同总金额等值的增值税专用发票后，采购人一次性支付合同总金额的100%。 ②若中标人为中小企业，合同签订后，采购人预付合同总金额的40%；项目验收合格且中标人向采购人开具、交付与合同总金额等值的增值税专用发票后，采购人一次性支付剩余货款（合同总金额的60%） 3.5.4售后服务（质保期内相关服务，均包含在本项目报价中，后期不额外收费） ①质保期内，除人为因素损坏外，中标人对所供产品实行更换或维修，提供所有设备正常使用所需的备品备件，且中标人维修所更换的配件和备品备件均为原设备厂家生产。 ②质保期内，中标人对所售设备提供7*24小时技术支持、不少于2次/年上门巡检等服务。 ③质保期内，中标人接到采购人维修通知，应在工作日2小时内(非工作日4小时内）或与采购人约定时间内，派人现场处理；如经检测，无法在12小时内完成修复的，提供同档次或更高档次的配件，保证设备正常使用直至故障排除。 ④质保期内，中标人未在规定或约定时间进行维修，造成采购人人身、财产损害时，采购人可依据有关法律、法规进行追偿；中标人不能及时到场，采购人可安排其他公司技术人员进行维修，期间产生的维修费用，由中标人支付给采购人；接到采购人维修通知后，中标人累计超过4次（含4次）未在约定保修时间内进行维修时，中标人向采购人支付的金额为本次维修费用的2倍。 ⑤质保期内，出现产品非人为因素损坏而造成短期停用时，则质保期相应顺延，如停用时间累计超过20天（含20天），则质保期自产品修复之日起重新计算。 ⑥质保到期前的一个月，中标人须对所供设备进行一次全面维护保养服务。 3.5.5质量保证 ①中标人须保证所供产品为制造商原厂生产的全新、未经使用并达到采购参数技术要求的产品；外观为未启封全新包装，序列号、包装箱号、出厂批号内外一致，并可追索查阅；供货产品的规格型号、数量与采购内容一致，技术参数与投标文件一致且技术参数符合采购人招标要求，否则，采购人有权向中标人退货，或者要求中标人进行更换，期间一切费用由中标人负责。 ②安装调试：中标人应配合采购人的时限要求，负责在现场对产品进行安装、调试和试运行，直至验收合格。中标人应提供全部安装、调试过程中所需的材料、设施设备、人工等。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满足本招标文件3.4商务要求中“交货时间、交货地点、质量保修范围和保修期”以及3.5.3支付约定的内容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标注★参数</w:t>
            </w:r>
          </w:p>
        </w:tc>
        <w:tc>
          <w:tcPr>
            <w:tcW w:type="dxa" w:w="3322"/>
          </w:tcPr>
          <w:p>
            <w:pPr>
              <w:pStyle w:val="null3"/>
            </w:pPr>
            <w:r>
              <w:rPr>
                <w:rFonts w:ascii="仿宋_GB2312" w:hAnsi="仿宋_GB2312" w:cs="仿宋_GB2312" w:eastAsia="仿宋_GB2312"/>
              </w:rPr>
              <w:t>技术参数与性能指标中标注★参数，投标人必须完全响应或优于招标文件要求，并提供佐证材料（可为检测报告或产品彩页或功能截图或加盖厂家公章的技术说明书）。不满足或未提供佐证材料或佐证材料无法佐证按无效文件处理。</w:t>
            </w:r>
          </w:p>
        </w:tc>
        <w:tc>
          <w:tcPr>
            <w:tcW w:type="dxa" w:w="1661"/>
          </w:tcPr>
          <w:p>
            <w:pPr>
              <w:pStyle w:val="null3"/>
            </w:pPr>
            <w:r>
              <w:rPr>
                <w:rFonts w:ascii="仿宋_GB2312" w:hAnsi="仿宋_GB2312" w:cs="仿宋_GB2312" w:eastAsia="仿宋_GB2312"/>
              </w:rPr>
              <w:t>5技术响应与偏离表.docx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①标“▲”参数共计10项，投标人满足参数要求的每项得2分，不满足得0分，满分20分。“▲”指标必须提供有效佐证材料，否则视为负偏离。 ②非“★、▲、演示项”参数（以投标人的技术响应偏离表响应情况为准），得分=（投标人满足采购人要求的非“★、▲、演示项”参数数量/非“★、▲、演示项”参数总数量）×10分，满分10分。得分保留小数点后两位数，小数点后第三位四舍五入。 备注： 1.佐证材料可为检测报告或产品彩页或功能截图或加盖厂家公章的技术说明书。 2.要求提供佐证材料的，佐证材料与技术响应偏离表响应内容不一致的，以佐证材料为准；未要求提供佐证材料的，以技术响应偏离表响应内容为准。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中标注“提供演示”的内容提供线上演示：针对软件功能演示内容须采用真实系统演示，也可以提前用真实系统录制产品功能演示视频（mp4格式）进行演示，不接受PPT、截图、Word、PDF等方式，针对课程资源内容演示形式不限。 演示项共5项，每项演示内容完全满足参数要求，计2分，满分10分。 不演示或演示方式、演示内容与要求不符，对应此项不得分。 备注：评审现场通过腾讯会议组织开展，请各投标人保持通信畅通，每个投标人的演示时长不超过15分钟。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投标人提供针对本项目的实施方案，包括但不限于（1）供货保障方案；（2）安装调试方案；（3）实施进度保障措施；（4）突发事件应急措施。 上述4项内容，每提供1项内容计2分，每项内容存在1处瑕疵扣0.5分；本评分点满分8分。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投标人提供针对本项目的质量保障方案，包括但不限于（1）产品性能保证；（2）软硬件适配兼容性说明；（3）实施过程中的质量保障措施。 上述3项内容，每提供1项内容计2分，每项内容存在1处瑕疵扣0.5分；本评分点满分6分。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投标人针对本项目提供培训方案，方案应至少包括但不限于（1）培训时间计划及培训对象；（2）培训内容设计安排。 上述2项内容，每提供1项内容计1分，每项内容存在1处瑕疵扣0.5分；本评分点满分2分。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投标人针对本项目提供具体的售后服务方案，包括但不限于（1）本地化服务能力说明、售后服务范围及保障措施；（2）备品备件保障、软件升级维护；（3）定期巡检计划安排等。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投标人提供所投核心产品合法来源渠道证明文件（包括但不限于销售协议或代理协议或原厂授权等），提供计4分。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10供货来源渠道证明.docx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提供投标人自2023年1月1日以来同类项目业绩（以合同签订时间为准），每提供1个得1.5分，最多得6分。 备注：①须提供合同扫描件并加盖供应商公章。合同扫描件，必须清晰体现签约主体和日期、合同名称及内容等核心要素，否则不计为有效业绩。 ②同类项目指的是：业绩内容至少包含本项目采购的核心产品。</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详见附件：7质量保障方案.docx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详见附件：10供货来源渠道证明.docx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