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版本号：ZTDJ-HZCG-2026070320260703001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留坝县2026年省级林业改革发展资金野生鸟类白冠长尾雉监测保护项目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ZTDJ-HZCG-20260703</w:t>
      </w:r>
      <w:r>
        <w:br/>
      </w:r>
      <w:r>
        <w:br/>
      </w:r>
      <w:r>
        <w:br/>
      </w:r>
    </w:p>
    <w:p>
      <w:pPr>
        <w:pStyle w:val="null3"/>
        <w:jc w:val="center"/>
        <w:outlineLvl w:val="2"/>
      </w:pPr>
      <w:r>
        <w:rPr>
          <w:rFonts w:ascii="仿宋_GB2312" w:hAnsi="仿宋_GB2312" w:cs="仿宋_GB2312" w:eastAsia="仿宋_GB2312"/>
          <w:sz w:val="28"/>
          <w:b/>
        </w:rPr>
        <w:t>留坝县湿地保护管理中心（留坝县野生动物保护站）</w:t>
      </w:r>
    </w:p>
    <w:p>
      <w:pPr>
        <w:pStyle w:val="null3"/>
        <w:jc w:val="center"/>
        <w:outlineLvl w:val="2"/>
      </w:pPr>
      <w:r>
        <w:rPr>
          <w:rFonts w:ascii="仿宋_GB2312" w:hAnsi="仿宋_GB2312" w:cs="仿宋_GB2312" w:eastAsia="仿宋_GB2312"/>
          <w:sz w:val="28"/>
          <w:b/>
        </w:rPr>
        <w:t>中拓达建项目管理有限公司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中拓达建项目管理有限公司</w:t>
      </w:r>
      <w:r>
        <w:rPr>
          <w:rFonts w:ascii="仿宋_GB2312" w:hAnsi="仿宋_GB2312" w:cs="仿宋_GB2312" w:eastAsia="仿宋_GB2312"/>
        </w:rPr>
        <w:t>（以下简称“代理机构”）受</w:t>
      </w:r>
      <w:r>
        <w:rPr>
          <w:rFonts w:ascii="仿宋_GB2312" w:hAnsi="仿宋_GB2312" w:cs="仿宋_GB2312" w:eastAsia="仿宋_GB2312"/>
        </w:rPr>
        <w:t>留坝县湿地保护管理中心（留坝县野生动物保护站）</w:t>
      </w:r>
      <w:r>
        <w:rPr>
          <w:rFonts w:ascii="仿宋_GB2312" w:hAnsi="仿宋_GB2312" w:cs="仿宋_GB2312" w:eastAsia="仿宋_GB2312"/>
        </w:rPr>
        <w:t>委托，拟对</w:t>
      </w:r>
      <w:r>
        <w:rPr>
          <w:rFonts w:ascii="仿宋_GB2312" w:hAnsi="仿宋_GB2312" w:cs="仿宋_GB2312" w:eastAsia="仿宋_GB2312"/>
        </w:rPr>
        <w:t>留坝县2026年省级林业改革发展资金野生鸟类白冠长尾雉监测保护项目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ZTDJ-HZCG-20260703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留坝县2026年省级林业改革发展资金野生鸟类白冠长尾雉监测保护项目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白冠长尾雉种群和栖息地通过样线法进行调查，调查样线App表格数据电子文档或纸质表格；红外相机监测图像数据；干扰等调查走访问卷；调查中拍摄的工作和生境照片，建立白冠长尾雉本底信息数据库，形成报告及相关图、表。</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1、主体资格：供应商为具有独立承担民事责任能力的法人或其他组织或自然人，并出具合法有效的营业执照或事业法人证书等国家规定的相关证明， 自然人参与的提供其身份证明。</w:t>
      </w:r>
    </w:p>
    <w:p>
      <w:pPr>
        <w:pStyle w:val="null3"/>
      </w:pPr>
      <w:r>
        <w:rPr>
          <w:rFonts w:ascii="仿宋_GB2312" w:hAnsi="仿宋_GB2312" w:cs="仿宋_GB2312" w:eastAsia="仿宋_GB2312"/>
        </w:rPr>
        <w:t>2、法定代表人授权书或法定代表人身份证明：供应商应授权合法的人员参加磋商全过程，其中法定代表人（或负责人）直接参加磋商的，须出具法定代表人（或负责人）身份证明，并与营业执照上信息一致；法定代表人（或负责人）授权代表参加磋商的，须出具法定代表人（或负责人）授权书及授权代表身份证明；</w:t>
      </w:r>
    </w:p>
    <w:p>
      <w:pPr>
        <w:pStyle w:val="null3"/>
      </w:pPr>
      <w:r>
        <w:rPr>
          <w:rFonts w:ascii="仿宋_GB2312" w:hAnsi="仿宋_GB2312" w:cs="仿宋_GB2312" w:eastAsia="仿宋_GB2312"/>
        </w:rPr>
        <w:t>3、企业资质：供应商须具备林业调查规划设计丙级及以上资质；</w:t>
      </w:r>
    </w:p>
    <w:p>
      <w:pPr>
        <w:pStyle w:val="null3"/>
      </w:pPr>
      <w:r>
        <w:rPr>
          <w:rFonts w:ascii="仿宋_GB2312" w:hAnsi="仿宋_GB2312" w:cs="仿宋_GB2312" w:eastAsia="仿宋_GB2312"/>
        </w:rPr>
        <w:t>4、信誉要求：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 、“重大税收违法案件当事人名单” 中(ww w.creditchina.gov.cn)，未列入中国政府采购网“政府采购严重违法失信行为记录名单” 中（w ww.ccgp.gov.cn），供应商需提供加盖公章的《汉中市政府采购供应商资格承诺函》</w:t>
      </w:r>
    </w:p>
    <w:p>
      <w:pPr>
        <w:pStyle w:val="null3"/>
      </w:pPr>
      <w:r>
        <w:rPr>
          <w:rFonts w:ascii="仿宋_GB2312" w:hAnsi="仿宋_GB2312" w:cs="仿宋_GB2312" w:eastAsia="仿宋_GB2312"/>
        </w:rPr>
        <w:t>5、供应商不得存在的情形：单位负责人为同一人或者存在直接控股、管理关系的不同供应商，不得参加同一合同项下的政府采购活动。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留坝县湿地保护管理中心（留坝县野生动物保护站）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留坝县环城路66号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屈先⽣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15029770236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中拓达建项目管理有限公司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汉中市汉台区海德理想城西⻔临街商铺⼆楼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郭凌云</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15771668755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留坝县政府采购管理股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谭小玲</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13892639992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计价格【2002】1980号)《招标代理服务收费管理暂⾏办法》和国家发展改⾰委办公厅（发改办价格【2003】857号）和国家发展改⾰委（发改价格【2011】534号）⽂件的相关规定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留坝县湿地保护管理中心（留坝县野生动物保护站）</w:t>
      </w:r>
      <w:r>
        <w:rPr>
          <w:rFonts w:ascii="仿宋_GB2312" w:hAnsi="仿宋_GB2312" w:cs="仿宋_GB2312" w:eastAsia="仿宋_GB2312"/>
        </w:rPr>
        <w:t>和</w:t>
      </w:r>
      <w:r>
        <w:rPr>
          <w:rFonts w:ascii="仿宋_GB2312" w:hAnsi="仿宋_GB2312" w:cs="仿宋_GB2312" w:eastAsia="仿宋_GB2312"/>
        </w:rPr>
        <w:t>中拓达建项目管理有限公司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留坝县湿地保护管理中心（留坝县野生动物保护站）</w:t>
      </w:r>
      <w:r>
        <w:rPr>
          <w:rFonts w:ascii="仿宋_GB2312" w:hAnsi="仿宋_GB2312" w:cs="仿宋_GB2312" w:eastAsia="仿宋_GB2312"/>
        </w:rPr>
        <w:t>负责解释。除上述磋商文件内容，其他内容由</w:t>
      </w:r>
      <w:r>
        <w:rPr>
          <w:rFonts w:ascii="仿宋_GB2312" w:hAnsi="仿宋_GB2312" w:cs="仿宋_GB2312" w:eastAsia="仿宋_GB2312"/>
        </w:rPr>
        <w:t>中拓达建项目管理有限公司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留坝县湿地保护管理中心（留坝县野生动物保护站）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中拓达建项目管理有限公司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供应商应保证在本项⽬中使⽤的任何技术、产品和服务（包括部分使⽤），不会产⽣因第三⽅提出侵犯其专利权、商标权或其它知识产权⽽引起的法律和经济纠纷，如存在前述情形，由供应商承担所有相关责任。采购⼈享有本项⽬实施过程中产⽣的知识成果及知识产权。 2、供应商将在采购项⽬实施过程中采⽤⾃有或者第三⽅知识成果的，使⽤该知识成果后，供应商需提供开发接⼝和开发⼿册等技术资料，并承诺提供⽆限期⽀持，采购⼈享有使⽤权（含采购⼈委托第三⽅在该项⽬后续开发的使⽤权）。 3、如采⽤供应商所不拥有的知识产权，则在报价中必须包括合法使⽤该知识产权的相关费⽤。 4、构成本磋商⽂件的各组成部分，未经采购⼈书⾯同意，供应商不得擅⾃复印或⽤于⾮本磋商项⽬所需的其他⽬的。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达到⾏业规定的合格标准，且通过上级部⻔检查及验收。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中拓达建项目管理有限公司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中拓达建项目管理有限公司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中拓达建项目管理有限公司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联系人：郭凌云</w:t>
      </w:r>
    </w:p>
    <w:p>
      <w:pPr>
        <w:pStyle w:val="null3"/>
      </w:pPr>
      <w:r>
        <w:rPr>
          <w:rFonts w:ascii="仿宋_GB2312" w:hAnsi="仿宋_GB2312" w:cs="仿宋_GB2312" w:eastAsia="仿宋_GB2312"/>
        </w:rPr>
        <w:t>联系电话：15771668755</w:t>
      </w:r>
    </w:p>
    <w:p>
      <w:pPr>
        <w:pStyle w:val="null3"/>
      </w:pPr>
      <w:r>
        <w:rPr>
          <w:rFonts w:ascii="仿宋_GB2312" w:hAnsi="仿宋_GB2312" w:cs="仿宋_GB2312" w:eastAsia="仿宋_GB2312"/>
        </w:rPr>
        <w:t>地址：汉中市汉台区海德理想城西⻔临街商铺⼆楼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白冠长尾雉种群和栖息地通过样线法进行调查，调查样线App表格数据电子文档或纸质表格；红外相机监测图像数据；干扰等调查走访问卷；调查中拍摄的工作和生境照片，建立白冠长尾雉本底信息数据库，形成报告及相关图、表。</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留坝县2026年省级林业改革发展资金野生鸟类白冠长尾雉监测保护项目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标的名称：留坝县2026年省级林业改革发展资金野生鸟类白冠长尾雉监测保护项目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（一）项目实施的地点：留坝县县域内；</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二</w:t>
            </w:r>
            <w:r>
              <w:rPr>
                <w:rFonts w:ascii="仿宋_GB2312" w:hAnsi="仿宋_GB2312" w:cs="仿宋_GB2312" w:eastAsia="仿宋_GB2312"/>
                <w:sz w:val="21"/>
              </w:rPr>
              <w:t>）</w:t>
            </w:r>
            <w:r>
              <w:rPr>
                <w:rFonts w:ascii="仿宋_GB2312" w:hAnsi="仿宋_GB2312" w:cs="仿宋_GB2312" w:eastAsia="仿宋_GB2312"/>
                <w:sz w:val="21"/>
              </w:rPr>
              <w:t>具体内容及要求</w:t>
            </w:r>
          </w:p>
          <w:p>
            <w:pPr>
              <w:pStyle w:val="null3"/>
              <w:ind w:firstLine="640"/>
              <w:jc w:val="both"/>
            </w:pPr>
            <w:r>
              <w:rPr>
                <w:rFonts w:ascii="仿宋_GB2312" w:hAnsi="仿宋_GB2312" w:cs="仿宋_GB2312" w:eastAsia="仿宋_GB2312"/>
                <w:sz w:val="21"/>
              </w:rPr>
              <w:t>1.</w:t>
            </w:r>
            <w:r>
              <w:rPr>
                <w:rFonts w:ascii="仿宋_GB2312" w:hAnsi="仿宋_GB2312" w:cs="仿宋_GB2312" w:eastAsia="仿宋_GB2312"/>
                <w:sz w:val="21"/>
              </w:rPr>
              <w:t>白冠长尾雉</w:t>
            </w:r>
            <w:r>
              <w:rPr>
                <w:rFonts w:ascii="仿宋_GB2312" w:hAnsi="仿宋_GB2312" w:cs="仿宋_GB2312" w:eastAsia="仿宋_GB2312"/>
                <w:sz w:val="21"/>
              </w:rPr>
              <w:t>种群及栖息地</w:t>
            </w:r>
            <w:r>
              <w:rPr>
                <w:rFonts w:ascii="仿宋_GB2312" w:hAnsi="仿宋_GB2312" w:cs="仿宋_GB2312" w:eastAsia="仿宋_GB2312"/>
                <w:sz w:val="21"/>
              </w:rPr>
              <w:t>生境</w:t>
            </w:r>
            <w:r>
              <w:rPr>
                <w:rFonts w:ascii="仿宋_GB2312" w:hAnsi="仿宋_GB2312" w:cs="仿宋_GB2312" w:eastAsia="仿宋_GB2312"/>
                <w:sz w:val="21"/>
              </w:rPr>
              <w:t>调查</w:t>
            </w:r>
          </w:p>
          <w:p>
            <w:pPr>
              <w:pStyle w:val="null3"/>
              <w:ind w:firstLine="640"/>
              <w:jc w:val="both"/>
            </w:pPr>
            <w:r>
              <w:rPr>
                <w:rFonts w:ascii="仿宋_GB2312" w:hAnsi="仿宋_GB2312" w:cs="仿宋_GB2312" w:eastAsia="仿宋_GB2312"/>
                <w:sz w:val="21"/>
              </w:rPr>
              <w:t>1.1</w:t>
            </w:r>
            <w:r>
              <w:rPr>
                <w:rFonts w:ascii="仿宋_GB2312" w:hAnsi="仿宋_GB2312" w:cs="仿宋_GB2312" w:eastAsia="仿宋_GB2312"/>
                <w:sz w:val="21"/>
              </w:rPr>
              <w:t>调查准备</w:t>
            </w:r>
          </w:p>
          <w:p>
            <w:pPr>
              <w:pStyle w:val="null3"/>
              <w:ind w:firstLine="640"/>
              <w:jc w:val="both"/>
            </w:pPr>
            <w:r>
              <w:rPr>
                <w:rFonts w:ascii="仿宋_GB2312" w:hAnsi="仿宋_GB2312" w:cs="仿宋_GB2312" w:eastAsia="仿宋_GB2312"/>
                <w:sz w:val="21"/>
              </w:rPr>
              <w:t>根据陕西和秦岭已有白冠长尾雉的研究和报道，结合发现地的生境特点，对该物种在留坝境内的分布进行调查走访，确定调查的区域，重点了解玉皇庙镇及周边地区或类似生境区域。</w:t>
            </w:r>
          </w:p>
          <w:p>
            <w:pPr>
              <w:pStyle w:val="null3"/>
              <w:ind w:firstLine="640"/>
              <w:jc w:val="both"/>
            </w:pPr>
            <w:r>
              <w:rPr>
                <w:rFonts w:ascii="仿宋_GB2312" w:hAnsi="仿宋_GB2312" w:cs="仿宋_GB2312" w:eastAsia="仿宋_GB2312"/>
                <w:sz w:val="21"/>
              </w:rPr>
              <w:t>1.2</w:t>
            </w:r>
            <w:r>
              <w:rPr>
                <w:rFonts w:ascii="仿宋_GB2312" w:hAnsi="仿宋_GB2312" w:cs="仿宋_GB2312" w:eastAsia="仿宋_GB2312"/>
                <w:sz w:val="21"/>
              </w:rPr>
              <w:t>调查</w:t>
            </w:r>
            <w:r>
              <w:rPr>
                <w:rFonts w:ascii="仿宋_GB2312" w:hAnsi="仿宋_GB2312" w:cs="仿宋_GB2312" w:eastAsia="仿宋_GB2312"/>
                <w:sz w:val="21"/>
              </w:rPr>
              <w:t>内容和任务</w:t>
            </w:r>
          </w:p>
          <w:p>
            <w:pPr>
              <w:pStyle w:val="null3"/>
              <w:ind w:firstLine="640"/>
              <w:jc w:val="both"/>
            </w:pPr>
            <w:r>
              <w:rPr>
                <w:rFonts w:ascii="仿宋_GB2312" w:hAnsi="仿宋_GB2312" w:cs="仿宋_GB2312" w:eastAsia="仿宋_GB2312"/>
                <w:sz w:val="21"/>
              </w:rPr>
              <w:t>主要调查</w:t>
            </w:r>
            <w:r>
              <w:rPr>
                <w:rFonts w:ascii="仿宋_GB2312" w:hAnsi="仿宋_GB2312" w:cs="仿宋_GB2312" w:eastAsia="仿宋_GB2312"/>
                <w:sz w:val="21"/>
              </w:rPr>
              <w:t>内容和任务如下</w:t>
            </w:r>
            <w:r>
              <w:rPr>
                <w:rFonts w:ascii="仿宋_GB2312" w:hAnsi="仿宋_GB2312" w:cs="仿宋_GB2312" w:eastAsia="仿宋_GB2312"/>
                <w:sz w:val="21"/>
              </w:rPr>
              <w:t>：</w:t>
            </w:r>
          </w:p>
          <w:p>
            <w:pPr>
              <w:pStyle w:val="null3"/>
              <w:ind w:firstLine="64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）种群调查：查清白冠长尾雉种群分布、数量、结构等种群状况及天敌、同域动物情况，分析威胁因素、了解种群动态和评估种群安全。</w:t>
            </w:r>
          </w:p>
          <w:p>
            <w:pPr>
              <w:pStyle w:val="null3"/>
              <w:ind w:firstLine="64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）栖息地调查：结合空间利用特征认识适宜栖息地的生物和景观特征，查清典型栖息地特征及植被、群落组成，掌握境内适宜栖息地的分布和规模，了解栖息地变化情况，分析恢复和优化路径。</w:t>
            </w:r>
          </w:p>
          <w:p>
            <w:pPr>
              <w:pStyle w:val="null3"/>
              <w:ind w:firstLine="64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）干扰和管理：了解种群和栖息地的主要干扰源，评估干扰水平，研究管控措施。</w:t>
            </w:r>
          </w:p>
          <w:p>
            <w:pPr>
              <w:pStyle w:val="null3"/>
              <w:ind w:firstLine="640"/>
              <w:jc w:val="both"/>
            </w:pPr>
            <w:r>
              <w:rPr>
                <w:rFonts w:ascii="仿宋_GB2312" w:hAnsi="仿宋_GB2312" w:cs="仿宋_GB2312" w:eastAsia="仿宋_GB2312"/>
                <w:sz w:val="21"/>
              </w:rPr>
              <w:t>1.3</w:t>
            </w:r>
            <w:r>
              <w:rPr>
                <w:rFonts w:ascii="仿宋_GB2312" w:hAnsi="仿宋_GB2312" w:cs="仿宋_GB2312" w:eastAsia="仿宋_GB2312"/>
                <w:sz w:val="21"/>
              </w:rPr>
              <w:t>调查方法</w:t>
            </w:r>
          </w:p>
          <w:p>
            <w:pPr>
              <w:pStyle w:val="null3"/>
              <w:ind w:firstLine="640"/>
              <w:jc w:val="both"/>
            </w:pPr>
            <w:r>
              <w:rPr>
                <w:rFonts w:ascii="仿宋_GB2312" w:hAnsi="仿宋_GB2312" w:cs="仿宋_GB2312" w:eastAsia="仿宋_GB2312"/>
                <w:sz w:val="21"/>
              </w:rPr>
              <w:t>种群和栖息地通过样线法进行调查。根据调查走访结果所确定的区域划定调查网格，在每个网格内设置调查样线，沿样线采集白冠长尾雉种群和栖息地</w:t>
            </w:r>
            <w:r>
              <w:rPr>
                <w:rFonts w:ascii="仿宋_GB2312" w:hAnsi="仿宋_GB2312" w:cs="仿宋_GB2312" w:eastAsia="仿宋_GB2312"/>
                <w:sz w:val="21"/>
              </w:rPr>
              <w:t>信息</w:t>
            </w:r>
            <w:r>
              <w:rPr>
                <w:rFonts w:ascii="仿宋_GB2312" w:hAnsi="仿宋_GB2312" w:cs="仿宋_GB2312" w:eastAsia="仿宋_GB2312"/>
                <w:sz w:val="21"/>
              </w:rPr>
              <w:t>。调查采用两种方式采集信息和数据，一是沿样线分别在繁殖季节和冬季集群季节开展系统调查，沿样线采集种群和栖息地信息，数据记录通过调查</w:t>
            </w:r>
            <w:r>
              <w:rPr>
                <w:rFonts w:ascii="仿宋_GB2312" w:hAnsi="仿宋_GB2312" w:cs="仿宋_GB2312" w:eastAsia="仿宋_GB2312"/>
                <w:sz w:val="21"/>
              </w:rPr>
              <w:t>App</w:t>
            </w:r>
            <w:r>
              <w:rPr>
                <w:rFonts w:ascii="仿宋_GB2312" w:hAnsi="仿宋_GB2312" w:cs="仿宋_GB2312" w:eastAsia="仿宋_GB2312"/>
                <w:sz w:val="21"/>
              </w:rPr>
              <w:t>采集</w:t>
            </w:r>
            <w:r>
              <w:rPr>
                <w:rFonts w:ascii="仿宋_GB2312" w:hAnsi="仿宋_GB2312" w:cs="仿宋_GB2312" w:eastAsia="仿宋_GB2312"/>
                <w:sz w:val="21"/>
              </w:rPr>
              <w:t>；二是在典型栖息地及经常活动场所设置红外相机固定监测种群信息。</w:t>
            </w:r>
          </w:p>
          <w:p>
            <w:pPr>
              <w:pStyle w:val="null3"/>
              <w:ind w:firstLine="640"/>
              <w:jc w:val="both"/>
            </w:pPr>
            <w:r>
              <w:rPr>
                <w:rFonts w:ascii="仿宋_GB2312" w:hAnsi="仿宋_GB2312" w:cs="仿宋_GB2312" w:eastAsia="仿宋_GB2312"/>
                <w:sz w:val="21"/>
              </w:rPr>
              <w:t>干扰和管理调查将相关问题设计成表格通过问卷、访谈和实地考察完成。</w:t>
            </w:r>
          </w:p>
          <w:p>
            <w:pPr>
              <w:pStyle w:val="null3"/>
              <w:ind w:firstLine="640"/>
              <w:jc w:val="both"/>
            </w:pPr>
            <w:r>
              <w:rPr>
                <w:rFonts w:ascii="仿宋_GB2312" w:hAnsi="仿宋_GB2312" w:cs="仿宋_GB2312" w:eastAsia="仿宋_GB2312"/>
                <w:sz w:val="21"/>
              </w:rPr>
              <w:t xml:space="preserve">1.4 </w:t>
            </w:r>
            <w:r>
              <w:rPr>
                <w:rFonts w:ascii="仿宋_GB2312" w:hAnsi="仿宋_GB2312" w:cs="仿宋_GB2312" w:eastAsia="仿宋_GB2312"/>
                <w:sz w:val="21"/>
              </w:rPr>
              <w:t>样线</w:t>
            </w:r>
            <w:r>
              <w:rPr>
                <w:rFonts w:ascii="仿宋_GB2312" w:hAnsi="仿宋_GB2312" w:cs="仿宋_GB2312" w:eastAsia="仿宋_GB2312"/>
                <w:sz w:val="21"/>
              </w:rPr>
              <w:t>布设与调查</w:t>
            </w:r>
          </w:p>
          <w:p>
            <w:pPr>
              <w:pStyle w:val="null3"/>
              <w:ind w:firstLine="640"/>
              <w:jc w:val="both"/>
            </w:pPr>
            <w:r>
              <w:rPr>
                <w:rFonts w:ascii="仿宋_GB2312" w:hAnsi="仿宋_GB2312" w:cs="仿宋_GB2312" w:eastAsia="仿宋_GB2312"/>
                <w:sz w:val="21"/>
              </w:rPr>
              <w:t>样线</w:t>
            </w:r>
            <w:r>
              <w:rPr>
                <w:rFonts w:ascii="仿宋_GB2312" w:hAnsi="仿宋_GB2312" w:cs="仿宋_GB2312" w:eastAsia="仿宋_GB2312"/>
                <w:sz w:val="21"/>
              </w:rPr>
              <w:t>本着以最短的距离穿越最多的生境类型</w:t>
            </w:r>
            <w:r>
              <w:rPr>
                <w:rFonts w:ascii="仿宋_GB2312" w:hAnsi="仿宋_GB2312" w:cs="仿宋_GB2312" w:eastAsia="仿宋_GB2312"/>
                <w:sz w:val="21"/>
              </w:rPr>
              <w:t>布设，尤其要覆盖白冠长尾雉的典型栖息地。实际调查中按</w:t>
            </w:r>
            <w:r>
              <w:rPr>
                <w:rFonts w:ascii="仿宋_GB2312" w:hAnsi="仿宋_GB2312" w:cs="仿宋_GB2312" w:eastAsia="仿宋_GB2312"/>
                <w:sz w:val="21"/>
              </w:rPr>
              <w:t>“</w:t>
            </w:r>
            <w:r>
              <w:rPr>
                <w:rFonts w:ascii="仿宋_GB2312" w:hAnsi="仿宋_GB2312" w:cs="仿宋_GB2312" w:eastAsia="仿宋_GB2312"/>
                <w:sz w:val="21"/>
              </w:rPr>
              <w:t>S</w:t>
            </w:r>
            <w:r>
              <w:rPr>
                <w:rFonts w:ascii="仿宋_GB2312" w:hAnsi="仿宋_GB2312" w:cs="仿宋_GB2312" w:eastAsia="仿宋_GB2312"/>
                <w:sz w:val="21"/>
              </w:rPr>
              <w:t>”形行进，以便尽可能多地发现其实体和粪便、羽毛等痕迹；栖息地调查中除了记录发现点的植被信息外，还要采集植被变化点、典型群落等信息，并布设样方采集样方数据。</w:t>
            </w:r>
          </w:p>
          <w:p>
            <w:pPr>
              <w:pStyle w:val="null3"/>
              <w:ind w:firstLine="640"/>
              <w:jc w:val="both"/>
            </w:pPr>
            <w:r>
              <w:rPr>
                <w:rFonts w:ascii="仿宋_GB2312" w:hAnsi="仿宋_GB2312" w:cs="仿宋_GB2312" w:eastAsia="仿宋_GB2312"/>
                <w:sz w:val="21"/>
                <w:b/>
              </w:rPr>
              <w:t>根据前期对全县白冠长尾雉分布区的梳理，在玉皇庙镇、火烧店镇等典型栖息地内布设</w:t>
            </w:r>
            <w:r>
              <w:rPr>
                <w:rFonts w:ascii="仿宋_GB2312" w:hAnsi="仿宋_GB2312" w:cs="仿宋_GB2312" w:eastAsia="仿宋_GB2312"/>
                <w:sz w:val="21"/>
                <w:b/>
              </w:rPr>
              <w:t>20</w:t>
            </w:r>
            <w:r>
              <w:rPr>
                <w:rFonts w:ascii="仿宋_GB2312" w:hAnsi="仿宋_GB2312" w:cs="仿宋_GB2312" w:eastAsia="仿宋_GB2312"/>
                <w:sz w:val="21"/>
                <w:b/>
              </w:rPr>
              <w:t>条样线，开展种群和栖息地调查。</w:t>
            </w:r>
          </w:p>
          <w:p>
            <w:pPr>
              <w:pStyle w:val="null3"/>
              <w:ind w:firstLine="640"/>
              <w:jc w:val="both"/>
            </w:pP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主要调查指标</w:t>
            </w:r>
          </w:p>
          <w:p>
            <w:pPr>
              <w:pStyle w:val="null3"/>
              <w:ind w:firstLine="64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）种群调查：白冠长尾雉位置、数量、年龄、</w:t>
            </w:r>
            <w:r>
              <w:rPr>
                <w:rFonts w:ascii="仿宋_GB2312" w:hAnsi="仿宋_GB2312" w:cs="仿宋_GB2312" w:eastAsia="仿宋_GB2312"/>
                <w:sz w:val="21"/>
              </w:rPr>
              <w:t>性别</w:t>
            </w:r>
            <w:r>
              <w:rPr>
                <w:rFonts w:ascii="仿宋_GB2312" w:hAnsi="仿宋_GB2312" w:cs="仿宋_GB2312" w:eastAsia="仿宋_GB2312"/>
                <w:sz w:val="21"/>
              </w:rPr>
              <w:t>等，发现地的地貌和坡度等景观特征，同域动物组成情况；</w:t>
            </w:r>
            <w:r>
              <w:rPr>
                <w:rFonts w:ascii="仿宋_GB2312" w:hAnsi="仿宋_GB2312" w:cs="仿宋_GB2312" w:eastAsia="仿宋_GB2312"/>
                <w:sz w:val="21"/>
              </w:rPr>
              <w:t xml:space="preserve"> </w:t>
            </w:r>
          </w:p>
          <w:p>
            <w:pPr>
              <w:pStyle w:val="null3"/>
              <w:ind w:firstLine="64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）栖息地包括：发现地的植被及群落组成、结构、生长特征，优势树种的多度、密度、高度、郁闭度、胸径、冠幅等指标，以及地貌和景观特征；</w:t>
            </w:r>
          </w:p>
          <w:p>
            <w:pPr>
              <w:pStyle w:val="null3"/>
              <w:ind w:firstLine="64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）干扰和管理：人为干扰因子（人居区、农业生产、放牧</w:t>
            </w:r>
            <w:r>
              <w:rPr>
                <w:rFonts w:ascii="仿宋_GB2312" w:hAnsi="仿宋_GB2312" w:cs="仿宋_GB2312" w:eastAsia="仿宋_GB2312"/>
                <w:sz w:val="21"/>
              </w:rPr>
              <w:t>…</w:t>
            </w:r>
            <w:r>
              <w:rPr>
                <w:rFonts w:ascii="仿宋_GB2312" w:hAnsi="仿宋_GB2312" w:cs="仿宋_GB2312" w:eastAsia="仿宋_GB2312"/>
                <w:sz w:val="21"/>
              </w:rPr>
              <w:t>）、环境制约（适宜景观供给、植被格局）、种间关系（天敌、种间竞争）、潜在威胁（面源污染、疾病）等。</w:t>
            </w:r>
          </w:p>
          <w:p>
            <w:pPr>
              <w:pStyle w:val="null3"/>
              <w:ind w:firstLine="640"/>
              <w:jc w:val="both"/>
            </w:pPr>
            <w:r>
              <w:rPr>
                <w:rFonts w:ascii="仿宋_GB2312" w:hAnsi="仿宋_GB2312" w:cs="仿宋_GB2312" w:eastAsia="仿宋_GB2312"/>
                <w:sz w:val="21"/>
              </w:rPr>
              <w:t>1.</w:t>
            </w:r>
            <w:r>
              <w:rPr>
                <w:rFonts w:ascii="仿宋_GB2312" w:hAnsi="仿宋_GB2312" w:cs="仿宋_GB2312" w:eastAsia="仿宋_GB2312"/>
                <w:sz w:val="21"/>
              </w:rPr>
              <w:t>6</w:t>
            </w:r>
            <w:r>
              <w:rPr>
                <w:rFonts w:ascii="仿宋_GB2312" w:hAnsi="仿宋_GB2312" w:cs="仿宋_GB2312" w:eastAsia="仿宋_GB2312"/>
                <w:sz w:val="21"/>
              </w:rPr>
              <w:t>主要调查</w:t>
            </w:r>
            <w:r>
              <w:rPr>
                <w:rFonts w:ascii="仿宋_GB2312" w:hAnsi="仿宋_GB2312" w:cs="仿宋_GB2312" w:eastAsia="仿宋_GB2312"/>
                <w:sz w:val="21"/>
              </w:rPr>
              <w:t>数据</w:t>
            </w:r>
          </w:p>
          <w:p>
            <w:pPr>
              <w:pStyle w:val="null3"/>
              <w:ind w:firstLine="640"/>
              <w:jc w:val="both"/>
            </w:pPr>
            <w:r>
              <w:rPr>
                <w:rFonts w:ascii="仿宋_GB2312" w:hAnsi="仿宋_GB2312" w:cs="仿宋_GB2312" w:eastAsia="仿宋_GB2312"/>
                <w:sz w:val="21"/>
              </w:rPr>
              <w:t>调查完成后，主要形成以下数据：</w:t>
            </w:r>
          </w:p>
          <w:p>
            <w:pPr>
              <w:pStyle w:val="null3"/>
              <w:ind w:firstLine="640"/>
              <w:jc w:val="both"/>
            </w:pPr>
            <w:r>
              <w:rPr>
                <w:rFonts w:ascii="仿宋_GB2312" w:hAnsi="仿宋_GB2312" w:cs="仿宋_GB2312" w:eastAsia="仿宋_GB2312"/>
                <w:sz w:val="21"/>
              </w:rPr>
              <w:t>①调查样线</w:t>
            </w:r>
            <w:r>
              <w:rPr>
                <w:rFonts w:ascii="仿宋_GB2312" w:hAnsi="仿宋_GB2312" w:cs="仿宋_GB2312" w:eastAsia="仿宋_GB2312"/>
                <w:sz w:val="21"/>
              </w:rPr>
              <w:t>App</w:t>
            </w:r>
            <w:r>
              <w:rPr>
                <w:rFonts w:ascii="仿宋_GB2312" w:hAnsi="仿宋_GB2312" w:cs="仿宋_GB2312" w:eastAsia="仿宋_GB2312"/>
                <w:sz w:val="21"/>
              </w:rPr>
              <w:t>表格数据电子文档或纸质表格；</w:t>
            </w:r>
          </w:p>
          <w:p>
            <w:pPr>
              <w:pStyle w:val="null3"/>
              <w:ind w:firstLine="640"/>
              <w:jc w:val="both"/>
            </w:pPr>
            <w:r>
              <w:rPr>
                <w:rFonts w:ascii="仿宋_GB2312" w:hAnsi="仿宋_GB2312" w:cs="仿宋_GB2312" w:eastAsia="仿宋_GB2312"/>
                <w:sz w:val="21"/>
              </w:rPr>
              <w:t>②红外相机监测图像数据；</w:t>
            </w:r>
          </w:p>
          <w:p>
            <w:pPr>
              <w:pStyle w:val="null3"/>
              <w:ind w:firstLine="640"/>
              <w:jc w:val="both"/>
            </w:pPr>
            <w:r>
              <w:rPr>
                <w:rFonts w:ascii="仿宋_GB2312" w:hAnsi="仿宋_GB2312" w:cs="仿宋_GB2312" w:eastAsia="仿宋_GB2312"/>
                <w:sz w:val="21"/>
              </w:rPr>
              <w:t>③干扰等调查走访问卷；</w:t>
            </w:r>
          </w:p>
          <w:p>
            <w:pPr>
              <w:pStyle w:val="null3"/>
              <w:ind w:firstLine="640"/>
              <w:jc w:val="both"/>
            </w:pPr>
            <w:r>
              <w:rPr>
                <w:rFonts w:ascii="仿宋_GB2312" w:hAnsi="仿宋_GB2312" w:cs="仿宋_GB2312" w:eastAsia="仿宋_GB2312"/>
                <w:sz w:val="21"/>
              </w:rPr>
              <w:t>④调查中拍摄的工作和生境照片。</w:t>
            </w:r>
          </w:p>
          <w:p>
            <w:pPr>
              <w:pStyle w:val="null3"/>
              <w:spacing w:before="120"/>
              <w:ind w:firstLine="640"/>
              <w:jc w:val="both"/>
            </w:pPr>
            <w:r>
              <w:rPr>
                <w:rFonts w:ascii="仿宋_GB2312" w:hAnsi="仿宋_GB2312" w:cs="仿宋_GB2312" w:eastAsia="仿宋_GB2312"/>
                <w:sz w:val="21"/>
              </w:rPr>
              <w:t>1.</w:t>
            </w:r>
            <w:r>
              <w:rPr>
                <w:rFonts w:ascii="仿宋_GB2312" w:hAnsi="仿宋_GB2312" w:cs="仿宋_GB2312" w:eastAsia="仿宋_GB2312"/>
                <w:sz w:val="21"/>
              </w:rPr>
              <w:t>7</w:t>
            </w:r>
            <w:r>
              <w:rPr>
                <w:rFonts w:ascii="仿宋_GB2312" w:hAnsi="仿宋_GB2312" w:cs="仿宋_GB2312" w:eastAsia="仿宋_GB2312"/>
                <w:sz w:val="21"/>
              </w:rPr>
              <w:t>主要</w:t>
            </w:r>
            <w:r>
              <w:rPr>
                <w:rFonts w:ascii="仿宋_GB2312" w:hAnsi="仿宋_GB2312" w:cs="仿宋_GB2312" w:eastAsia="仿宋_GB2312"/>
                <w:sz w:val="21"/>
              </w:rPr>
              <w:t>分析</w:t>
            </w:r>
            <w:r>
              <w:rPr>
                <w:rFonts w:ascii="仿宋_GB2312" w:hAnsi="仿宋_GB2312" w:cs="仿宋_GB2312" w:eastAsia="仿宋_GB2312"/>
                <w:sz w:val="21"/>
              </w:rPr>
              <w:t>方法</w:t>
            </w:r>
          </w:p>
          <w:p>
            <w:pPr>
              <w:pStyle w:val="null3"/>
              <w:spacing w:before="120"/>
              <w:ind w:firstLine="64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）种群数量分析</w:t>
            </w:r>
            <w:r>
              <w:rPr>
                <w:rFonts w:ascii="仿宋_GB2312" w:hAnsi="仿宋_GB2312" w:cs="仿宋_GB2312" w:eastAsia="仿宋_GB2312"/>
                <w:sz w:val="21"/>
              </w:rPr>
              <w:t>方法</w:t>
            </w:r>
          </w:p>
          <w:p>
            <w:pPr>
              <w:pStyle w:val="null3"/>
              <w:spacing w:before="120"/>
              <w:ind w:firstLine="640"/>
              <w:jc w:val="both"/>
            </w:pPr>
            <w:r>
              <w:rPr>
                <w:rFonts w:ascii="仿宋_GB2312" w:hAnsi="仿宋_GB2312" w:cs="仿宋_GB2312" w:eastAsia="仿宋_GB2312"/>
                <w:sz w:val="21"/>
              </w:rPr>
              <w:t>基于</w:t>
            </w:r>
            <w:r>
              <w:rPr>
                <w:rFonts w:ascii="仿宋_GB2312" w:hAnsi="仿宋_GB2312" w:cs="仿宋_GB2312" w:eastAsia="仿宋_GB2312"/>
                <w:sz w:val="21"/>
              </w:rPr>
              <w:t>红外相机监测结果，并结合样线调查所发现的痕迹等信息综合估算种群数量。</w:t>
            </w:r>
          </w:p>
          <w:p>
            <w:pPr>
              <w:pStyle w:val="null3"/>
              <w:spacing w:before="120"/>
              <w:ind w:firstLine="64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）栖息地评价与分析方法</w:t>
            </w:r>
          </w:p>
          <w:p>
            <w:pPr>
              <w:pStyle w:val="null3"/>
              <w:spacing w:before="120"/>
              <w:ind w:firstLine="640"/>
              <w:jc w:val="both"/>
            </w:pPr>
            <w:r>
              <w:rPr>
                <w:rFonts w:ascii="仿宋_GB2312" w:hAnsi="仿宋_GB2312" w:cs="仿宋_GB2312" w:eastAsia="仿宋_GB2312"/>
                <w:sz w:val="21"/>
              </w:rPr>
              <w:t>结合新近的遥感影响，根据调查获取的栖息地样方数据，将坡度、海拔、河流等景观要素纳入构建适宜栖息地模型，在此基</w:t>
            </w:r>
            <w:r>
              <w:rPr>
                <w:rFonts w:ascii="仿宋_GB2312" w:hAnsi="仿宋_GB2312" w:cs="仿宋_GB2312" w:eastAsia="仿宋_GB2312"/>
                <w:sz w:val="21"/>
              </w:rPr>
              <w:t>础上</w:t>
            </w:r>
            <w:r>
              <w:rPr>
                <w:rFonts w:ascii="仿宋_GB2312" w:hAnsi="仿宋_GB2312" w:cs="仿宋_GB2312" w:eastAsia="仿宋_GB2312"/>
                <w:sz w:val="21"/>
              </w:rPr>
              <w:t>识别县域内的栖息地，分析破碎化等特征。</w:t>
            </w:r>
          </w:p>
          <w:p>
            <w:pPr>
              <w:pStyle w:val="null3"/>
              <w:ind w:firstLine="640"/>
              <w:jc w:val="both"/>
            </w:pPr>
            <w:r>
              <w:rPr>
                <w:rFonts w:ascii="仿宋_GB2312" w:hAnsi="仿宋_GB2312" w:cs="仿宋_GB2312" w:eastAsia="仿宋_GB2312"/>
                <w:sz w:val="21"/>
              </w:rPr>
              <w:t>1.</w:t>
            </w:r>
            <w:r>
              <w:rPr>
                <w:rFonts w:ascii="仿宋_GB2312" w:hAnsi="仿宋_GB2312" w:cs="仿宋_GB2312" w:eastAsia="仿宋_GB2312"/>
                <w:sz w:val="21"/>
              </w:rPr>
              <w:t>8</w:t>
            </w:r>
            <w:r>
              <w:rPr>
                <w:rFonts w:ascii="仿宋_GB2312" w:hAnsi="仿宋_GB2312" w:cs="仿宋_GB2312" w:eastAsia="仿宋_GB2312"/>
                <w:sz w:val="21"/>
              </w:rPr>
              <w:t>调查</w:t>
            </w:r>
            <w:r>
              <w:rPr>
                <w:rFonts w:ascii="仿宋_GB2312" w:hAnsi="仿宋_GB2312" w:cs="仿宋_GB2312" w:eastAsia="仿宋_GB2312"/>
                <w:sz w:val="21"/>
              </w:rPr>
              <w:t>成果</w:t>
            </w:r>
          </w:p>
          <w:p>
            <w:pPr>
              <w:pStyle w:val="null3"/>
              <w:ind w:firstLine="640"/>
              <w:jc w:val="both"/>
            </w:pPr>
            <w:r>
              <w:rPr>
                <w:rFonts w:ascii="仿宋_GB2312" w:hAnsi="仿宋_GB2312" w:cs="仿宋_GB2312" w:eastAsia="仿宋_GB2312"/>
                <w:sz w:val="21"/>
              </w:rPr>
              <w:t>综合样线调查和</w:t>
            </w:r>
            <w:r>
              <w:rPr>
                <w:rFonts w:ascii="仿宋_GB2312" w:hAnsi="仿宋_GB2312" w:cs="仿宋_GB2312" w:eastAsia="仿宋_GB2312"/>
                <w:sz w:val="21"/>
              </w:rPr>
              <w:t>红外</w:t>
            </w:r>
            <w:r>
              <w:rPr>
                <w:rFonts w:ascii="仿宋_GB2312" w:hAnsi="仿宋_GB2312" w:cs="仿宋_GB2312" w:eastAsia="仿宋_GB2312"/>
                <w:sz w:val="21"/>
              </w:rPr>
              <w:t>相机监测，开展数据整理、分析和成果集成，建立白冠长尾雉本底信息数据库，形成</w:t>
            </w:r>
            <w:r>
              <w:rPr>
                <w:rFonts w:ascii="仿宋_GB2312" w:hAnsi="仿宋_GB2312" w:cs="仿宋_GB2312" w:eastAsia="仿宋_GB2312"/>
                <w:sz w:val="21"/>
              </w:rPr>
              <w:t>调查报告及</w:t>
            </w:r>
            <w:r>
              <w:rPr>
                <w:rFonts w:ascii="仿宋_GB2312" w:hAnsi="仿宋_GB2312" w:cs="仿宋_GB2312" w:eastAsia="仿宋_GB2312"/>
                <w:sz w:val="21"/>
              </w:rPr>
              <w:t>相关图、表。</w:t>
            </w:r>
          </w:p>
          <w:p>
            <w:pPr>
              <w:pStyle w:val="null3"/>
              <w:ind w:firstLine="640"/>
              <w:jc w:val="both"/>
            </w:pPr>
            <w:r>
              <w:rPr>
                <w:rFonts w:ascii="仿宋_GB2312" w:hAnsi="仿宋_GB2312" w:cs="仿宋_GB2312" w:eastAsia="仿宋_GB2312"/>
                <w:sz w:val="21"/>
              </w:rPr>
              <w:t>1.</w:t>
            </w:r>
            <w:r>
              <w:rPr>
                <w:rFonts w:ascii="仿宋_GB2312" w:hAnsi="仿宋_GB2312" w:cs="仿宋_GB2312" w:eastAsia="仿宋_GB2312"/>
                <w:sz w:val="21"/>
              </w:rPr>
              <w:t>9</w:t>
            </w:r>
            <w:r>
              <w:rPr>
                <w:rFonts w:ascii="仿宋_GB2312" w:hAnsi="仿宋_GB2312" w:cs="仿宋_GB2312" w:eastAsia="仿宋_GB2312"/>
                <w:sz w:val="21"/>
              </w:rPr>
              <w:t>监测设备购置与安装</w:t>
            </w:r>
          </w:p>
          <w:p>
            <w:pPr>
              <w:pStyle w:val="null3"/>
              <w:ind w:firstLine="640"/>
              <w:jc w:val="both"/>
            </w:pPr>
            <w:r>
              <w:rPr>
                <w:rFonts w:ascii="仿宋_GB2312" w:hAnsi="仿宋_GB2312" w:cs="仿宋_GB2312" w:eastAsia="仿宋_GB2312"/>
                <w:sz w:val="21"/>
              </w:rPr>
              <w:t>根据调查需要，</w:t>
            </w:r>
            <w:r>
              <w:rPr>
                <w:rFonts w:ascii="仿宋_GB2312" w:hAnsi="仿宋_GB2312" w:cs="仿宋_GB2312" w:eastAsia="仿宋_GB2312"/>
                <w:sz w:val="21"/>
              </w:rPr>
              <w:t>购置</w:t>
            </w:r>
            <w:r>
              <w:rPr>
                <w:rFonts w:ascii="仿宋_GB2312" w:hAnsi="仿宋_GB2312" w:cs="仿宋_GB2312" w:eastAsia="仿宋_GB2312"/>
                <w:sz w:val="21"/>
              </w:rPr>
              <w:t>1</w:t>
            </w:r>
            <w:r>
              <w:rPr>
                <w:rFonts w:ascii="仿宋_GB2312" w:hAnsi="仿宋_GB2312" w:cs="仿宋_GB2312" w:eastAsia="仿宋_GB2312"/>
                <w:sz w:val="21"/>
              </w:rPr>
              <w:t>套适用于本次调查监测</w:t>
            </w:r>
            <w:r>
              <w:rPr>
                <w:rFonts w:ascii="仿宋_GB2312" w:hAnsi="仿宋_GB2312" w:cs="仿宋_GB2312" w:eastAsia="仿宋_GB2312"/>
                <w:sz w:val="21"/>
              </w:rPr>
              <w:t>APP</w:t>
            </w:r>
            <w:r>
              <w:rPr>
                <w:rFonts w:ascii="仿宋_GB2312" w:hAnsi="仿宋_GB2312" w:cs="仿宋_GB2312" w:eastAsia="仿宋_GB2312"/>
                <w:sz w:val="21"/>
              </w:rPr>
              <w:t>软件或有记录功能的相关软件</w:t>
            </w:r>
            <w:r>
              <w:rPr>
                <w:rFonts w:ascii="仿宋_GB2312" w:hAnsi="仿宋_GB2312" w:cs="仿宋_GB2312" w:eastAsia="仿宋_GB2312"/>
                <w:sz w:val="21"/>
              </w:rPr>
              <w:t>；</w:t>
            </w:r>
            <w:r>
              <w:rPr>
                <w:rFonts w:ascii="仿宋_GB2312" w:hAnsi="仿宋_GB2312" w:cs="仿宋_GB2312" w:eastAsia="仿宋_GB2312"/>
                <w:sz w:val="21"/>
              </w:rPr>
              <w:t>用于本次调查和后续监测；购置本次调查所需红外相机</w:t>
            </w:r>
            <w:r>
              <w:rPr>
                <w:rFonts w:ascii="仿宋_GB2312" w:hAnsi="仿宋_GB2312" w:cs="仿宋_GB2312" w:eastAsia="仿宋_GB2312"/>
                <w:sz w:val="21"/>
              </w:rPr>
              <w:t>40</w:t>
            </w:r>
            <w:r>
              <w:rPr>
                <w:rFonts w:ascii="仿宋_GB2312" w:hAnsi="仿宋_GB2312" w:cs="仿宋_GB2312" w:eastAsia="仿宋_GB2312"/>
                <w:sz w:val="21"/>
              </w:rPr>
              <w:t>台用于本次调查和后续监测。</w:t>
            </w:r>
          </w:p>
          <w:p>
            <w:pPr>
              <w:pStyle w:val="null3"/>
              <w:ind w:firstLine="640"/>
              <w:jc w:val="both"/>
            </w:pPr>
            <w:r>
              <w:rPr>
                <w:rFonts w:ascii="仿宋_GB2312" w:hAnsi="仿宋_GB2312" w:cs="仿宋_GB2312" w:eastAsia="仿宋_GB2312"/>
                <w:sz w:val="21"/>
              </w:rPr>
              <w:t xml:space="preserve">1.10 </w:t>
            </w:r>
            <w:r>
              <w:rPr>
                <w:rFonts w:ascii="仿宋_GB2312" w:hAnsi="仿宋_GB2312" w:cs="仿宋_GB2312" w:eastAsia="仿宋_GB2312"/>
                <w:sz w:val="21"/>
              </w:rPr>
              <w:t>技术及专业性说明</w:t>
            </w:r>
          </w:p>
          <w:p>
            <w:pPr>
              <w:pStyle w:val="null3"/>
              <w:ind w:firstLine="640"/>
              <w:jc w:val="both"/>
            </w:pPr>
            <w:r>
              <w:rPr>
                <w:rFonts w:ascii="仿宋_GB2312" w:hAnsi="仿宋_GB2312" w:cs="仿宋_GB2312" w:eastAsia="仿宋_GB2312"/>
                <w:sz w:val="21"/>
              </w:rPr>
              <w:t>一、物种观测技术难度高，鸟类学专业要求严苛</w:t>
            </w:r>
          </w:p>
          <w:p>
            <w:pPr>
              <w:pStyle w:val="null3"/>
              <w:ind w:firstLine="640"/>
              <w:jc w:val="both"/>
            </w:pPr>
            <w:r>
              <w:rPr>
                <w:rFonts w:ascii="仿宋_GB2312" w:hAnsi="仿宋_GB2312" w:cs="仿宋_GB2312" w:eastAsia="仿宋_GB2312"/>
                <w:sz w:val="21"/>
              </w:rPr>
              <w:t>物种习性特殊，观测取证难度大</w:t>
            </w:r>
            <w:r>
              <w:rPr>
                <w:rFonts w:ascii="仿宋_GB2312" w:hAnsi="仿宋_GB2312" w:cs="仿宋_GB2312" w:eastAsia="仿宋_GB2312"/>
                <w:sz w:val="21"/>
              </w:rPr>
              <w:t>白冠长尾雉为国家一级保护野生动物，生性机警畏人、隐匿性极强，常年活动于秦岭南麓中高海拔密林区、坡地灌丛，人为靠近极易逃窜，难以直接观测实体。需熟练识别其形态特征、雌雄及年龄差异，同时精准分辨粪便、羽毛、足迹、取食痕迹等间接物证，还要区分同域分布的其他雉类、伴生野生动物，要求团队具备专业鸟类分类、野外物种辨识能力。</w:t>
            </w:r>
            <w:r>
              <w:rPr>
                <w:rFonts w:ascii="仿宋_GB2312" w:hAnsi="仿宋_GB2312" w:cs="仿宋_GB2312" w:eastAsia="仿宋_GB2312"/>
                <w:sz w:val="21"/>
              </w:rPr>
              <w:t>该物种活动节律随季节变化显著，繁殖季、冬季集群季行为模式、活动范围差异大，必须结合物候规律分时段开展监测，对野外物候学、动物行为学知识要求高。</w:t>
            </w:r>
          </w:p>
          <w:p>
            <w:pPr>
              <w:pStyle w:val="null3"/>
              <w:ind w:firstLine="640"/>
              <w:jc w:val="both"/>
            </w:pPr>
            <w:r>
              <w:rPr>
                <w:rFonts w:ascii="仿宋_GB2312" w:hAnsi="仿宋_GB2312" w:cs="仿宋_GB2312" w:eastAsia="仿宋_GB2312"/>
                <w:sz w:val="21"/>
              </w:rPr>
              <w:t>种群测算技术专业无法依靠简单清点统计种群数量，需结合样线目击数据、痕迹记录、红外相机影像，运用种群密度估算、种群结构分析等专业数理方法综合研判，测算种群规模、年龄结构、性别比例、种群动态，技术逻辑严谨，并非常规巡查作业。</w:t>
            </w:r>
          </w:p>
          <w:p>
            <w:pPr>
              <w:pStyle w:val="null3"/>
              <w:ind w:firstLine="640"/>
              <w:jc w:val="both"/>
            </w:pPr>
            <w:r>
              <w:rPr>
                <w:rFonts w:ascii="仿宋_GB2312" w:hAnsi="仿宋_GB2312" w:cs="仿宋_GB2312" w:eastAsia="仿宋_GB2312"/>
                <w:sz w:val="21"/>
              </w:rPr>
              <w:t>二、野外调查体系标准化程度高，实操技术复杂</w:t>
            </w:r>
          </w:p>
          <w:p>
            <w:pPr>
              <w:pStyle w:val="null3"/>
              <w:ind w:firstLine="640"/>
              <w:jc w:val="both"/>
            </w:pPr>
            <w:r>
              <w:rPr>
                <w:rFonts w:ascii="仿宋_GB2312" w:hAnsi="仿宋_GB2312" w:cs="仿宋_GB2312" w:eastAsia="仿宋_GB2312"/>
                <w:sz w:val="21"/>
              </w:rPr>
              <w:t>调查方法多、布设规则严谨项目严格执行《生物多样性观测技术导则鸟类》等国家行业标准，综合采用样线法、样方法、红外相机监测法、入户访谈法组合模式。</w:t>
            </w:r>
          </w:p>
          <w:p>
            <w:pPr>
              <w:pStyle w:val="null3"/>
              <w:ind w:firstLine="640"/>
              <w:jc w:val="both"/>
            </w:pPr>
            <w:r>
              <w:rPr>
                <w:rFonts w:ascii="仿宋_GB2312" w:hAnsi="仿宋_GB2312" w:cs="仿宋_GB2312" w:eastAsia="仿宋_GB2312"/>
                <w:sz w:val="21"/>
              </w:rPr>
              <w:t>样线布设需遵循</w:t>
            </w:r>
            <w:r>
              <w:rPr>
                <w:rFonts w:ascii="仿宋_GB2312" w:hAnsi="仿宋_GB2312" w:cs="仿宋_GB2312" w:eastAsia="仿宋_GB2312"/>
                <w:sz w:val="21"/>
              </w:rPr>
              <w:t>“</w:t>
            </w:r>
            <w:r>
              <w:rPr>
                <w:rFonts w:ascii="仿宋_GB2312" w:hAnsi="仿宋_GB2312" w:cs="仿宋_GB2312" w:eastAsia="仿宋_GB2312"/>
                <w:sz w:val="21"/>
              </w:rPr>
              <w:t>最短距离覆盖最多生境</w:t>
            </w:r>
            <w:r>
              <w:rPr>
                <w:rFonts w:ascii="仿宋_GB2312" w:hAnsi="仿宋_GB2312" w:cs="仿宋_GB2312" w:eastAsia="仿宋_GB2312"/>
                <w:sz w:val="21"/>
              </w:rPr>
              <w:t xml:space="preserve">” </w:t>
            </w:r>
            <w:r>
              <w:rPr>
                <w:rFonts w:ascii="仿宋_GB2312" w:hAnsi="仿宋_GB2312" w:cs="仿宋_GB2312" w:eastAsia="仿宋_GB2312"/>
                <w:sz w:val="21"/>
              </w:rPr>
              <w:t xml:space="preserve">原则，结合地形、坡度、海拔、植被类型规划路线，采用 </w:t>
            </w:r>
            <w:r>
              <w:rPr>
                <w:rFonts w:ascii="仿宋_GB2312" w:hAnsi="仿宋_GB2312" w:cs="仿宋_GB2312" w:eastAsia="仿宋_GB2312"/>
                <w:sz w:val="21"/>
              </w:rPr>
              <w:t xml:space="preserve">S </w:t>
            </w:r>
            <w:r>
              <w:rPr>
                <w:rFonts w:ascii="仿宋_GB2312" w:hAnsi="仿宋_GB2312" w:cs="仿宋_GB2312" w:eastAsia="仿宋_GB2312"/>
                <w:sz w:val="21"/>
              </w:rPr>
              <w:t>形行进方式作业，路线规划、现场执行有统一技术规范；</w:t>
            </w:r>
          </w:p>
          <w:p>
            <w:pPr>
              <w:pStyle w:val="null3"/>
              <w:ind w:firstLine="640"/>
              <w:jc w:val="both"/>
            </w:pPr>
            <w:r>
              <w:rPr>
                <w:rFonts w:ascii="仿宋_GB2312" w:hAnsi="仿宋_GB2312" w:cs="仿宋_GB2312" w:eastAsia="仿宋_GB2312"/>
                <w:sz w:val="21"/>
              </w:rPr>
              <w:t>植被样方需按生态调查标准设置，实测优势树种胸径、冠幅、郁闭度、多度、密度等数十项指标，属于专业森林群落调查范畴，对植被学、野外调查实操能力要求高。</w:t>
            </w:r>
          </w:p>
          <w:p>
            <w:pPr>
              <w:pStyle w:val="null3"/>
              <w:ind w:firstLine="640"/>
              <w:jc w:val="both"/>
            </w:pPr>
            <w:r>
              <w:rPr>
                <w:rFonts w:ascii="仿宋_GB2312" w:hAnsi="仿宋_GB2312" w:cs="仿宋_GB2312" w:eastAsia="仿宋_GB2312"/>
                <w:sz w:val="21"/>
              </w:rPr>
              <w:t>作业环境复杂，现场实施技术要求高</w:t>
            </w:r>
            <w:r>
              <w:rPr>
                <w:rFonts w:ascii="仿宋_GB2312" w:hAnsi="仿宋_GB2312" w:cs="仿宋_GB2312" w:eastAsia="仿宋_GB2312"/>
                <w:sz w:val="21"/>
              </w:rPr>
              <w:t>项目区域为山地林区，地形崎岖、海拔落差大、林间通行条件差，且常年低温、高湿、多阴雨。野外徒步巡线、样方设置、设备布设不仅考验体能，还要求作业人员掌握山地野外作业、安全防护、复杂地形勘点等实操技能，作业流程、行进路线、点位选址均需专业规划。</w:t>
            </w:r>
          </w:p>
          <w:p>
            <w:pPr>
              <w:pStyle w:val="null3"/>
              <w:ind w:firstLine="640"/>
              <w:jc w:val="both"/>
            </w:pPr>
            <w:r>
              <w:rPr>
                <w:rFonts w:ascii="仿宋_GB2312" w:hAnsi="仿宋_GB2312" w:cs="仿宋_GB2312" w:eastAsia="仿宋_GB2312"/>
                <w:sz w:val="21"/>
              </w:rPr>
              <w:t>三、监测设备应用与运维技术门槛高</w:t>
            </w:r>
          </w:p>
          <w:p>
            <w:pPr>
              <w:pStyle w:val="null3"/>
              <w:ind w:firstLine="640"/>
              <w:jc w:val="both"/>
            </w:pPr>
            <w:r>
              <w:rPr>
                <w:rFonts w:ascii="仿宋_GB2312" w:hAnsi="仿宋_GB2312" w:cs="仿宋_GB2312" w:eastAsia="仿宋_GB2312"/>
                <w:sz w:val="21"/>
              </w:rPr>
              <w:t>红外相机选型、布设与运维技术复杂</w:t>
            </w:r>
            <w:r>
              <w:rPr>
                <w:rFonts w:ascii="仿宋_GB2312" w:hAnsi="仿宋_GB2312" w:cs="仿宋_GB2312" w:eastAsia="仿宋_GB2312"/>
                <w:sz w:val="21"/>
              </w:rPr>
              <w:t>共布设</w:t>
            </w:r>
            <w:r>
              <w:rPr>
                <w:rFonts w:ascii="仿宋_GB2312" w:hAnsi="仿宋_GB2312" w:cs="仿宋_GB2312" w:eastAsia="仿宋_GB2312"/>
                <w:sz w:val="21"/>
              </w:rPr>
              <w:t xml:space="preserve"> 40 </w:t>
            </w:r>
            <w:r>
              <w:rPr>
                <w:rFonts w:ascii="仿宋_GB2312" w:hAnsi="仿宋_GB2312" w:cs="仿宋_GB2312" w:eastAsia="仿宋_GB2312"/>
                <w:sz w:val="21"/>
              </w:rPr>
              <w:t>台红外相机开展全天候监测，设备需适配林区低温、高湿、雨水浸泡、林间遮挡等恶劣环境，对设备参数选型、续航配置、防护等级有严格要求。 相机安装高度、角度、隐蔽位置、触发参数需结合雉类活动习性精准调试，才能保证拍摄成功率；后期还要完成设备定期巡检、电池更换、故障排查、数据回收，整套运维流程具备专项技术要求。</w:t>
            </w:r>
          </w:p>
          <w:p>
            <w:pPr>
              <w:pStyle w:val="null3"/>
              <w:ind w:firstLine="640"/>
              <w:jc w:val="both"/>
            </w:pPr>
            <w:r>
              <w:rPr>
                <w:rFonts w:ascii="仿宋_GB2312" w:hAnsi="仿宋_GB2312" w:cs="仿宋_GB2312" w:eastAsia="仿宋_GB2312"/>
                <w:sz w:val="21"/>
              </w:rPr>
              <w:t>信息化数据采集技术专业</w:t>
            </w:r>
            <w:r>
              <w:rPr>
                <w:rFonts w:ascii="仿宋_GB2312" w:hAnsi="仿宋_GB2312" w:cs="仿宋_GB2312" w:eastAsia="仿宋_GB2312"/>
                <w:sz w:val="21"/>
              </w:rPr>
              <w:t>配套使用专用野外调查</w:t>
            </w:r>
            <w:r>
              <w:rPr>
                <w:rFonts w:ascii="仿宋_GB2312" w:hAnsi="仿宋_GB2312" w:cs="仿宋_GB2312" w:eastAsia="仿宋_GB2312"/>
                <w:sz w:val="21"/>
              </w:rPr>
              <w:t xml:space="preserve"> APP </w:t>
            </w:r>
            <w:r>
              <w:rPr>
                <w:rFonts w:ascii="仿宋_GB2312" w:hAnsi="仿宋_GB2312" w:cs="仿宋_GB2312" w:eastAsia="仿宋_GB2312"/>
                <w:sz w:val="21"/>
              </w:rPr>
              <w:t>完成全流程数据采集、定位打卡、信息录入、影像同步、台账导出与数据加密。要求操作人员熟练运用生态监测信息化系统，保障野外数据实时上传、分类归档、溯源管理，实现调查数据标准化、数字化管控，属于生态信息化应用专业范畴。</w:t>
            </w:r>
          </w:p>
          <w:p>
            <w:pPr>
              <w:pStyle w:val="null3"/>
              <w:ind w:firstLine="640"/>
              <w:jc w:val="both"/>
            </w:pPr>
            <w:r>
              <w:rPr>
                <w:rFonts w:ascii="仿宋_GB2312" w:hAnsi="仿宋_GB2312" w:cs="仿宋_GB2312" w:eastAsia="仿宋_GB2312"/>
                <w:sz w:val="21"/>
              </w:rPr>
              <w:t>四、栖息地调查与生境分析技术体系专业</w:t>
            </w:r>
          </w:p>
          <w:p>
            <w:pPr>
              <w:pStyle w:val="null3"/>
              <w:ind w:firstLine="640"/>
              <w:jc w:val="both"/>
            </w:pPr>
            <w:r>
              <w:rPr>
                <w:rFonts w:ascii="仿宋_GB2312" w:hAnsi="仿宋_GB2312" w:cs="仿宋_GB2312" w:eastAsia="仿宋_GB2312"/>
                <w:sz w:val="21"/>
              </w:rPr>
              <w:t>生境指标体系繁杂，调查维度全面</w:t>
            </w:r>
            <w:r>
              <w:rPr>
                <w:rFonts w:ascii="仿宋_GB2312" w:hAnsi="仿宋_GB2312" w:cs="仿宋_GB2312" w:eastAsia="仿宋_GB2312"/>
                <w:sz w:val="21"/>
              </w:rPr>
              <w:t>栖息地调查涵盖地貌、水文、海拔、植被群落、林分结构、景观格局等多维度指标，既要记录地表直观特征，也要解析植物群落组成、植被演替规律，综合运用植物学、景观生态学知识开展现场调查，指标体系远多于普通踏勘工作。</w:t>
            </w:r>
          </w:p>
          <w:p>
            <w:pPr>
              <w:pStyle w:val="null3"/>
              <w:ind w:firstLine="640"/>
              <w:jc w:val="both"/>
            </w:pPr>
            <w:r>
              <w:rPr>
                <w:rFonts w:ascii="仿宋_GB2312" w:hAnsi="仿宋_GB2312" w:cs="仿宋_GB2312" w:eastAsia="仿宋_GB2312"/>
                <w:sz w:val="21"/>
              </w:rPr>
              <w:t>栖息地评价模型构建技术难度大</w:t>
            </w:r>
            <w:r>
              <w:rPr>
                <w:rFonts w:ascii="仿宋_GB2312" w:hAnsi="仿宋_GB2312" w:cs="仿宋_GB2312" w:eastAsia="仿宋_GB2312"/>
                <w:sz w:val="21"/>
              </w:rPr>
              <w:t>整合野外样方数据、全域遥感影像，叠加海拔、坡度、水系、林地类型等地理要素，构建适宜栖息地评价模型。通过模型分析栖息地分布、面积、破碎化、连通性等核心问题，属于地理信息、生态建模、空间分析交叉技术领域，需掌握遥感解译、</w:t>
            </w:r>
            <w:r>
              <w:rPr>
                <w:rFonts w:ascii="仿宋_GB2312" w:hAnsi="仿宋_GB2312" w:cs="仿宋_GB2312" w:eastAsia="仿宋_GB2312"/>
                <w:sz w:val="21"/>
              </w:rPr>
              <w:t xml:space="preserve">GIS </w:t>
            </w:r>
            <w:r>
              <w:rPr>
                <w:rFonts w:ascii="仿宋_GB2312" w:hAnsi="仿宋_GB2312" w:cs="仿宋_GB2312" w:eastAsia="仿宋_GB2312"/>
                <w:sz w:val="21"/>
              </w:rPr>
              <w:t>空间分析、生态建模等专业技术。</w:t>
            </w:r>
          </w:p>
          <w:p>
            <w:pPr>
              <w:pStyle w:val="null3"/>
              <w:ind w:firstLine="640"/>
              <w:jc w:val="both"/>
            </w:pPr>
            <w:r>
              <w:rPr>
                <w:rFonts w:ascii="仿宋_GB2312" w:hAnsi="仿宋_GB2312" w:cs="仿宋_GB2312" w:eastAsia="仿宋_GB2312"/>
                <w:sz w:val="21"/>
              </w:rPr>
              <w:t>五、干扰分析、数据研判与成果编制专业性强</w:t>
            </w:r>
          </w:p>
          <w:p>
            <w:pPr>
              <w:pStyle w:val="null3"/>
              <w:ind w:firstLine="640"/>
              <w:jc w:val="both"/>
            </w:pPr>
            <w:r>
              <w:rPr>
                <w:rFonts w:ascii="仿宋_GB2312" w:hAnsi="仿宋_GB2312" w:cs="仿宋_GB2312" w:eastAsia="仿宋_GB2312"/>
                <w:sz w:val="21"/>
              </w:rPr>
              <w:t>多源干扰因子量化分析技术</w:t>
            </w:r>
            <w:r>
              <w:rPr>
                <w:rFonts w:ascii="仿宋_GB2312" w:hAnsi="仿宋_GB2312" w:cs="仿宋_GB2312" w:eastAsia="仿宋_GB2312"/>
                <w:sz w:val="21"/>
              </w:rPr>
              <w:t>全面排查人居活动、农业生产、放牧、林区作业、面源污染、天敌、疫病等人为与自然干扰源，不仅要识别干扰类型，还要量化干扰范围、干扰强度、影响等级，研判威胁权重与风险等级，结合野生动物保护管理知识制定管控、修复方案，分析逻辑与研判标准专业。</w:t>
            </w:r>
          </w:p>
          <w:p>
            <w:pPr>
              <w:pStyle w:val="null3"/>
              <w:ind w:firstLine="640"/>
              <w:jc w:val="both"/>
            </w:pPr>
            <w:r>
              <w:rPr>
                <w:rFonts w:ascii="仿宋_GB2312" w:hAnsi="仿宋_GB2312" w:cs="仿宋_GB2312" w:eastAsia="仿宋_GB2312"/>
                <w:sz w:val="21"/>
              </w:rPr>
              <w:t>数据整合与成果编制要求高</w:t>
            </w:r>
            <w:r>
              <w:rPr>
                <w:rFonts w:ascii="仿宋_GB2312" w:hAnsi="仿宋_GB2312" w:cs="仿宋_GB2312" w:eastAsia="仿宋_GB2312"/>
                <w:sz w:val="21"/>
              </w:rPr>
              <w:t>海量野外数据、影像资料、问卷信息需统一清洗、分类、统计、分析，最终搭建白冠长尾雉专属本底数据库，编制专项调查报告、专题分布图、统计表等成果。报告需结合监测数据、物种生态特征、区域保护现状提出科学可行的栖息地优化、种群保护对策，成果需满足林业、野保部门决策使用标准，文案编制、结论论证具备较强专业属性。</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符合项⽬实施的需求；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符合相关⾏业规范及标准的要求；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合同签订后9个⽉完成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留坝县</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符合国家相关规范和采购⼈要求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进度款，合同签订后，达到付款条件起7个工作日内，支付合同总金额的40.0%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进度款，待项⽬全部完成并经采购⼈验收合格后，达到付款条件起7个工作日内，支付合同总金额的40.0%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进度款，财务审计结束后，达到付款条件起7个工作日内，支付合同总金额的20.0%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甲⼄双⽅在合同履⾏中发⽣争议，应通过协商解决。如协商不成，可以向⽤⽅所在地有管辖权的⼈⺠法院提起诉讼。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 自然人参与的提供其身份证明。</w:t>
            </w:r>
          </w:p>
        </w:tc>
        <w:tc>
          <w:tcPr>
            <w:tcW w:type="dxa" w:w="1661"/>
          </w:tcPr>
          <w:p>
            <w:pPr>
              <w:pStyle w:val="null3"/>
            </w:pPr>
            <w:r>
              <w:rPr>
                <w:rFonts w:ascii="仿宋_GB2312" w:hAnsi="仿宋_GB2312" w:cs="仿宋_GB2312" w:eastAsia="仿宋_GB2312"/>
              </w:rPr>
              <w:t>供应商应提交的相关资格证明材料（1）.docx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法定代表人授权书或法定代表人身份证明</w:t>
            </w:r>
          </w:p>
        </w:tc>
        <w:tc>
          <w:tcPr>
            <w:tcW w:type="dxa" w:w="3322"/>
          </w:tcPr>
          <w:p>
            <w:pPr>
              <w:pStyle w:val="null3"/>
            </w:pPr>
            <w:r>
              <w:rPr>
                <w:rFonts w:ascii="仿宋_GB2312" w:hAnsi="仿宋_GB2312" w:cs="仿宋_GB2312" w:eastAsia="仿宋_GB2312"/>
              </w:rPr>
              <w:t>供应商应授权合法的人员参加磋商全过程，其中法定代表人（或负责人）直接参加磋商的，须出具法定代表人（或负责人）身份证明，并与营业执照上信息一致；法定代表人（或负责人）授权代表参加磋商的，须出具法定代表人（或负责人）授权书及授权代表身份证明；</w:t>
            </w:r>
          </w:p>
        </w:tc>
        <w:tc>
          <w:tcPr>
            <w:tcW w:type="dxa" w:w="1661"/>
          </w:tcPr>
          <w:p>
            <w:pPr>
              <w:pStyle w:val="null3"/>
            </w:pPr>
            <w:r>
              <w:rPr>
                <w:rFonts w:ascii="仿宋_GB2312" w:hAnsi="仿宋_GB2312" w:cs="仿宋_GB2312" w:eastAsia="仿宋_GB2312"/>
              </w:rPr>
              <w:t>供应商应提交的相关资格证明材料（1）.docx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供应商须具备林业调查规划设计丙级及以上资质；</w:t>
            </w:r>
          </w:p>
        </w:tc>
        <w:tc>
          <w:tcPr>
            <w:tcW w:type="dxa" w:w="1661"/>
          </w:tcPr>
          <w:p>
            <w:pPr>
              <w:pStyle w:val="null3"/>
            </w:pPr>
            <w:r>
              <w:rPr>
                <w:rFonts w:ascii="仿宋_GB2312" w:hAnsi="仿宋_GB2312" w:cs="仿宋_GB2312" w:eastAsia="仿宋_GB2312"/>
              </w:rPr>
              <w:t>供应商应提交的相关资格证明材料（1）.docx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 、“重大税收违法案件当事人名单” 中(ww w.creditchina.gov.cn)，未列入中国政府采购网“政府采购严重违法失信行为记录名单” 中（w ww.ccgp.gov.cn），供应商需提供加盖公章的《汉中市政府采购供应商资格承诺函》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供应商应提交的相关资格证明材料（1）.docx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供应商不得存在的情形</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供应商应提交的相关资格证明材料（1）.docx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磋商响应⽂件的签署盖章</w:t>
            </w:r>
          </w:p>
        </w:tc>
        <w:tc>
          <w:tcPr>
            <w:tcW w:type="dxa" w:w="3322"/>
          </w:tcPr>
          <w:p>
            <w:pPr>
              <w:pStyle w:val="null3"/>
            </w:pPr>
            <w:r>
              <w:rPr>
                <w:rFonts w:ascii="仿宋_GB2312" w:hAnsi="仿宋_GB2312" w:cs="仿宋_GB2312" w:eastAsia="仿宋_GB2312"/>
              </w:rPr>
              <w:t>磋商响应⽂件签字、盖章</w:t>
            </w:r>
          </w:p>
        </w:tc>
        <w:tc>
          <w:tcPr>
            <w:tcW w:type="dxa" w:w="1661"/>
          </w:tcPr>
          <w:p>
            <w:pPr>
              <w:pStyle w:val="null3"/>
            </w:pPr>
            <w:r>
              <w:rPr>
                <w:rFonts w:ascii="仿宋_GB2312" w:hAnsi="仿宋_GB2312" w:cs="仿宋_GB2312" w:eastAsia="仿宋_GB2312"/>
              </w:rPr>
              <w:t>响应文件封面 技术服务方案.docx 中小企业声明函 残疾人福利性单位声明函 商务应答表 服务内容及服务要求应答表 标的清单 报价表 响应函 供应商应提交的相关资格证明材料（1）.docx 监狱企业的证明文件 供应商类似业绩一览表.docx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对本项目的理解与重难点分析</w:t>
            </w:r>
          </w:p>
        </w:tc>
        <w:tc>
          <w:tcPr>
            <w:tcW w:type="dxa" w:w="2492"/>
          </w:tcPr>
          <w:p>
            <w:pPr>
              <w:pStyle w:val="null3"/>
            </w:pPr>
            <w:r>
              <w:rPr>
                <w:rFonts w:ascii="仿宋_GB2312" w:hAnsi="仿宋_GB2312" w:cs="仿宋_GB2312" w:eastAsia="仿宋_GB2312"/>
              </w:rPr>
              <w:t>根据投标供应商对本项目的理解与重难点分析（①对项目的理解、认识及预期目标、②服务难点及解决方案），内容完整、符合项目实际情况得10分，每有一项缺项的扣5分，每有一处内容有缺陷的扣1分，扣完为止，未提供不得分。 注：缺陷是指存在不适用项目实际情况的情形、凭空编造、内容前后不一致、前后逻辑错误、地点区域错误、与项目实施特点不匹配、描述简单、表述不清晰、内容不完整、常识性错误以及不可能实现的夸大情形等任意一种情况）</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根据投标供应商提供的项目实施方案（①技术方案、②调查组织、③时间安排、④基础资料收集、⑤后勤保障措施），内容完整、符合项目实际情况得25分，每有一项缺项的扣5分，每有一处内容有缺陷的扣1分，扣完为止，未提供不得分。 注：缺陷是指存在不适用项目实际情况的情形、 凭空编造、内容前后不一致、前后逻辑错误、地点区域错误、与项目实施特点不匹配、描述简单、表述不清晰、内容不完整、常识性错误以及不可能实现的夸大情形等任意一种情况）</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项目质量保障方案</w:t>
            </w:r>
          </w:p>
        </w:tc>
        <w:tc>
          <w:tcPr>
            <w:tcW w:type="dxa" w:w="2492"/>
          </w:tcPr>
          <w:p>
            <w:pPr>
              <w:pStyle w:val="null3"/>
            </w:pPr>
            <w:r>
              <w:rPr>
                <w:rFonts w:ascii="仿宋_GB2312" w:hAnsi="仿宋_GB2312" w:cs="仿宋_GB2312" w:eastAsia="仿宋_GB2312"/>
              </w:rPr>
              <w:t>根据投标供应商提供的项目质量保障方案（①服务措施、②质量保障措施③安全保证措施），内容完整、符合项目实际情况得15分，每有一项缺项的扣5分，每有一处内容有缺陷的扣1分，扣完为止，未提供不得分。 注：缺陷是指存在不适用项目实际情况的情形、 凭空编造、内容前后不一致、前后逻辑错误、地点区域错误、与项目实施特点不匹配、描述简单、表述不清晰、内容不完整、常识性错误以及不可能实现的夸大情形等任意一种情况）</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1、供应商提出3 条及以上贴合项目实际、针对性强、具备落地性的专业合理化建议（涉及种群监测优化、栖息地调查优化、野外作业优化、后期管护应用任意维度），内容科学、逻辑严谨、符合本项目珍稀鸟类调查特点，得6分。 2、供应商提出2 条有效、贴合项目的合理化建议，得4分。 3、供应商仅提出1 条有效、贴合项目的合理化建议，得2分。 4、未提供合理化建议，或建议空泛、通用套话、与白冠长尾雉专项调查无关、不可落地、不符合项目实际，得0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1.项目负责人（1人）：具有生物学或动物学或生态学类专业中级职称的得2分，具有生物学或动物学或生态学类专业高级及以上职称的得4分；本项最多得4分。 2.技术负责人（1人）：具有生物学或动物学或生态学类相关专业中级职称的得2分，具有生物学或动物学或生态学类相关专业高级及以上职称的得4分；本项最多得4分。 3.拟投入本项目团队其他人员：每提供一名具有生物学或动物学或生态学类相关专业中级职称的得2分；具有生物学或动物学或生态学类相关专业高级及以上职称的得4分；本项最高得16分。 注：拟派人员须提供相应证书复印件并加盖供应商公章。</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提供以下服务承诺，每提供⼀项得2分，满分6分，未提供不得分。 1. 全过程技术服务响应承诺（2分） 有效承诺标准：投标人针对本项目野外样线调查、红外相机布设监测、APP数据采集、实地走访调研、生境踏勘等全流程作业场景，出具专项服务响应承诺。明确项目实施期间技术答疑、现场技术指导、野外作业问题处置、业主需求配合、突发技术问题整改的具体响应时限、处置流程及保障措施，贴合山地野外调查作业特点，可落地、可核验。 无效情形：仅表述通用服务话术，未结合本项目野外调查、数据采集专属工作内容；无具体响应时效、无问题处置措施；承诺内容与项目实施场景不匹配、空洞无实质内容，本项不得分。 2. 全量调查数据及成果交付保障承诺（2分） 有效承诺标准：投标人针对本项目专属成果内容，出具专项交付质量及时效承诺，覆盖调查样线APP台账数据、纸质调查表格、红外相机监测影像、干扰调研问卷、野外工作及生境照片、白冠长尾雉本底信息数据库、专项调查报告及配套图表全部成果。明确成果交付时限、数据完整性、真实性、规范性保障措施，承诺做好成果校核、错漏整改、标准化归档、验收配合工作，完全贴合本项目成果编制及林业归档要求。 无效情形：未针对本项目各类调查数据、专属成果进行针对性承诺；仅套用通用交付模板，无数据质量管控、无成果校核整改、无归档验收保障内容；与项目成果交付要求不匹配，本项不得分。 3. 项目服务团队稳定性及履约保障承诺（2分） 有效承诺标准：投标人书面承诺服务期内固定专属项目履约团队，明确固定野外调查人员、数据采编人员、数据库搭建及报告编制核心技术人员，保障样线调查、红外相机监测、数据整理分析、成果编制全流程工作连续推进。承诺未经采购人同意不擅自更换核心技术人员，确需调整的提前报备并更换同等及以上专业能力、野外作业经验的人员，保障项目履约质量。 无效情形：无固定团队保障措施，未针对野外调查、数据处理、成果编制专项岗位作出稳定性承诺；仅笼统表述保障人员稳定，无具体管控措施；内容流于形式、无法支撑项目常态化履约，本项不得分。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6月1日起至今类似项目业绩，每提供一项得2分，最高得4分。（提供合同复印件或中标（成交）通知书复印件加盖公章。如提供中标（成交）通知书，以中标（成交）通知书发放时间为准；如提供合同，以合同签订日期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价格分采用低价优先法计算，即满足采购文件要求且投标报价最低的投标报价为评标基准价，其价格分为满分。其他供应商的价格得分统一按照下列公式计算： 投标报价得分=（评标基准价/有效报价）×价格权值（10%）×100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详见附件：供应商类似业绩一览表.docx</w:t>
      </w:r>
    </w:p>
    <w:p>
      <w:pPr>
        <w:pStyle w:val="null3"/>
        <w:ind w:firstLine="960"/>
      </w:pPr>
      <w:r>
        <w:rPr>
          <w:rFonts w:ascii="仿宋_GB2312" w:hAnsi="仿宋_GB2312" w:cs="仿宋_GB2312" w:eastAsia="仿宋_GB2312"/>
        </w:rPr>
        <w:t>详见附件：技术服务方案.docx</w:t>
      </w:r>
    </w:p>
    <w:p>
      <w:pPr>
        <w:pStyle w:val="null3"/>
        <w:ind w:firstLine="960"/>
      </w:pPr>
      <w:r>
        <w:rPr>
          <w:rFonts w:ascii="仿宋_GB2312" w:hAnsi="仿宋_GB2312" w:cs="仿宋_GB2312" w:eastAsia="仿宋_GB2312"/>
        </w:rPr>
        <w:t>详见附件：供应商应提交的相关资格证明材料（1）.docx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