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64"/>
        <w:gridCol w:w="692"/>
        <w:gridCol w:w="7251"/>
      </w:tblGrid>
      <w:tr w14:paraId="0DED8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2CD6DDFA">
            <w:pPr>
              <w:pStyle w:val="5"/>
            </w:pPr>
            <w:r>
              <w:rPr>
                <w:rFonts w:ascii="仿宋_GB2312" w:hAnsi="仿宋_GB2312" w:eastAsia="仿宋_GB2312" w:cs="仿宋_GB2312"/>
              </w:rPr>
              <w:t>序号</w:t>
            </w:r>
          </w:p>
        </w:tc>
        <w:tc>
          <w:tcPr>
            <w:tcW w:w="692" w:type="dxa"/>
          </w:tcPr>
          <w:p w14:paraId="4F497E82">
            <w:pPr>
              <w:pStyle w:val="5"/>
            </w:pPr>
            <w:r>
              <w:rPr>
                <w:rFonts w:ascii="仿宋_GB2312" w:hAnsi="仿宋_GB2312" w:eastAsia="仿宋_GB2312" w:cs="仿宋_GB2312"/>
              </w:rPr>
              <w:t>参数性质</w:t>
            </w:r>
          </w:p>
        </w:tc>
        <w:tc>
          <w:tcPr>
            <w:tcW w:w="7251" w:type="dxa"/>
          </w:tcPr>
          <w:p w14:paraId="3018E631">
            <w:pPr>
              <w:pStyle w:val="5"/>
            </w:pPr>
            <w:r>
              <w:rPr>
                <w:rFonts w:ascii="仿宋_GB2312" w:hAnsi="仿宋_GB2312" w:eastAsia="仿宋_GB2312" w:cs="仿宋_GB2312"/>
              </w:rPr>
              <w:t xml:space="preserve"> 技术参数与性能指标</w:t>
            </w:r>
          </w:p>
        </w:tc>
      </w:tr>
      <w:tr w14:paraId="7BE76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3F128048">
            <w:pPr>
              <w:pStyle w:val="5"/>
            </w:pPr>
            <w:r>
              <w:rPr>
                <w:rFonts w:ascii="仿宋_GB2312" w:hAnsi="仿宋_GB2312" w:eastAsia="仿宋_GB2312" w:cs="仿宋_GB2312"/>
              </w:rPr>
              <w:t>1</w:t>
            </w:r>
          </w:p>
        </w:tc>
        <w:tc>
          <w:tcPr>
            <w:tcW w:w="692" w:type="dxa"/>
          </w:tcPr>
          <w:p w14:paraId="531788E3">
            <w:pPr>
              <w:rPr>
                <w:rFonts w:hint="eastAsia" w:ascii="仿宋_GB2312" w:hAnsi="仿宋_GB2312" w:eastAsia="仿宋_GB2312" w:cs="仿宋_GB2312"/>
                <w:kern w:val="0"/>
                <w:sz w:val="20"/>
                <w:szCs w:val="20"/>
                <w:lang w:val="en-US" w:eastAsia="zh-Hans"/>
              </w:rPr>
            </w:pPr>
          </w:p>
        </w:tc>
        <w:tc>
          <w:tcPr>
            <w:tcW w:w="7251" w:type="dxa"/>
          </w:tcPr>
          <w:p w14:paraId="6757178A">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项目背景</w:t>
            </w:r>
          </w:p>
          <w:p w14:paraId="3E7B2475">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为深入贯彻生态文明思想，践行“山水林田湖草沙是生命共同体”系统治理理念，自然资源部、生态环境部、财政部联合印发《关于组织申报山水林田湖草沙一体化保护和修复工程项目的通知》（自然资办函〔2026〕282号），同步出台《重点生态保护修复治理资金管理办法》（财资环〔2026〕7号），明确优先支持跨区域、流域性重大生态修复工程实施，为渭河全域系统治理提供了顶层政策支撑。</w:t>
            </w:r>
          </w:p>
          <w:p w14:paraId="1E814103">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甘陕两省联合向三部委报送项目申报资料，顺利通过三部委联合审核并公示，正式纳入“十五五”第一批国家级山水工程项目名单。咸阳市共布设4个生态修复子项目，包含10个子工程，涉及9个县市。</w:t>
            </w:r>
          </w:p>
        </w:tc>
      </w:tr>
      <w:tr w14:paraId="46FB3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12006203">
            <w:pPr>
              <w:pStyle w:val="5"/>
            </w:pPr>
            <w:r>
              <w:rPr>
                <w:rFonts w:ascii="仿宋_GB2312" w:hAnsi="仿宋_GB2312" w:eastAsia="仿宋_GB2312" w:cs="仿宋_GB2312"/>
              </w:rPr>
              <w:t>2</w:t>
            </w:r>
          </w:p>
        </w:tc>
        <w:tc>
          <w:tcPr>
            <w:tcW w:w="692" w:type="dxa"/>
          </w:tcPr>
          <w:p w14:paraId="61E91206"/>
        </w:tc>
        <w:tc>
          <w:tcPr>
            <w:tcW w:w="7251" w:type="dxa"/>
          </w:tcPr>
          <w:p w14:paraId="23A7ED49">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项目概况</w:t>
            </w:r>
          </w:p>
          <w:p w14:paraId="097CBC2F">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咸阳市地处渭河干流核心区段，是渭河中上游山水工程关键实施区域。实施区主要为咸阳市长武县、彬州市、永寿县、乾县、三原县、礼泉县、泾阳县、兴平市、武功县，市域内共布设 4 个子项目，分别为泾河流域水土流失综合治理项目、漆水河下游小流域生态环境综合治理项目、泾河—清峪河水生态环境修复治理项目、渭河干流沿线生态环境综合治理项目。主要建设内容包括水土流失综合治理、林地提质改造、河道水生态修复、河岸生态缓冲带建设、新建生态护岸、新建生态谷坊、森林抚育、封禁、破损山体生态修复、植被恢复、退化土地修复等。</w:t>
            </w:r>
          </w:p>
        </w:tc>
      </w:tr>
      <w:tr w14:paraId="6B0096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5F6A7456">
            <w:pPr>
              <w:pStyle w:val="5"/>
            </w:pPr>
            <w:r>
              <w:rPr>
                <w:rFonts w:ascii="仿宋_GB2312" w:hAnsi="仿宋_GB2312" w:eastAsia="仿宋_GB2312" w:cs="仿宋_GB2312"/>
              </w:rPr>
              <w:t>3</w:t>
            </w:r>
          </w:p>
        </w:tc>
        <w:tc>
          <w:tcPr>
            <w:tcW w:w="692" w:type="dxa"/>
          </w:tcPr>
          <w:p w14:paraId="45FEF6A1">
            <w:pPr>
              <w:rPr>
                <w:rFonts w:hint="eastAsia" w:ascii="仿宋_GB2312" w:hAnsi="仿宋_GB2312" w:eastAsia="仿宋_GB2312" w:cs="仿宋_GB2312"/>
                <w:kern w:val="0"/>
                <w:sz w:val="20"/>
                <w:szCs w:val="20"/>
                <w:lang w:val="en-US" w:eastAsia="zh-Hans"/>
              </w:rPr>
            </w:pPr>
          </w:p>
        </w:tc>
        <w:tc>
          <w:tcPr>
            <w:tcW w:w="7251" w:type="dxa"/>
          </w:tcPr>
          <w:p w14:paraId="3207AD70">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采购项目实施必要性</w:t>
            </w:r>
          </w:p>
          <w:p w14:paraId="7ADF8E92">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咸阳市地处渭河干流核心区段，是渭河中上游山水工程关键实施区域。为严格落实中省山水工程部署要求，统一市域治理标准、统筹跨区域系统修复，通过编制初步设计，可细化工程建设内容、技术规范、工程量及投资概算，明确各县区实施边界与建设时序，为项目评审报批、施工落地、资金监管及绩效评价提供法定技术依据，有效规避碎片化治理问题，保障山水林田湖草沙一体化修复工程科学、规范、有序实施，全面夯实区域黄河流域生态保护修复工作基础。</w:t>
            </w:r>
          </w:p>
        </w:tc>
      </w:tr>
      <w:tr w14:paraId="175E35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7EFB1B96">
            <w:pPr>
              <w:pStyle w:val="5"/>
            </w:pPr>
            <w:r>
              <w:rPr>
                <w:rFonts w:ascii="仿宋_GB2312" w:hAnsi="仿宋_GB2312" w:eastAsia="仿宋_GB2312" w:cs="仿宋_GB2312"/>
              </w:rPr>
              <w:t>4</w:t>
            </w:r>
          </w:p>
        </w:tc>
        <w:tc>
          <w:tcPr>
            <w:tcW w:w="692" w:type="dxa"/>
          </w:tcPr>
          <w:p w14:paraId="6B3E79B0">
            <w:pPr>
              <w:rPr>
                <w:rFonts w:hint="eastAsia" w:ascii="仿宋_GB2312" w:hAnsi="仿宋_GB2312" w:eastAsia="仿宋_GB2312" w:cs="仿宋_GB2312"/>
                <w:kern w:val="0"/>
                <w:sz w:val="20"/>
                <w:szCs w:val="20"/>
                <w:lang w:val="en-US" w:eastAsia="zh-Hans"/>
              </w:rPr>
            </w:pPr>
          </w:p>
        </w:tc>
        <w:tc>
          <w:tcPr>
            <w:tcW w:w="7251" w:type="dxa"/>
          </w:tcPr>
          <w:p w14:paraId="2F13B9CB">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采购项目实施依据</w:t>
            </w:r>
          </w:p>
          <w:p w14:paraId="72D0D565">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《自然资源部办公厅 生态环境部办公厅 财政部办公厅关于组织申报山水林田湖草沙一体化保护和修复工程项目的通知》（自然资办函〔2026〕282号）</w:t>
            </w:r>
          </w:p>
          <w:p w14:paraId="5414F655">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《财政部重点生态保护修复治理资金管理办法》（财资环〔2026〕7号）</w:t>
            </w:r>
          </w:p>
          <w:p w14:paraId="2A3C78F4">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自然资源部国土空间生态修复司、生态环境部自然生态保护司《山水林田湖草沙一体化保护和修复工程项目实施方案审核结果公示》</w:t>
            </w:r>
          </w:p>
          <w:p w14:paraId="4E4524F1">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自然资源部、财政部、生态环境部《山水林田湖草生态保护修复工程指南（试行）》</w:t>
            </w:r>
          </w:p>
        </w:tc>
      </w:tr>
      <w:tr w14:paraId="17E3E4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50186EFE">
            <w:pPr>
              <w:pStyle w:val="5"/>
            </w:pPr>
            <w:r>
              <w:rPr>
                <w:rFonts w:ascii="仿宋_GB2312" w:hAnsi="仿宋_GB2312" w:eastAsia="仿宋_GB2312" w:cs="仿宋_GB2312"/>
              </w:rPr>
              <w:t>5</w:t>
            </w:r>
          </w:p>
        </w:tc>
        <w:tc>
          <w:tcPr>
            <w:tcW w:w="692" w:type="dxa"/>
          </w:tcPr>
          <w:p w14:paraId="10EADC82">
            <w:pPr>
              <w:rPr>
                <w:rFonts w:hint="eastAsia" w:ascii="仿宋_GB2312" w:hAnsi="仿宋_GB2312" w:eastAsia="仿宋_GB2312" w:cs="仿宋_GB2312"/>
                <w:kern w:val="0"/>
                <w:sz w:val="20"/>
                <w:szCs w:val="20"/>
                <w:lang w:val="en-US" w:eastAsia="zh-Hans"/>
              </w:rPr>
            </w:pPr>
          </w:p>
        </w:tc>
        <w:tc>
          <w:tcPr>
            <w:tcW w:w="7251" w:type="dxa"/>
          </w:tcPr>
          <w:p w14:paraId="451C74BC">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采购项目需实现的目标</w:t>
            </w:r>
          </w:p>
          <w:p w14:paraId="2A189310">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本项目严格对标黄河流域生态保护和高质量发展及山水林田湖草沙一体化保护修复工作要求，通过开展市级初步设计编制，统一市域工程建设标准与技术体系，统筹各县市项目布局，规避碎片化治理问题。进一步细化各子项目治理内容、工程措施、实施点位、建设时序及工程量，科学精准核定投资概算，补齐前期工作深度短板。形成合规完整、可评审、可报批、可施工落地的初步设计成果，规范项目实施管理、严控建设投资、提升财政资金使用效益，切实提升区域生态系统综合治理和修复水平。</w:t>
            </w:r>
          </w:p>
          <w:p w14:paraId="6013C96E">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项目设计应遵循“近自然、少扰动、可持续、高价值”的设计理念，统筹兼顾山上与山下、上游与下游、林地、草地、河流、湿地、农田、矿山等各类生态要素，打破要素分割治理壁垒，实现全域生态系统协同修复。</w:t>
            </w:r>
          </w:p>
        </w:tc>
      </w:tr>
      <w:tr w14:paraId="2FF26F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4F3919FE">
            <w:pPr>
              <w:pStyle w:val="5"/>
            </w:pPr>
            <w:r>
              <w:rPr>
                <w:rFonts w:ascii="仿宋_GB2312" w:hAnsi="仿宋_GB2312" w:eastAsia="仿宋_GB2312" w:cs="仿宋_GB2312"/>
              </w:rPr>
              <w:t>6</w:t>
            </w:r>
          </w:p>
        </w:tc>
        <w:tc>
          <w:tcPr>
            <w:tcW w:w="692" w:type="dxa"/>
          </w:tcPr>
          <w:p w14:paraId="2810EDC6">
            <w:pPr>
              <w:rPr>
                <w:rFonts w:hint="eastAsia" w:ascii="仿宋_GB2312" w:hAnsi="仿宋_GB2312" w:eastAsia="仿宋_GB2312" w:cs="仿宋_GB2312"/>
                <w:kern w:val="0"/>
                <w:sz w:val="20"/>
                <w:szCs w:val="20"/>
                <w:lang w:val="en-US" w:eastAsia="zh-Hans"/>
              </w:rPr>
            </w:pPr>
          </w:p>
        </w:tc>
        <w:tc>
          <w:tcPr>
            <w:tcW w:w="7251" w:type="dxa"/>
          </w:tcPr>
          <w:p w14:paraId="1FEE3D5A">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1</w:t>
            </w:r>
            <w:r>
              <w:rPr>
                <w:rFonts w:hint="eastAsia" w:ascii="仿宋_GB2312" w:hAnsi="仿宋_GB2312" w:eastAsia="仿宋_GB2312" w:cs="仿宋_GB2312"/>
                <w:kern w:val="0"/>
                <w:sz w:val="20"/>
                <w:szCs w:val="20"/>
                <w:lang w:val="en-US" w:eastAsia="zh-CN"/>
              </w:rPr>
              <w:t>、</w:t>
            </w:r>
            <w:r>
              <w:rPr>
                <w:rFonts w:hint="eastAsia" w:ascii="仿宋_GB2312" w:hAnsi="仿宋_GB2312" w:eastAsia="仿宋_GB2312" w:cs="仿宋_GB2312"/>
                <w:kern w:val="0"/>
                <w:sz w:val="20"/>
                <w:szCs w:val="20"/>
                <w:lang w:val="en-US" w:eastAsia="zh-Hans"/>
              </w:rPr>
              <w:t>服务内容</w:t>
            </w:r>
          </w:p>
          <w:p w14:paraId="1D3B4611">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明确市域治理标准与技术体系，编制全市4个子项目工程设计及概算书。</w:t>
            </w:r>
          </w:p>
          <w:p w14:paraId="432C71A5">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 xml:space="preserve">服务内容包含现状调查、全套工程设计文件编制、投资概算编制，配合主管部门评审报批；后期提供图纸会审、施工期现场技术服务，参与各阶段工程验收，配合项目绩效核查等全过程技术服务。 </w:t>
            </w:r>
          </w:p>
          <w:p w14:paraId="01B44448">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2</w:t>
            </w:r>
            <w:r>
              <w:rPr>
                <w:rFonts w:hint="eastAsia" w:ascii="仿宋_GB2312" w:hAnsi="仿宋_GB2312" w:eastAsia="仿宋_GB2312" w:cs="仿宋_GB2312"/>
                <w:kern w:val="0"/>
                <w:sz w:val="20"/>
                <w:szCs w:val="20"/>
                <w:lang w:val="en-US" w:eastAsia="zh-CN"/>
              </w:rPr>
              <w:t>、</w:t>
            </w:r>
            <w:r>
              <w:rPr>
                <w:rFonts w:hint="eastAsia" w:ascii="仿宋_GB2312" w:hAnsi="仿宋_GB2312" w:eastAsia="仿宋_GB2312" w:cs="仿宋_GB2312"/>
                <w:kern w:val="0"/>
                <w:sz w:val="20"/>
                <w:szCs w:val="20"/>
                <w:lang w:val="en-US" w:eastAsia="zh-Hans"/>
              </w:rPr>
              <w:t>技术要求</w:t>
            </w:r>
          </w:p>
          <w:p w14:paraId="3B229E12">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初步设计成果须符合《山水林田湖草生态保护修复工程指南（试行）》及相关技术规范要求。</w:t>
            </w:r>
          </w:p>
          <w:p w14:paraId="57AD0C91">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成果文件须满足项目评审报批、施工落地、资金监管及绩效评价的需要。</w:t>
            </w:r>
          </w:p>
          <w:p w14:paraId="529D9F15">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设计成果应突出“减少入黄泥沙、助力黄河长治久安”的核心目标。</w:t>
            </w:r>
          </w:p>
          <w:p w14:paraId="3E8E89BD">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初步设计文件应包含设计说明、设计图纸、工程概算等完整内容。</w:t>
            </w:r>
          </w:p>
        </w:tc>
      </w:tr>
      <w:tr w14:paraId="24D0C7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09AD4AF6">
            <w:pPr>
              <w:pStyle w:val="5"/>
            </w:pPr>
            <w:r>
              <w:rPr>
                <w:rFonts w:ascii="仿宋_GB2312" w:hAnsi="仿宋_GB2312" w:eastAsia="仿宋_GB2312" w:cs="仿宋_GB2312"/>
              </w:rPr>
              <w:t>7</w:t>
            </w:r>
          </w:p>
        </w:tc>
        <w:tc>
          <w:tcPr>
            <w:tcW w:w="692" w:type="dxa"/>
          </w:tcPr>
          <w:p w14:paraId="01B6385E">
            <w:pPr>
              <w:rPr>
                <w:rFonts w:hint="eastAsia" w:ascii="仿宋_GB2312" w:hAnsi="仿宋_GB2312" w:eastAsia="仿宋_GB2312" w:cs="仿宋_GB2312"/>
                <w:kern w:val="0"/>
                <w:sz w:val="20"/>
                <w:szCs w:val="20"/>
                <w:lang w:val="en-US" w:eastAsia="zh-Hans"/>
              </w:rPr>
            </w:pPr>
          </w:p>
        </w:tc>
        <w:tc>
          <w:tcPr>
            <w:tcW w:w="7251" w:type="dxa"/>
          </w:tcPr>
          <w:p w14:paraId="7274F6C1">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成果要求</w:t>
            </w:r>
          </w:p>
          <w:p w14:paraId="2FC9C9D2">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4个子项目工程设计报告（纸质版及电子版）</w:t>
            </w:r>
          </w:p>
          <w:p w14:paraId="651E74AA">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4个子项目概算书（纸质版及电子版）</w:t>
            </w:r>
          </w:p>
          <w:p w14:paraId="5464B0DE">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矢量数据（电子版）</w:t>
            </w:r>
          </w:p>
        </w:tc>
      </w:tr>
      <w:tr w14:paraId="597391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6D214029">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w:t>
            </w:r>
          </w:p>
        </w:tc>
        <w:tc>
          <w:tcPr>
            <w:tcW w:w="692" w:type="dxa"/>
          </w:tcPr>
          <w:p w14:paraId="3FE7F6BE">
            <w:pPr>
              <w:rPr>
                <w:rFonts w:hint="eastAsia" w:ascii="仿宋_GB2312" w:hAnsi="仿宋_GB2312" w:eastAsia="仿宋_GB2312" w:cs="仿宋_GB2312"/>
                <w:kern w:val="0"/>
                <w:sz w:val="20"/>
                <w:szCs w:val="20"/>
                <w:lang w:val="en-US" w:eastAsia="zh-Hans"/>
              </w:rPr>
            </w:pPr>
          </w:p>
        </w:tc>
        <w:tc>
          <w:tcPr>
            <w:tcW w:w="7251" w:type="dxa"/>
          </w:tcPr>
          <w:p w14:paraId="64AA9D81">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其他事项</w:t>
            </w:r>
          </w:p>
          <w:p w14:paraId="1A4CB6C2">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本项目接受联合体投标，联合体成员数量不超过2家。</w:t>
            </w:r>
          </w:p>
          <w:p w14:paraId="7755C50D">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投标人应根据采购需求编制技术服务方案，方案应包含工作思路、技术路线、进度安排、人员配置等内容。</w:t>
            </w:r>
          </w:p>
          <w:p w14:paraId="704C0154">
            <w:pPr>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中标人应配合采购人完成项目评审、报批等后续工作。</w:t>
            </w:r>
          </w:p>
        </w:tc>
      </w:tr>
      <w:tr w14:paraId="0DB5A3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4" w:type="dxa"/>
          </w:tcPr>
          <w:p w14:paraId="730EA370">
            <w:pPr>
              <w:pStyle w:val="5"/>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9</w:t>
            </w:r>
          </w:p>
        </w:tc>
        <w:tc>
          <w:tcPr>
            <w:tcW w:w="692" w:type="dxa"/>
          </w:tcPr>
          <w:p w14:paraId="126F509F">
            <w:pPr>
              <w:rPr>
                <w:rFonts w:hint="eastAsia" w:ascii="仿宋_GB2312" w:hAnsi="仿宋_GB2312" w:eastAsia="仿宋_GB2312" w:cs="仿宋_GB2312"/>
                <w:kern w:val="0"/>
                <w:sz w:val="20"/>
                <w:szCs w:val="20"/>
                <w:lang w:val="en-US" w:eastAsia="zh-Hans"/>
              </w:rPr>
            </w:pPr>
          </w:p>
        </w:tc>
        <w:tc>
          <w:tcPr>
            <w:tcW w:w="7251" w:type="dxa"/>
          </w:tcPr>
          <w:p w14:paraId="790C2683">
            <w:pPr>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项目配置</w:t>
            </w:r>
          </w:p>
          <w:p w14:paraId="15265506">
            <w:pPr>
              <w:rPr>
                <w:rFonts w:hint="default" w:ascii="仿宋_GB2312" w:hAnsi="仿宋_GB2312" w:eastAsia="仿宋_GB2312" w:cs="仿宋_GB2312"/>
                <w:kern w:val="0"/>
                <w:sz w:val="20"/>
                <w:szCs w:val="20"/>
                <w:lang w:val="en-US" w:eastAsia="zh-CN"/>
              </w:rPr>
            </w:pPr>
            <w:r>
              <w:rPr>
                <w:rFonts w:hint="default" w:ascii="仿宋_GB2312" w:hAnsi="仿宋_GB2312" w:eastAsia="仿宋_GB2312" w:cs="仿宋_GB2312"/>
                <w:kern w:val="0"/>
                <w:sz w:val="20"/>
                <w:szCs w:val="20"/>
                <w:lang w:val="en-US" w:eastAsia="zh-CN"/>
              </w:rPr>
              <w:t>依据自然资源部办公厅生态环境部办公厅财政部办公厅《关于组织申报山水林田湖草沙一体化保护和修复工程项目的通知》(自然资办函[2026]282号)、《山水林田湖草沙一体化保护和修复工程项目实施方案审核结果公示》等文件。通过本次设计编制，规范开展方案负面清单审核，完成全套设计成果并通过评审报批，完善项目合规要件，为工程落地实施提供技术支撑。</w:t>
            </w:r>
          </w:p>
          <w:p w14:paraId="29EE27C0">
            <w:pPr>
              <w:rPr>
                <w:rFonts w:hint="default" w:ascii="仿宋_GB2312" w:hAnsi="仿宋_GB2312" w:eastAsia="仿宋_GB2312" w:cs="仿宋_GB2312"/>
                <w:kern w:val="0"/>
                <w:sz w:val="20"/>
                <w:szCs w:val="20"/>
                <w:lang w:val="en-US" w:eastAsia="zh-CN"/>
              </w:rPr>
            </w:pPr>
            <w:r>
              <w:rPr>
                <w:rFonts w:hint="default" w:ascii="仿宋_GB2312" w:hAnsi="仿宋_GB2312" w:eastAsia="仿宋_GB2312" w:cs="仿宋_GB2312"/>
                <w:kern w:val="0"/>
                <w:sz w:val="20"/>
                <w:szCs w:val="20"/>
                <w:lang w:val="en-US" w:eastAsia="zh-CN"/>
              </w:rPr>
              <w:t>执行标准</w:t>
            </w:r>
          </w:p>
          <w:p w14:paraId="36692E08">
            <w:pPr>
              <w:rPr>
                <w:rFonts w:hint="default" w:ascii="仿宋_GB2312" w:hAnsi="仿宋_GB2312" w:eastAsia="仿宋_GB2312" w:cs="仿宋_GB2312"/>
                <w:kern w:val="0"/>
                <w:sz w:val="20"/>
                <w:szCs w:val="20"/>
                <w:lang w:val="en-US" w:eastAsia="zh-CN"/>
              </w:rPr>
            </w:pPr>
            <w:r>
              <w:rPr>
                <w:rFonts w:hint="default" w:ascii="仿宋_GB2312" w:hAnsi="仿宋_GB2312" w:eastAsia="仿宋_GB2312" w:cs="仿宋_GB2312"/>
                <w:kern w:val="0"/>
                <w:sz w:val="20"/>
                <w:szCs w:val="20"/>
                <w:lang w:val="en-US" w:eastAsia="zh-CN"/>
              </w:rPr>
              <w:t>依据《自然资源部办公厅生态环境部办公厅财政部办公厅关于组织申报山水林田湖草沙一体化保护和修复工程项目的通知》(自然资办函(2026]282号)《财政部重点生态保护修复治理资金管理办法》(财资环[2026)7号)、自然资源部国土空间生态修复司、生态环境部自然生态保护司《山水林田湖草沙一体化保护和修复工程项目实施方案审核结果公示》、自然资源部、财政部、生态环境部《山水林田湖草生态保护修复工程指南(试行)》</w:t>
            </w:r>
          </w:p>
        </w:tc>
      </w:tr>
    </w:tbl>
    <w:p w14:paraId="25BB47F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80A9F"/>
    <w:rsid w:val="2B280A9F"/>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2026-09-28T07:41:00Z</dcterms:created>
  <dc:creator>123</dc:creator>
  <cp:lastModifiedBy>123</cp:lastModifiedBy>
  <dcterms:modified xsi:type="dcterms:W3CDTF">2026-09-28T07:42:25Z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E1BBAF7E24FC4BB88DFD603295017759_11</vt:lpwstr>
  </property>
  <property fmtid="{D5CDD505-2E9C-101B-9397-08002B2CF9AE}" pid="4" name="KSOTemplateDocerSaveRecord">
    <vt:lpwstr>eyJoZGlkIjoiOGFlZDBjMTkxMjAyY2VhMDJmNjJkYjY5NWY5ZGZmNGMiLCJ1c2VySWQiOiI0NTE5NDQwNTQifQ==</vt:lpwstr>
  </property>
</Properties>
</file>