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版本号：2026-HXCT-13620260609001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三原县陵前镇长坳村道路维修工程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2026-HXCT-136</w:t>
      </w:r>
      <w:r>
        <w:br/>
      </w:r>
      <w:r>
        <w:br/>
      </w:r>
      <w:r>
        <w:br/>
      </w:r>
    </w:p>
    <w:p>
      <w:pPr>
        <w:pStyle w:val="null3"/>
        <w:jc w:val="center"/>
        <w:outlineLvl w:val="2"/>
      </w:pPr>
      <w:r>
        <w:rPr>
          <w:rFonts w:ascii="仿宋_GB2312" w:hAnsi="仿宋_GB2312" w:cs="仿宋_GB2312" w:eastAsia="仿宋_GB2312"/>
          <w:sz w:val="28"/>
          <w:b/>
        </w:rPr>
        <w:t>三原县农村公路管理站</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三原县农村公路管理站</w:t>
      </w:r>
      <w:r>
        <w:rPr>
          <w:rFonts w:ascii="仿宋_GB2312" w:hAnsi="仿宋_GB2312" w:cs="仿宋_GB2312" w:eastAsia="仿宋_GB2312"/>
        </w:rPr>
        <w:t>委托，拟对</w:t>
      </w:r>
      <w:r>
        <w:rPr>
          <w:rFonts w:ascii="仿宋_GB2312" w:hAnsi="仿宋_GB2312" w:cs="仿宋_GB2312" w:eastAsia="仿宋_GB2312"/>
        </w:rPr>
        <w:t>三原县陵前镇长坳村道路维修工程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三原县陵前镇长坳村道路维修工程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我县农村公路安全畅通，我站现拟实施三原县陵前镇长坳村道路维修工程，总规模2.403公里，主要实施三原县陵前镇长坳村道路维修工程，旧水泥路面病害换板修复后铺筑5cm中粒式沥青混凝土，同时完善沿线交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采购包1（三原县陵前镇长坳村道路维修工程）：属于专门面向中小企业采购。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1、企业资质要求：供应商须具备公路工程施工总承包三级及以上资质，具有有效的安全生产许可证；</w:t>
      </w:r>
    </w:p>
    <w:p>
      <w:pPr>
        <w:pStyle w:val="null3"/>
      </w:pPr>
      <w:r>
        <w:rPr>
          <w:rFonts w:ascii="仿宋_GB2312" w:hAnsi="仿宋_GB2312" w:cs="仿宋_GB2312" w:eastAsia="仿宋_GB2312"/>
        </w:rPr>
        <w:t>2、拟派项目负责人：拟派项目负责人须具备公路工程专业二级以上注册建造师资格，具备交通运输主管部门颁发的《安全生产考核合格证书》(B级)，且在本单位注册，无在建项目。</w:t>
      </w:r>
    </w:p>
    <w:p>
      <w:pPr>
        <w:pStyle w:val="null3"/>
      </w:pPr>
      <w:r>
        <w:rPr>
          <w:rFonts w:ascii="仿宋_GB2312" w:hAnsi="仿宋_GB2312" w:cs="仿宋_GB2312" w:eastAsia="仿宋_GB2312"/>
        </w:rPr>
        <w:t>3、法定代表人身份证明或法定代表人授权书：法定代表人直接参加磋商的，须出具法定代表人身份证明。法定代表人委托代理人参加磋商的，须出具法定代表人授权书（附法定代表人、代理人身份证复印件）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三原县城关镇三里店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029-32316365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18690075807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采购包1：2,112,700.00元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印发的《招标代理服务收费管理暂行办法》（计价格〔2002〕1980号）和国家发展和改革委员会办公厅印发的《关于招标代理服务收费有关问题的通知》（发改办价格〔2003〕857号）的有关规定计取。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三原县农村公路管理站</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联系电话：18690075807</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2,112,700.00</w:t>
      </w:r>
    </w:p>
    <w:p>
      <w:pPr>
        <w:pStyle w:val="null3"/>
      </w:pPr>
      <w:r>
        <w:rPr>
          <w:rFonts w:ascii="仿宋_GB2312" w:hAnsi="仿宋_GB2312" w:cs="仿宋_GB2312" w:eastAsia="仿宋_GB2312"/>
        </w:rPr>
        <w:t>采购包最高限价（元）: 2,112,700.00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公路工程施工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2,112,700.00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jc w:val="both"/>
            </w:pPr>
            <w:r>
              <w:rPr>
                <w:rFonts w:ascii="仿宋_GB2312" w:hAnsi="仿宋_GB2312" w:cs="仿宋_GB2312" w:eastAsia="仿宋_GB2312"/>
              </w:rPr>
              <w:t>为确保我县农村公路安全畅通，我站现拟实施三原县陵前镇长坳村道路维修工程，总规模</w:t>
            </w:r>
            <w:r>
              <w:rPr>
                <w:rFonts w:ascii="仿宋_GB2312" w:hAnsi="仿宋_GB2312" w:cs="仿宋_GB2312" w:eastAsia="仿宋_GB2312"/>
              </w:rPr>
              <w:t>2.403</w:t>
            </w:r>
            <w:r>
              <w:rPr>
                <w:rFonts w:ascii="仿宋_GB2312" w:hAnsi="仿宋_GB2312" w:cs="仿宋_GB2312" w:eastAsia="仿宋_GB2312"/>
              </w:rPr>
              <w:t>公里</w:t>
            </w:r>
            <w:r>
              <w:rPr>
                <w:rFonts w:ascii="仿宋_GB2312" w:hAnsi="仿宋_GB2312" w:cs="仿宋_GB2312" w:eastAsia="仿宋_GB2312"/>
              </w:rPr>
              <w:t>，主要实施三原县陵前镇长坳村道路维修工程，旧水泥路面病害换板修复后铺筑</w:t>
            </w:r>
            <w:r>
              <w:rPr>
                <w:rFonts w:ascii="仿宋_GB2312" w:hAnsi="仿宋_GB2312" w:cs="仿宋_GB2312" w:eastAsia="仿宋_GB2312"/>
              </w:rPr>
              <w:t>5cm</w:t>
            </w:r>
            <w:r>
              <w:rPr>
                <w:rFonts w:ascii="仿宋_GB2312" w:hAnsi="仿宋_GB2312" w:cs="仿宋_GB2312" w:eastAsia="仿宋_GB2312"/>
              </w:rPr>
              <w:t>中粒式沥青混凝土</w:t>
            </w:r>
            <w:r>
              <w:rPr>
                <w:rFonts w:ascii="仿宋_GB2312" w:hAnsi="仿宋_GB2312" w:cs="仿宋_GB2312" w:eastAsia="仿宋_GB2312"/>
              </w:rPr>
              <w:t>，同时</w:t>
            </w:r>
            <w:r>
              <w:rPr>
                <w:rFonts w:ascii="仿宋_GB2312" w:hAnsi="仿宋_GB2312" w:cs="仿宋_GB2312" w:eastAsia="仿宋_GB2312"/>
              </w:rPr>
              <w:t>完善沿线交安设施。本项目经财投评审审定工程费</w:t>
            </w:r>
            <w:r>
              <w:rPr>
                <w:rFonts w:ascii="仿宋_GB2312" w:hAnsi="仿宋_GB2312" w:cs="仿宋_GB2312" w:eastAsia="仿宋_GB2312"/>
              </w:rPr>
              <w:t>2112700.00</w:t>
            </w:r>
            <w:r>
              <w:rPr>
                <w:rFonts w:ascii="仿宋_GB2312" w:hAnsi="仿宋_GB2312" w:cs="仿宋_GB2312" w:eastAsia="仿宋_GB2312"/>
              </w:rPr>
              <w:t>元，该工程预算为</w:t>
            </w:r>
            <w:r>
              <w:rPr>
                <w:rFonts w:ascii="仿宋_GB2312" w:hAnsi="仿宋_GB2312" w:cs="仿宋_GB2312" w:eastAsia="仿宋_GB2312"/>
              </w:rPr>
              <w:t>2112700.00</w:t>
            </w:r>
            <w:r>
              <w:rPr>
                <w:rFonts w:ascii="仿宋_GB2312" w:hAnsi="仿宋_GB2312" w:cs="仿宋_GB2312" w:eastAsia="仿宋_GB2312"/>
              </w:rPr>
              <w:t>元。</w:t>
            </w:r>
          </w:p>
          <w:p>
            <w:pPr>
              <w:pStyle w:val="null3"/>
              <w:jc w:val="both"/>
            </w:pPr>
            <w:r>
              <w:rPr>
                <w:rFonts w:ascii="仿宋_GB2312" w:hAnsi="仿宋_GB2312" w:cs="仿宋_GB2312" w:eastAsia="仿宋_GB2312"/>
              </w:rPr>
              <w:t>二、工作内容</w:t>
            </w:r>
          </w:p>
          <w:p>
            <w:pPr>
              <w:pStyle w:val="null3"/>
              <w:jc w:val="both"/>
            </w:pPr>
            <w:r>
              <w:rPr>
                <w:rFonts w:ascii="仿宋_GB2312" w:hAnsi="仿宋_GB2312" w:cs="仿宋_GB2312" w:eastAsia="仿宋_GB2312"/>
              </w:rPr>
              <w:t>拆除混凝土旧路肩</w:t>
            </w:r>
            <w:r>
              <w:rPr>
                <w:rFonts w:ascii="仿宋_GB2312" w:hAnsi="仿宋_GB2312" w:cs="仿宋_GB2312" w:eastAsia="仿宋_GB2312"/>
              </w:rPr>
              <w:t>23.58m</w:t>
            </w:r>
            <w:r>
              <w:rPr>
                <w:rFonts w:ascii="仿宋_GB2312" w:hAnsi="仿宋_GB2312" w:cs="仿宋_GB2312" w:eastAsia="仿宋_GB2312"/>
              </w:rPr>
              <w:t>³，清运旧路肩</w:t>
            </w:r>
            <w:r>
              <w:rPr>
                <w:rFonts w:ascii="仿宋_GB2312" w:hAnsi="仿宋_GB2312" w:cs="仿宋_GB2312" w:eastAsia="仿宋_GB2312"/>
              </w:rPr>
              <w:t>23.58m</w:t>
            </w:r>
            <w:r>
              <w:rPr>
                <w:rFonts w:ascii="仿宋_GB2312" w:hAnsi="仿宋_GB2312" w:cs="仿宋_GB2312" w:eastAsia="仿宋_GB2312"/>
              </w:rPr>
              <w:t>³，拆除盖板</w:t>
            </w:r>
            <w:r>
              <w:rPr>
                <w:rFonts w:ascii="仿宋_GB2312" w:hAnsi="仿宋_GB2312" w:cs="仿宋_GB2312" w:eastAsia="仿宋_GB2312"/>
              </w:rPr>
              <w:t>64.35m</w:t>
            </w:r>
            <w:r>
              <w:rPr>
                <w:rFonts w:ascii="仿宋_GB2312" w:hAnsi="仿宋_GB2312" w:cs="仿宋_GB2312" w:eastAsia="仿宋_GB2312"/>
              </w:rPr>
              <w:t>³，清运旧盖板</w:t>
            </w:r>
            <w:r>
              <w:rPr>
                <w:rFonts w:ascii="仿宋_GB2312" w:hAnsi="仿宋_GB2312" w:cs="仿宋_GB2312" w:eastAsia="仿宋_GB2312"/>
              </w:rPr>
              <w:t>64.35m</w:t>
            </w:r>
            <w:r>
              <w:rPr>
                <w:rFonts w:ascii="仿宋_GB2312" w:hAnsi="仿宋_GB2312" w:cs="仿宋_GB2312" w:eastAsia="仿宋_GB2312"/>
              </w:rPr>
              <w:t>³，拆除透水砖</w:t>
            </w:r>
            <w:r>
              <w:rPr>
                <w:rFonts w:ascii="仿宋_GB2312" w:hAnsi="仿宋_GB2312" w:cs="仿宋_GB2312" w:eastAsia="仿宋_GB2312"/>
              </w:rPr>
              <w:t>2.48m</w:t>
            </w:r>
            <w:r>
              <w:rPr>
                <w:rFonts w:ascii="仿宋_GB2312" w:hAnsi="仿宋_GB2312" w:cs="仿宋_GB2312" w:eastAsia="仿宋_GB2312"/>
              </w:rPr>
              <w:t>³，清运旧透水砖</w:t>
            </w:r>
            <w:r>
              <w:rPr>
                <w:rFonts w:ascii="仿宋_GB2312" w:hAnsi="仿宋_GB2312" w:cs="仿宋_GB2312" w:eastAsia="仿宋_GB2312"/>
              </w:rPr>
              <w:t>2.48m</w:t>
            </w:r>
            <w:r>
              <w:rPr>
                <w:rFonts w:ascii="仿宋_GB2312" w:hAnsi="仿宋_GB2312" w:cs="仿宋_GB2312" w:eastAsia="仿宋_GB2312"/>
              </w:rPr>
              <w:t>³，盖板</w:t>
            </w:r>
            <w:r>
              <w:rPr>
                <w:rFonts w:ascii="仿宋_GB2312" w:hAnsi="仿宋_GB2312" w:cs="仿宋_GB2312" w:eastAsia="仿宋_GB2312"/>
              </w:rPr>
              <w:t>C30</w:t>
            </w:r>
            <w:r>
              <w:rPr>
                <w:rFonts w:ascii="仿宋_GB2312" w:hAnsi="仿宋_GB2312" w:cs="仿宋_GB2312" w:eastAsia="仿宋_GB2312"/>
              </w:rPr>
              <w:t>混凝土</w:t>
            </w:r>
            <w:r>
              <w:rPr>
                <w:rFonts w:ascii="仿宋_GB2312" w:hAnsi="仿宋_GB2312" w:cs="仿宋_GB2312" w:eastAsia="仿宋_GB2312"/>
              </w:rPr>
              <w:t>131.65m</w:t>
            </w:r>
            <w:r>
              <w:rPr>
                <w:rFonts w:ascii="仿宋_GB2312" w:hAnsi="仿宋_GB2312" w:cs="仿宋_GB2312" w:eastAsia="仿宋_GB2312"/>
              </w:rPr>
              <w:t>³，同步碎石封层</w:t>
            </w:r>
            <w:r>
              <w:rPr>
                <w:rFonts w:ascii="仿宋_GB2312" w:hAnsi="仿宋_GB2312" w:cs="仿宋_GB2312" w:eastAsia="仿宋_GB2312"/>
              </w:rPr>
              <w:t>12906.30m2</w:t>
            </w:r>
            <w:r>
              <w:rPr>
                <w:rFonts w:ascii="仿宋_GB2312" w:hAnsi="仿宋_GB2312" w:cs="仿宋_GB2312" w:eastAsia="仿宋_GB2312"/>
              </w:rPr>
              <w:t>，玻璃纤维格栅</w:t>
            </w:r>
            <w:r>
              <w:rPr>
                <w:rFonts w:ascii="仿宋_GB2312" w:hAnsi="仿宋_GB2312" w:cs="仿宋_GB2312" w:eastAsia="仿宋_GB2312"/>
              </w:rPr>
              <w:t>12906.30m2</w:t>
            </w:r>
            <w:r>
              <w:rPr>
                <w:rFonts w:ascii="仿宋_GB2312" w:hAnsi="仿宋_GB2312" w:cs="仿宋_GB2312" w:eastAsia="仿宋_GB2312"/>
              </w:rPr>
              <w:t>，旧水泥路面拉毛</w:t>
            </w:r>
            <w:r>
              <w:rPr>
                <w:rFonts w:ascii="仿宋_GB2312" w:hAnsi="仿宋_GB2312" w:cs="仿宋_GB2312" w:eastAsia="仿宋_GB2312"/>
              </w:rPr>
              <w:t>12906.3m2</w:t>
            </w:r>
            <w:r>
              <w:rPr>
                <w:rFonts w:ascii="仿宋_GB2312" w:hAnsi="仿宋_GB2312" w:cs="仿宋_GB2312" w:eastAsia="仿宋_GB2312"/>
              </w:rPr>
              <w:t>，</w:t>
            </w:r>
            <w:r>
              <w:rPr>
                <w:rFonts w:ascii="仿宋_GB2312" w:hAnsi="仿宋_GB2312" w:cs="仿宋_GB2312" w:eastAsia="仿宋_GB2312"/>
              </w:rPr>
              <w:t>33cm</w:t>
            </w:r>
            <w:r>
              <w:rPr>
                <w:rFonts w:ascii="仿宋_GB2312" w:hAnsi="仿宋_GB2312" w:cs="仿宋_GB2312" w:eastAsia="仿宋_GB2312"/>
              </w:rPr>
              <w:t>宽抗裂贴</w:t>
            </w:r>
            <w:r>
              <w:rPr>
                <w:rFonts w:ascii="仿宋_GB2312" w:hAnsi="仿宋_GB2312" w:cs="仿宋_GB2312" w:eastAsia="仿宋_GB2312"/>
              </w:rPr>
              <w:t>7339.00m</w:t>
            </w:r>
            <w:r>
              <w:rPr>
                <w:rFonts w:ascii="仿宋_GB2312" w:hAnsi="仿宋_GB2312" w:cs="仿宋_GB2312" w:eastAsia="仿宋_GB2312"/>
              </w:rPr>
              <w:t>，清缝及灌缝</w:t>
            </w:r>
            <w:r>
              <w:rPr>
                <w:rFonts w:ascii="仿宋_GB2312" w:hAnsi="仿宋_GB2312" w:cs="仿宋_GB2312" w:eastAsia="仿宋_GB2312"/>
              </w:rPr>
              <w:t>7339.00m</w:t>
            </w:r>
            <w:r>
              <w:rPr>
                <w:rFonts w:ascii="仿宋_GB2312" w:hAnsi="仿宋_GB2312" w:cs="仿宋_GB2312" w:eastAsia="仿宋_GB2312"/>
              </w:rPr>
              <w:t>，</w:t>
            </w:r>
            <w:r>
              <w:rPr>
                <w:rFonts w:ascii="仿宋_GB2312" w:hAnsi="仿宋_GB2312" w:cs="仿宋_GB2312" w:eastAsia="仿宋_GB2312"/>
              </w:rPr>
              <w:t>5cm</w:t>
            </w:r>
            <w:r>
              <w:rPr>
                <w:rFonts w:ascii="仿宋_GB2312" w:hAnsi="仿宋_GB2312" w:cs="仿宋_GB2312" w:eastAsia="仿宋_GB2312"/>
              </w:rPr>
              <w:t>中粒式沥青混凝土</w:t>
            </w:r>
            <w:r>
              <w:rPr>
                <w:rFonts w:ascii="仿宋_GB2312" w:hAnsi="仿宋_GB2312" w:cs="仿宋_GB2312" w:eastAsia="仿宋_GB2312"/>
              </w:rPr>
              <w:t>12906.30m2</w:t>
            </w:r>
            <w:r>
              <w:rPr>
                <w:rFonts w:ascii="仿宋_GB2312" w:hAnsi="仿宋_GB2312" w:cs="仿宋_GB2312" w:eastAsia="仿宋_GB2312"/>
              </w:rPr>
              <w:t>，</w:t>
            </w:r>
            <w:r>
              <w:rPr>
                <w:rFonts w:ascii="仿宋_GB2312" w:hAnsi="仿宋_GB2312" w:cs="仿宋_GB2312" w:eastAsia="仿宋_GB2312"/>
              </w:rPr>
              <w:t>20cm5%</w:t>
            </w:r>
            <w:r>
              <w:rPr>
                <w:rFonts w:ascii="仿宋_GB2312" w:hAnsi="仿宋_GB2312" w:cs="仿宋_GB2312" w:eastAsia="仿宋_GB2312"/>
              </w:rPr>
              <w:t>水泥稳定土基层（换板）</w:t>
            </w:r>
            <w:r>
              <w:rPr>
                <w:rFonts w:ascii="仿宋_GB2312" w:hAnsi="仿宋_GB2312" w:cs="仿宋_GB2312" w:eastAsia="仿宋_GB2312"/>
              </w:rPr>
              <w:t>1364.90m2</w:t>
            </w:r>
            <w:r>
              <w:rPr>
                <w:rFonts w:ascii="仿宋_GB2312" w:hAnsi="仿宋_GB2312" w:cs="仿宋_GB2312" w:eastAsia="仿宋_GB2312"/>
              </w:rPr>
              <w:t>，</w:t>
            </w:r>
            <w:r>
              <w:rPr>
                <w:rFonts w:ascii="仿宋_GB2312" w:hAnsi="仿宋_GB2312" w:cs="仿宋_GB2312" w:eastAsia="仿宋_GB2312"/>
              </w:rPr>
              <w:t>18cm</w:t>
            </w:r>
            <w:r>
              <w:rPr>
                <w:rFonts w:ascii="仿宋_GB2312" w:hAnsi="仿宋_GB2312" w:cs="仿宋_GB2312" w:eastAsia="仿宋_GB2312"/>
              </w:rPr>
              <w:t>水泥混凝土面层（换板）</w:t>
            </w:r>
            <w:r>
              <w:rPr>
                <w:rFonts w:ascii="仿宋_GB2312" w:hAnsi="仿宋_GB2312" w:cs="仿宋_GB2312" w:eastAsia="仿宋_GB2312"/>
              </w:rPr>
              <w:t>1364.90m2</w:t>
            </w:r>
            <w:r>
              <w:rPr>
                <w:rFonts w:ascii="仿宋_GB2312" w:hAnsi="仿宋_GB2312" w:cs="仿宋_GB2312" w:eastAsia="仿宋_GB2312"/>
              </w:rPr>
              <w:t>，凿除旧面板</w:t>
            </w:r>
            <w:r>
              <w:rPr>
                <w:rFonts w:ascii="仿宋_GB2312" w:hAnsi="仿宋_GB2312" w:cs="仿宋_GB2312" w:eastAsia="仿宋_GB2312"/>
              </w:rPr>
              <w:t>245.68m</w:t>
            </w:r>
            <w:r>
              <w:rPr>
                <w:rFonts w:ascii="仿宋_GB2312" w:hAnsi="仿宋_GB2312" w:cs="仿宋_GB2312" w:eastAsia="仿宋_GB2312"/>
              </w:rPr>
              <w:t>³，清运面板</w:t>
            </w:r>
            <w:r>
              <w:rPr>
                <w:rFonts w:ascii="仿宋_GB2312" w:hAnsi="仿宋_GB2312" w:cs="仿宋_GB2312" w:eastAsia="仿宋_GB2312"/>
              </w:rPr>
              <w:t>245.68m</w:t>
            </w:r>
            <w:r>
              <w:rPr>
                <w:rFonts w:ascii="仿宋_GB2312" w:hAnsi="仿宋_GB2312" w:cs="仿宋_GB2312" w:eastAsia="仿宋_GB2312"/>
              </w:rPr>
              <w:t>³，挖除基层</w:t>
            </w:r>
            <w:r>
              <w:rPr>
                <w:rFonts w:ascii="仿宋_GB2312" w:hAnsi="仿宋_GB2312" w:cs="仿宋_GB2312" w:eastAsia="仿宋_GB2312"/>
              </w:rPr>
              <w:t>272.98m</w:t>
            </w:r>
            <w:r>
              <w:rPr>
                <w:rFonts w:ascii="仿宋_GB2312" w:hAnsi="仿宋_GB2312" w:cs="仿宋_GB2312" w:eastAsia="仿宋_GB2312"/>
              </w:rPr>
              <w:t>³，清运基层</w:t>
            </w:r>
            <w:r>
              <w:rPr>
                <w:rFonts w:ascii="仿宋_GB2312" w:hAnsi="仿宋_GB2312" w:cs="仿宋_GB2312" w:eastAsia="仿宋_GB2312"/>
              </w:rPr>
              <w:t>272.98m</w:t>
            </w:r>
            <w:r>
              <w:rPr>
                <w:rFonts w:ascii="仿宋_GB2312" w:hAnsi="仿宋_GB2312" w:cs="仿宋_GB2312" w:eastAsia="仿宋_GB2312"/>
              </w:rPr>
              <w:t>³，</w:t>
            </w:r>
            <w:r>
              <w:rPr>
                <w:rFonts w:ascii="仿宋_GB2312" w:hAnsi="仿宋_GB2312" w:cs="仿宋_GB2312" w:eastAsia="仿宋_GB2312"/>
              </w:rPr>
              <w:t>20cm5%</w:t>
            </w:r>
            <w:r>
              <w:rPr>
                <w:rFonts w:ascii="仿宋_GB2312" w:hAnsi="仿宋_GB2312" w:cs="仿宋_GB2312" w:eastAsia="仿宋_GB2312"/>
              </w:rPr>
              <w:t>水泥稳定土基层（加宽）</w:t>
            </w:r>
            <w:r>
              <w:rPr>
                <w:rFonts w:ascii="仿宋_GB2312" w:hAnsi="仿宋_GB2312" w:cs="仿宋_GB2312" w:eastAsia="仿宋_GB2312"/>
              </w:rPr>
              <w:t>458.20m2</w:t>
            </w:r>
            <w:r>
              <w:rPr>
                <w:rFonts w:ascii="仿宋_GB2312" w:hAnsi="仿宋_GB2312" w:cs="仿宋_GB2312" w:eastAsia="仿宋_GB2312"/>
              </w:rPr>
              <w:t>，</w:t>
            </w:r>
            <w:r>
              <w:rPr>
                <w:rFonts w:ascii="仿宋_GB2312" w:hAnsi="仿宋_GB2312" w:cs="仿宋_GB2312" w:eastAsia="仿宋_GB2312"/>
              </w:rPr>
              <w:t>18cmC30</w:t>
            </w:r>
            <w:r>
              <w:rPr>
                <w:rFonts w:ascii="仿宋_GB2312" w:hAnsi="仿宋_GB2312" w:cs="仿宋_GB2312" w:eastAsia="仿宋_GB2312"/>
              </w:rPr>
              <w:t>水泥混凝土面层（加宽）</w:t>
            </w:r>
            <w:r>
              <w:rPr>
                <w:rFonts w:ascii="仿宋_GB2312" w:hAnsi="仿宋_GB2312" w:cs="仿宋_GB2312" w:eastAsia="仿宋_GB2312"/>
              </w:rPr>
              <w:t>458.20m2</w:t>
            </w:r>
            <w:r>
              <w:rPr>
                <w:rFonts w:ascii="仿宋_GB2312" w:hAnsi="仿宋_GB2312" w:cs="仿宋_GB2312" w:eastAsia="仿宋_GB2312"/>
              </w:rPr>
              <w:t>，植筋</w:t>
            </w:r>
            <w:r>
              <w:rPr>
                <w:rFonts w:ascii="仿宋_GB2312" w:hAnsi="仿宋_GB2312" w:cs="仿宋_GB2312" w:eastAsia="仿宋_GB2312"/>
              </w:rPr>
              <w:t>0.963t</w:t>
            </w:r>
            <w:r>
              <w:rPr>
                <w:rFonts w:ascii="仿宋_GB2312" w:hAnsi="仿宋_GB2312" w:cs="仿宋_GB2312" w:eastAsia="仿宋_GB2312"/>
              </w:rPr>
              <w:t>，挖土方</w:t>
            </w:r>
            <w:r>
              <w:rPr>
                <w:rFonts w:ascii="仿宋_GB2312" w:hAnsi="仿宋_GB2312" w:cs="仿宋_GB2312" w:eastAsia="仿宋_GB2312"/>
              </w:rPr>
              <w:t>143.90m</w:t>
            </w:r>
            <w:r>
              <w:rPr>
                <w:rFonts w:ascii="仿宋_GB2312" w:hAnsi="仿宋_GB2312" w:cs="仿宋_GB2312" w:eastAsia="仿宋_GB2312"/>
              </w:rPr>
              <w:t>³，标志牌</w:t>
            </w:r>
            <w:r>
              <w:rPr>
                <w:rFonts w:ascii="仿宋_GB2312" w:hAnsi="仿宋_GB2312" w:cs="仿宋_GB2312" w:eastAsia="仿宋_GB2312"/>
              </w:rPr>
              <w:t>7.00</w:t>
            </w:r>
            <w:r>
              <w:rPr>
                <w:rFonts w:ascii="仿宋_GB2312" w:hAnsi="仿宋_GB2312" w:cs="仿宋_GB2312" w:eastAsia="仿宋_GB2312"/>
              </w:rPr>
              <w:t>处，路面标线</w:t>
            </w:r>
            <w:r>
              <w:rPr>
                <w:rFonts w:ascii="仿宋_GB2312" w:hAnsi="仿宋_GB2312" w:cs="仿宋_GB2312" w:eastAsia="仿宋_GB2312"/>
              </w:rPr>
              <w:t>862.44m2</w:t>
            </w:r>
            <w:r>
              <w:rPr>
                <w:rFonts w:ascii="仿宋_GB2312" w:hAnsi="仿宋_GB2312" w:cs="仿宋_GB2312" w:eastAsia="仿宋_GB2312"/>
              </w:rPr>
              <w:t>，减速带</w:t>
            </w:r>
            <w:r>
              <w:rPr>
                <w:rFonts w:ascii="仿宋_GB2312" w:hAnsi="仿宋_GB2312" w:cs="仿宋_GB2312" w:eastAsia="仿宋_GB2312"/>
              </w:rPr>
              <w:t>20.60m</w:t>
            </w:r>
            <w:r>
              <w:rPr>
                <w:rFonts w:ascii="仿宋_GB2312" w:hAnsi="仿宋_GB2312" w:cs="仿宋_GB2312" w:eastAsia="仿宋_GB2312"/>
              </w:rPr>
              <w:t>，实体标记</w:t>
            </w:r>
            <w:r>
              <w:rPr>
                <w:rFonts w:ascii="仿宋_GB2312" w:hAnsi="仿宋_GB2312" w:cs="仿宋_GB2312" w:eastAsia="仿宋_GB2312"/>
              </w:rPr>
              <w:t>4.77m2</w:t>
            </w:r>
            <w:r>
              <w:rPr>
                <w:rFonts w:ascii="仿宋_GB2312" w:hAnsi="仿宋_GB2312" w:cs="仿宋_GB2312" w:eastAsia="仿宋_GB2312"/>
              </w:rPr>
              <w:t>。</w:t>
            </w:r>
          </w:p>
          <w:p>
            <w:pPr>
              <w:pStyle w:val="null3"/>
              <w:jc w:val="both"/>
            </w:pPr>
            <w:r>
              <w:rPr>
                <w:rFonts w:ascii="仿宋_GB2312" w:hAnsi="仿宋_GB2312" w:cs="仿宋_GB2312" w:eastAsia="仿宋_GB2312"/>
              </w:rPr>
              <w:t>三、商务要求</w:t>
            </w:r>
          </w:p>
          <w:p>
            <w:pPr>
              <w:pStyle w:val="null3"/>
              <w:jc w:val="both"/>
            </w:pPr>
            <w:r>
              <w:rPr>
                <w:rFonts w:ascii="仿宋_GB2312" w:hAnsi="仿宋_GB2312" w:cs="仿宋_GB2312" w:eastAsia="仿宋_GB2312"/>
              </w:rPr>
              <w:t>1.</w:t>
            </w:r>
            <w:r>
              <w:rPr>
                <w:rFonts w:ascii="仿宋_GB2312" w:hAnsi="仿宋_GB2312" w:cs="仿宋_GB2312" w:eastAsia="仿宋_GB2312"/>
              </w:rPr>
              <w:t>工期要求：</w:t>
            </w:r>
            <w:r>
              <w:rPr>
                <w:rFonts w:ascii="仿宋_GB2312" w:hAnsi="仿宋_GB2312" w:cs="仿宋_GB2312" w:eastAsia="仿宋_GB2312"/>
              </w:rPr>
              <w:t>90</w:t>
            </w:r>
            <w:r>
              <w:rPr>
                <w:rFonts w:ascii="仿宋_GB2312" w:hAnsi="仿宋_GB2312" w:cs="仿宋_GB2312" w:eastAsia="仿宋_GB2312"/>
              </w:rPr>
              <w:t>日历天</w:t>
            </w:r>
          </w:p>
          <w:p>
            <w:pPr>
              <w:pStyle w:val="null3"/>
              <w:jc w:val="both"/>
            </w:pPr>
            <w:r>
              <w:rPr>
                <w:rFonts w:ascii="仿宋_GB2312" w:hAnsi="仿宋_GB2312" w:cs="仿宋_GB2312" w:eastAsia="仿宋_GB2312"/>
              </w:rPr>
              <w:t>2.</w:t>
            </w:r>
            <w:r>
              <w:rPr>
                <w:rFonts w:ascii="仿宋_GB2312" w:hAnsi="仿宋_GB2312" w:cs="仿宋_GB2312" w:eastAsia="仿宋_GB2312"/>
              </w:rPr>
              <w:t>质量要求：合格（符合国家、行业的标准和有关规定）。</w:t>
            </w:r>
          </w:p>
          <w:p>
            <w:pPr>
              <w:pStyle w:val="null3"/>
              <w:jc w:val="both"/>
            </w:pPr>
            <w:r>
              <w:rPr>
                <w:rFonts w:ascii="仿宋_GB2312" w:hAnsi="仿宋_GB2312" w:cs="仿宋_GB2312" w:eastAsia="仿宋_GB2312"/>
              </w:rPr>
              <w:t>3.</w:t>
            </w:r>
            <w:r>
              <w:rPr>
                <w:rFonts w:ascii="仿宋_GB2312" w:hAnsi="仿宋_GB2312" w:cs="仿宋_GB2312" w:eastAsia="仿宋_GB2312"/>
              </w:rPr>
              <w:t>质保要求：</w:t>
            </w:r>
            <w:r>
              <w:rPr>
                <w:rFonts w:ascii="仿宋_GB2312" w:hAnsi="仿宋_GB2312" w:cs="仿宋_GB2312" w:eastAsia="仿宋_GB2312"/>
              </w:rPr>
              <w:t>保修期为</w:t>
            </w:r>
            <w:r>
              <w:rPr>
                <w:rFonts w:ascii="仿宋_GB2312" w:hAnsi="仿宋_GB2312" w:cs="仿宋_GB2312" w:eastAsia="仿宋_GB2312"/>
              </w:rPr>
              <w:t>2</w:t>
            </w:r>
            <w:r>
              <w:rPr>
                <w:rFonts w:ascii="仿宋_GB2312" w:hAnsi="仿宋_GB2312" w:cs="仿宋_GB2312" w:eastAsia="仿宋_GB2312"/>
              </w:rPr>
              <w:t>年，保修期间乙方应在接到甲方维修通知</w:t>
            </w:r>
            <w:r>
              <w:rPr>
                <w:rFonts w:ascii="仿宋_GB2312" w:hAnsi="仿宋_GB2312" w:cs="仿宋_GB2312" w:eastAsia="仿宋_GB2312"/>
              </w:rPr>
              <w:t>2</w:t>
            </w:r>
            <w:r>
              <w:rPr>
                <w:rFonts w:ascii="仿宋_GB2312" w:hAnsi="仿宋_GB2312" w:cs="仿宋_GB2312" w:eastAsia="仿宋_GB2312"/>
              </w:rPr>
              <w:t>日后</w:t>
            </w:r>
            <w:r>
              <w:rPr>
                <w:rFonts w:ascii="仿宋_GB2312" w:hAnsi="仿宋_GB2312" w:cs="仿宋_GB2312" w:eastAsia="仿宋_GB2312"/>
              </w:rPr>
              <w:t>10</w:t>
            </w:r>
            <w:r>
              <w:rPr>
                <w:rFonts w:ascii="仿宋_GB2312" w:hAnsi="仿宋_GB2312" w:cs="仿宋_GB2312" w:eastAsia="仿宋_GB2312"/>
              </w:rPr>
              <w:t>日内派人维修，否则甲方可委托其它单位或人员维修，因乙方原因造成的返修费用，由乙方承担。因乙方之外原因返修的经济支出由甲方承担</w:t>
            </w:r>
            <w:r>
              <w:rPr>
                <w:rFonts w:ascii="仿宋_GB2312" w:hAnsi="仿宋_GB2312" w:cs="仿宋_GB2312" w:eastAsia="仿宋_GB2312"/>
              </w:rPr>
              <w:t>。</w:t>
            </w:r>
          </w:p>
          <w:p>
            <w:pPr>
              <w:pStyle w:val="null3"/>
              <w:jc w:val="both"/>
            </w:pPr>
            <w:r>
              <w:rPr>
                <w:rFonts w:ascii="仿宋_GB2312" w:hAnsi="仿宋_GB2312" w:cs="仿宋_GB2312" w:eastAsia="仿宋_GB2312"/>
              </w:rPr>
              <w:t>4.</w:t>
            </w:r>
            <w:r>
              <w:rPr>
                <w:rFonts w:ascii="仿宋_GB2312" w:hAnsi="仿宋_GB2312" w:cs="仿宋_GB2312" w:eastAsia="仿宋_GB2312"/>
              </w:rPr>
              <w:t>进度要求：乙方需编制并向甲方提交总体工程进度计划，确保各阶段施工进度满足总体进度要求，同时提供主要参与人员名单，并保证人员稳定性。</w:t>
            </w:r>
          </w:p>
          <w:p>
            <w:pPr>
              <w:pStyle w:val="null3"/>
              <w:jc w:val="both"/>
            </w:pPr>
            <w:r>
              <w:rPr>
                <w:rFonts w:ascii="仿宋_GB2312" w:hAnsi="仿宋_GB2312" w:cs="仿宋_GB2312" w:eastAsia="仿宋_GB2312"/>
              </w:rPr>
              <w:t>5.</w:t>
            </w:r>
            <w:r>
              <w:rPr>
                <w:rFonts w:ascii="仿宋_GB2312" w:hAnsi="仿宋_GB2312" w:cs="仿宋_GB2312" w:eastAsia="仿宋_GB2312"/>
              </w:rPr>
              <w:t>安全要求：</w:t>
            </w:r>
          </w:p>
          <w:p>
            <w:pPr>
              <w:pStyle w:val="null3"/>
              <w:jc w:val="both"/>
            </w:pPr>
            <w:r>
              <w:rPr>
                <w:rFonts w:ascii="仿宋_GB2312" w:hAnsi="仿宋_GB2312" w:cs="仿宋_GB2312" w:eastAsia="仿宋_GB2312"/>
              </w:rPr>
              <w:t>合同执行过程中，乙方应对自身安全负责，要遵守国家的相关安全规定。</w:t>
            </w:r>
          </w:p>
          <w:p>
            <w:pPr>
              <w:pStyle w:val="null3"/>
              <w:jc w:val="both"/>
            </w:pPr>
            <w:r>
              <w:rPr>
                <w:rFonts w:ascii="仿宋_GB2312" w:hAnsi="仿宋_GB2312" w:cs="仿宋_GB2312" w:eastAsia="仿宋_GB2312"/>
              </w:rPr>
              <w:t>四、合同支付</w:t>
            </w:r>
          </w:p>
          <w:p>
            <w:pPr>
              <w:pStyle w:val="null3"/>
            </w:pPr>
            <w:r>
              <w:rPr>
                <w:rFonts w:ascii="仿宋_GB2312" w:hAnsi="仿宋_GB2312" w:cs="仿宋_GB2312" w:eastAsia="仿宋_GB2312"/>
                <w:sz w:val="21"/>
              </w:rPr>
              <w:t>按照合同约定甲方向乙方及时拨付工程款项，项目按照计划工期完工后，经甲方组织验收并达到</w:t>
            </w:r>
            <w:r>
              <w:rPr>
                <w:rFonts w:ascii="仿宋_GB2312" w:hAnsi="仿宋_GB2312" w:cs="仿宋_GB2312" w:eastAsia="仿宋_GB2312"/>
                <w:sz w:val="21"/>
              </w:rPr>
              <w:t>相关</w:t>
            </w:r>
            <w:r>
              <w:rPr>
                <w:rFonts w:ascii="仿宋_GB2312" w:hAnsi="仿宋_GB2312" w:cs="仿宋_GB2312" w:eastAsia="仿宋_GB2312"/>
                <w:sz w:val="21"/>
              </w:rPr>
              <w:t>要求后，甲方向乙方支付核准后的所有工程款项。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1、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2、采购标的对应的中小企业划分标准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度或2025年度经审计的财务报告（包括审计报告、资产负债表、利润表、现金流量表、所有者权益变动表（没有可不提供）及附注，成立时间至响应文件提交截止时间不足一年的可提供成立后任意时段的财务报表），或响应文件提交截止时间三个月内基本账户开户银行出具的资信证明及基本存款账户信息（以上两种形式的资料提供任何一种即可）； 3.提供具有履行合同所必需的设备和专业技术能力的承诺； 3.提供响应文件提交截止时间前一年内已缴纳的至少一个月的纳税证明或完税证明（增值税、营业税、企业所得税至少提供一种），纳税证明或完税证明上应有代收机构或税务机关的公章或业务专用章，依法免税的供应商应提供相应证明文件； 4.提供响应文件提交截止时间前一年内已缴存的至少一个月的社会保障资金缴存单据或社保机构开具的社会保险参保缴费情况证明，依法不需要缴纳社会保障资金的供应商应提供相应证明文件；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或2025年度经审计的财务报告（包括审计报告、资产负债表、利润表、现金流量表、所有者权益变动表（没有可不提供）及附注，成立时间至响应文件提交截止时间不足一年的可提供成立后任意时段的财务报表），或响应文件提交截止时间三个月内基本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供应商须具备公路工程施工总承包三级及以上资质，具有有效的安全生产许可证；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拟派项目负责人须具备公路工程专业二级以上注册建造师资格，具备交通运输主管部门颁发的《安全生产考核合格证书》(B级)，且在本单位注册，无在建项目。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提供供应商2023年6月1日至今类似项目业绩（以加盖公章的合同签订时间为准）每个计5分，最高得10分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