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版本号：ZJS-2026-01120260526001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西乡县子午镇2026年子午镇农村公路建设项目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ZJS-2026-011</w:t>
      </w:r>
      <w:r>
        <w:br/>
      </w:r>
      <w:r>
        <w:br/>
      </w:r>
      <w:r>
        <w:br/>
      </w:r>
    </w:p>
    <w:p>
      <w:pPr>
        <w:pStyle w:val="null3"/>
        <w:jc w:val="center"/>
        <w:outlineLvl w:val="2"/>
      </w:pPr>
      <w:r>
        <w:rPr>
          <w:rFonts w:ascii="仿宋_GB2312" w:hAnsi="仿宋_GB2312" w:cs="仿宋_GB2312" w:eastAsia="仿宋_GB2312"/>
          <w:sz w:val="28"/>
          <w:b/>
        </w:rPr>
        <w:t>西乡县子午镇人民政府</w:t>
      </w:r>
    </w:p>
    <w:p>
      <w:pPr>
        <w:pStyle w:val="null3"/>
        <w:jc w:val="center"/>
        <w:outlineLvl w:val="2"/>
      </w:pPr>
      <w:r>
        <w:rPr>
          <w:rFonts w:ascii="仿宋_GB2312" w:hAnsi="仿宋_GB2312" w:cs="仿宋_GB2312" w:eastAsia="仿宋_GB2312"/>
          <w:sz w:val="28"/>
          <w:b/>
        </w:rPr>
        <w:t>中戟盛项目管理有限公司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中戟盛项目管理有限公司</w:t>
      </w:r>
      <w:r>
        <w:rPr>
          <w:rFonts w:ascii="仿宋_GB2312" w:hAnsi="仿宋_GB2312" w:cs="仿宋_GB2312" w:eastAsia="仿宋_GB2312"/>
        </w:rPr>
        <w:t>（以下简称“代理机构”）受</w:t>
      </w:r>
      <w:r>
        <w:rPr>
          <w:rFonts w:ascii="仿宋_GB2312" w:hAnsi="仿宋_GB2312" w:cs="仿宋_GB2312" w:eastAsia="仿宋_GB2312"/>
        </w:rPr>
        <w:t>西乡县子午镇人民政府</w:t>
      </w:r>
      <w:r>
        <w:rPr>
          <w:rFonts w:ascii="仿宋_GB2312" w:hAnsi="仿宋_GB2312" w:cs="仿宋_GB2312" w:eastAsia="仿宋_GB2312"/>
        </w:rPr>
        <w:t>委托，拟对</w:t>
      </w:r>
      <w:r>
        <w:rPr>
          <w:rFonts w:ascii="仿宋_GB2312" w:hAnsi="仿宋_GB2312" w:cs="仿宋_GB2312" w:eastAsia="仿宋_GB2312"/>
        </w:rPr>
        <w:t>西乡县子午镇2026年子午镇农村公路建设项目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ZJS-2026-011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西乡县子午镇2026年子午镇农村公路建设项目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西乡县子午镇2026年子午镇农村公路建设项目，详见磋商文件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采购包1（西乡县子午镇2026年子午镇农村公路建设项目）：属于专门面向中小企业采购。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证明或法定代表人授权书：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应具备建设行政主管部门颁发公路工程施工总承包三级（含三级）及其以上资质或市政公用工程三级（含三级）及其以上资质，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拟派项目经理须具有相应专业二级（含二级）及以上注册建造师资格及其本人有效的安全生产考核合格证（B证），且无在建项目(提供承诺书)；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6、控股、管理关系：单位负责人为同一人或者存在控股、管理关系的不同单位，不得同时参加本采购项目磋商。违反规定的，其响应均无效；</w:t>
      </w:r>
    </w:p>
    <w:p>
      <w:pPr>
        <w:pStyle w:val="null3"/>
      </w:pPr>
      <w:r>
        <w:rPr>
          <w:rFonts w:ascii="仿宋_GB2312" w:hAnsi="仿宋_GB2312" w:cs="仿宋_GB2312" w:eastAsia="仿宋_GB2312"/>
        </w:rPr>
        <w:t>7、非联合体投标声明：本项目不接受联合体投标，供应商需提供非联合体书面声明。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西乡县子午镇人民政府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陕西省汉中市西乡县子午镇三花石街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西乡县子午镇人民政府经办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18091628166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中戟盛项目管理有限公司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西乡县城南街道办西牟路永昌木门对面三楼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0916-6476411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采购包1：1,278,600.00元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开户名称：中戟盛项目管理有限公司</w:t>
            </w:r>
          </w:p>
          <w:p>
            <w:pPr>
              <w:pStyle w:val="null3"/>
            </w:pPr>
            <w:r>
              <w:rPr>
                <w:rFonts w:ascii="仿宋_GB2312" w:hAnsi="仿宋_GB2312" w:cs="仿宋_GB2312" w:eastAsia="仿宋_GB2312"/>
              </w:rPr>
              <w:t>开户银行：中国工商银行股份有限公司西安徐家湾支行</w:t>
            </w:r>
          </w:p>
          <w:p>
            <w:pPr>
              <w:pStyle w:val="null3"/>
            </w:pPr>
            <w:r>
              <w:rPr>
                <w:rFonts w:ascii="仿宋_GB2312" w:hAnsi="仿宋_GB2312" w:cs="仿宋_GB2312" w:eastAsia="仿宋_GB2312"/>
              </w:rPr>
              <w:t>银行账号：3700022609200245577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服务费收费标准参照原《国家计委关于印发&lt;招标代理服务收费管理暂行办法&gt;的通知》(计价格[2002】1980号)、《国家发展改革委关于降低部分建设项目收费标准规范收费行为等有关问题的通知》(发改价格〔2011]534号)规定执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西乡县子午镇人民政府</w:t>
      </w:r>
      <w:r>
        <w:rPr>
          <w:rFonts w:ascii="仿宋_GB2312" w:hAnsi="仿宋_GB2312" w:cs="仿宋_GB2312" w:eastAsia="仿宋_GB2312"/>
        </w:rPr>
        <w:t>和</w:t>
      </w:r>
      <w:r>
        <w:rPr>
          <w:rFonts w:ascii="仿宋_GB2312" w:hAnsi="仿宋_GB2312" w:cs="仿宋_GB2312" w:eastAsia="仿宋_GB2312"/>
        </w:rPr>
        <w:t>中戟盛项目管理有限公司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西乡县子午镇人民政府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中戟盛项目管理有限公司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西乡县子午镇人民政府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中戟盛项目管理有限公司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工程质量达到国家现行行业验收合格标准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中戟盛项目管理有限公司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中戟盛项目管理有限公司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中戟盛项目管理有限公司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联系人：张女士</w:t>
      </w:r>
    </w:p>
    <w:p>
      <w:pPr>
        <w:pStyle w:val="null3"/>
      </w:pPr>
      <w:r>
        <w:rPr>
          <w:rFonts w:ascii="仿宋_GB2312" w:hAnsi="仿宋_GB2312" w:cs="仿宋_GB2312" w:eastAsia="仿宋_GB2312"/>
        </w:rPr>
        <w:t>联系电话：182 9266 6395</w:t>
      </w:r>
    </w:p>
    <w:p>
      <w:pPr>
        <w:pStyle w:val="null3"/>
      </w:pPr>
      <w:r>
        <w:rPr>
          <w:rFonts w:ascii="仿宋_GB2312" w:hAnsi="仿宋_GB2312" w:cs="仿宋_GB2312" w:eastAsia="仿宋_GB2312"/>
        </w:rPr>
        <w:t>地址：西乡县城南街道办西牟路永昌木门对面三楼</w:t>
      </w:r>
    </w:p>
    <w:p>
      <w:pPr>
        <w:pStyle w:val="null3"/>
      </w:pPr>
      <w:r>
        <w:rPr>
          <w:rFonts w:ascii="仿宋_GB2312" w:hAnsi="仿宋_GB2312" w:cs="仿宋_GB2312" w:eastAsia="仿宋_GB2312"/>
        </w:rPr>
        <w:t>邮编：723500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1,278,600.00</w:t>
      </w:r>
    </w:p>
    <w:p>
      <w:pPr>
        <w:pStyle w:val="null3"/>
      </w:pPr>
      <w:r>
        <w:rPr>
          <w:rFonts w:ascii="仿宋_GB2312" w:hAnsi="仿宋_GB2312" w:cs="仿宋_GB2312" w:eastAsia="仿宋_GB2312"/>
        </w:rPr>
        <w:t>采购包最高限价（元）: 1,278,600.00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2026年子午镇农村公路建设项目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1,278,600.00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标的名称：2026年子午镇农村公路建设项目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1、完成项目所有清单内容；</w:t>
            </w:r>
          </w:p>
          <w:p>
            <w:pPr>
              <w:pStyle w:val="null3"/>
            </w:pPr>
            <w:r>
              <w:rPr>
                <w:rFonts w:ascii="仿宋_GB2312" w:hAnsi="仿宋_GB2312" w:cs="仿宋_GB2312" w:eastAsia="仿宋_GB2312"/>
              </w:rPr>
              <w:t>2、工期：100日历天；</w:t>
            </w:r>
          </w:p>
          <w:p>
            <w:pPr>
              <w:pStyle w:val="null3"/>
            </w:pPr>
            <w:r>
              <w:rPr>
                <w:rFonts w:ascii="仿宋_GB2312" w:hAnsi="仿宋_GB2312" w:cs="仿宋_GB2312" w:eastAsia="仿宋_GB2312"/>
              </w:rPr>
              <w:t>3、工程质量：达到国家现行行业合格标准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技术响应方案.docx 响应函 汉中市政府采购供应商资格承诺函.docx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法定代表人证明或法定代表人授权书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备建设行政主管部门颁发公路工程施工总承包三级（含三级）及其以上资质或市政公用工程三级（含三级）及其以上资质，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须具有相应专业二级（含二级）及以上注册建造师资格及其本人有效的安全生产考核合格证（B证），且无在建项目(提供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项目管理机构组成表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单位负责人为同一人或者存在控股、管理关系的不同单位，不得同时参加本采购项目磋商。违反规定的，其响应均无效；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根据供应商制定的专项施工方案及措施进行综合评审。内容包含但不限于：①具体工程施工内容（路基、路面、附属设施等）；②专项施工方法（工艺）；③整体施工次序及流水施工规划；④施工专项应急方案（防汛、边坡坍塌、道路阻断、恶劣天气等）；⑤施工准备：技术准备、材料准备、机械准备、机具准备、劳动力准备等。1.施工方案完整、针对性强，完全贴合公路工程施工特点及项目实际需求得8-10分；2.方案基本完整，存在少量可优化细节得5-7分；3.方案针对性不足，存在关键施工工艺、专项方案遗漏或前后矛盾得3-4分；4.施工方案有较大缺陷，影响整体施工实施连贯性得0-2分；5.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根据供应商制定的工程质量保证措施进行综合评审。内容包含但不限于：①工程施工质量检验检测制度（路基压实度、路面平整度、边坡坡度、结构层厚度等专项检测）；②工程质量管控技术组织措施；③各分项工程施工质量全过程控制措施等。1.措施科学合理、可操作性强，全面覆盖公路工程核心质量控制点，完全满足项目质量标准得8-10分；2.措施基本完善，存在少量细节待优化得5-7分；3.措施针对性不足，公路工程关键施工环节质量管控缺失得3-4分；4.措施照搬通用模板，与本项目实际施工场景不匹配得0-2分；5.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施工安全保证措施</w:t>
            </w:r>
          </w:p>
        </w:tc>
        <w:tc>
          <w:tcPr>
            <w:tcW w:type="dxa" w:w="2492"/>
          </w:tcPr>
          <w:p>
            <w:pPr>
              <w:pStyle w:val="null3"/>
            </w:pPr>
            <w:r>
              <w:rPr>
                <w:rFonts w:ascii="仿宋_GB2312" w:hAnsi="仿宋_GB2312" w:cs="仿宋_GB2312" w:eastAsia="仿宋_GB2312"/>
              </w:rPr>
              <w:t>根据供应商制定的公路工程施工安全保证措施进行综合评审。内容包含但不限于：①工程安全生产管理制度；②路基开挖、路面施工、临时交通疏导、高空及临边作业等专项安全施工措施；③边坡失稳、施工坍塌、交通意外、防汛防火等安全应急预案；④全员安全生产教育培训及现场安全交底制度等。1.安全管理体系健全，专项安全措施全面可行，完全满足项目安全管控要求得7-10分；2.措施基本完善，存在少量细节待优化得4-6分；3.措施针对性不足，施工核心风险点管控缺失得2-3分；4.措施照搬通用模板，与工程施工安全管控实际不匹配得0-1分；5.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施工进度计划及工期保证措施</w:t>
            </w:r>
          </w:p>
        </w:tc>
        <w:tc>
          <w:tcPr>
            <w:tcW w:type="dxa" w:w="2492"/>
          </w:tcPr>
          <w:p>
            <w:pPr>
              <w:pStyle w:val="null3"/>
            </w:pPr>
            <w:r>
              <w:rPr>
                <w:rFonts w:ascii="仿宋_GB2312" w:hAnsi="仿宋_GB2312" w:cs="仿宋_GB2312" w:eastAsia="仿宋_GB2312"/>
              </w:rPr>
              <w:t>根据供应商制定的施工进度计划及工期保证措施进行综合评审。内容包含但不限于：①适配工程分项施工的进度计划横道图、施工节点规划；②季节性施工进度保障措施、交叉施工进度协调措施；③整体工期管控、滞后工期纠偏保证措施等。1.进度计划科学合理，贴合公路工程施工工序特点，工期保证措施具体可行，完全满足项目工期要求得6-8分；2.进度计划合理，工期保证措施基本到位得3-5分；3.进度计划不合理，或工期措施与公路项目施工实际脱节得0-2分；4.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根据供应商制定的文明施工及环保措施计划进行综合评审。内容包含但不限于：①文明施工管理目标及专项技术措施；②施工现场标准化管理、施工材料堆放管控、施工扬尘治理、噪音防控、水土保持、沿线植被保护、周边居民防扰民措施等。1.措施科学合理、可操作性强，完全满足工程文明施工及生态环保要求得6-8分；2.措施基本完善，存在少量细节待优化得3-5分；3.措施照搬通用模板，与施工、沿线环境防护实际不匹配得0-2分；4.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根据供应商针对本公路项目编制的完善资源配置计划进行综合评审。内容包含但不限于：①专用施工机械设备投入计划；②路基、路面、附属工程主要施工材料供应保障计划；③适配公路施工工序的劳动力资源配置计划、班组配置计划等。1.人员、材料、机械设备配置与公路项目规模、施工工艺、工期要求匹配度高，计划科学合理得4-5分；2.资源配置方案完整，基本满足项目施工需求得2-3分；3.资源配置存在少量不足，部分专用设备、施工人员计划待完善得0-1分；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项目管理人员配备</w:t>
            </w:r>
          </w:p>
        </w:tc>
        <w:tc>
          <w:tcPr>
            <w:tcW w:type="dxa" w:w="2492"/>
          </w:tcPr>
          <w:p>
            <w:pPr>
              <w:pStyle w:val="null3"/>
            </w:pPr>
            <w:r>
              <w:rPr>
                <w:rFonts w:ascii="仿宋_GB2312" w:hAnsi="仿宋_GB2312" w:cs="仿宋_GB2312" w:eastAsia="仿宋_GB2312"/>
              </w:rPr>
              <w:t>根据供应商提供的项目组织管理机构配备进行综合评审。1、机构设置合理完善，管理人员配备齐全，具备丰富工程施工管理经验，专业性强，完全满足项目施工管控需求得8-10分； 2、机构设置合理，人员配备齐全，具备工程从业经验，满足项目需求得5-7分；3、机构设置非专门针对本公路项目，人员配备、专业技术经验存在缺陷得3-4分；4、机构设置、人员配备不完整，或无工程相关施工管理经验得0-2分；5、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供应商提供2023年至今同类工程施工项目业绩，每提供一份得2分，此项最高得4分；评审依据：业绩以合同或（中标）成交通知书加盖公章的复印件为依据，未提供不得分。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结合工程质保规范，质量保修承诺完整、合理，质保期、质保范围、应急抢修、后期养护服务等条款具体、可行得3-5分；质量保修承诺含糊，后续养护服务条款基本可行得0-2分；未提供不得分。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详见附件：政府采购建设合同格式.docx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