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版本号：YC26307010(CGA)20260712001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汉台区七里中心小学教学楼及综合楼加固维修工程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YC26307010(CGA)</w:t>
      </w:r>
      <w:r>
        <w:br/>
      </w:r>
      <w:r>
        <w:br/>
      </w:r>
      <w:r>
        <w:br/>
      </w:r>
    </w:p>
    <w:p>
      <w:pPr>
        <w:pStyle w:val="null3"/>
        <w:jc w:val="center"/>
        <w:outlineLvl w:val="2"/>
      </w:pPr>
      <w:r>
        <w:rPr>
          <w:rFonts w:ascii="仿宋_GB2312" w:hAnsi="仿宋_GB2312" w:cs="仿宋_GB2312" w:eastAsia="仿宋_GB2312"/>
          <w:sz w:val="28"/>
          <w:b/>
        </w:rPr>
        <w:t>汉台区七里街道办事处中心小学</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汉台区七里街道办事处中心小学</w:t>
      </w:r>
      <w:r>
        <w:rPr>
          <w:rFonts w:ascii="仿宋_GB2312" w:hAnsi="仿宋_GB2312" w:cs="仿宋_GB2312" w:eastAsia="仿宋_GB2312"/>
        </w:rPr>
        <w:t>委托，拟对</w:t>
      </w:r>
      <w:r>
        <w:rPr>
          <w:rFonts w:ascii="仿宋_GB2312" w:hAnsi="仿宋_GB2312" w:cs="仿宋_GB2312" w:eastAsia="仿宋_GB2312"/>
        </w:rPr>
        <w:t>汉台区七里中心小学教学楼及综合楼加固维修工程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YC26307010(CGA)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汉台区七里中心小学教学楼及综合楼加固维修工程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汉台区七里中心小学教学楼及综合楼加固维修工程:总改造面积2400平方米。其中:教学楼1000平方米，重点开展拆除加固、结构加固及装饰配套改造;综合楼1400平方米，重点开展拆除加固、结构加固及装饰配套改造。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采购包1（汉台区七里中心小学教学楼及综合楼加固维修工程）：属于专门面向中小企业采购。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企业及项目负责人资质：供应商须具备建设行政主管部门核发的建筑工程施工总承包三级及以上及特种工程（结构补强）专业承包资质，并且具有合格有效安全生产许可证；拟派项目经理须具备建筑工程二级及以上注册建造师资格，并具有行业主管部门核发的（B）类安全考核合格证书，且无在建项目；在“陕西省建筑市场监管与诚信信息发布平台”可查询到供应商及其拟派项目经理信息，未拖欠农民工工资承诺或声明函。</w:t>
      </w:r>
    </w:p>
    <w:p>
      <w:pPr>
        <w:pStyle w:val="null3"/>
      </w:pPr>
      <w:r>
        <w:rPr>
          <w:rFonts w:ascii="仿宋_GB2312" w:hAnsi="仿宋_GB2312" w:cs="仿宋_GB2312" w:eastAsia="仿宋_GB2312"/>
        </w:rPr>
        <w:t>4、资格承诺：供应商须提供《汉中市政府采购供应商资格承诺函》，对其财务状况、依法缴纳税收、依法缴纳社会保障金状况、具备履行合同所必需的设备和专业技术能力及参加政府采购活动（以开启时间为准）前3年内，在经营活动中没有重大违法记录等状况做出真实、合法、有效的承诺。供应商未提供资格信用承诺函的，应当按照《中华人民共和国政府采购法》及其实施条例等相关法律法规的规定提供相应的证明材料。投标人需在项目电子化交易系统中按要求填写在递交投标文件截止时间前未被“信用中国”网站(http://www.creditchina.gov.cn)列入“失信被执行人、重大税收违法失信主体、政府采购严重违法失信行为记录名单”，中国政府采购网(http://www.ccgp.gov.cn)“政府采购严重违法失信行为记录名单”的书面声明，并进行电子签章。</w:t>
      </w:r>
    </w:p>
    <w:p>
      <w:pPr>
        <w:pStyle w:val="null3"/>
      </w:pPr>
      <w:r>
        <w:rPr>
          <w:rFonts w:ascii="仿宋_GB2312" w:hAnsi="仿宋_GB2312" w:cs="仿宋_GB2312" w:eastAsia="仿宋_GB2312"/>
        </w:rPr>
        <w:t>5、联合体响应及分包：本项目不接受联合体响应，不允许分包和转包。供应商应提供《非联合体不分包投标声明》，视为独立投标，不分包。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汉台区七里街道办事处中心小学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汉台区七里街道办事处季丰村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13571613366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陕西省汉中市汉台区西新街仁和春天11号楼2单元23层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折红、赵醒文、张耀峰，赵利科，李楠，董海龙，屈小军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15091619770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采购包1：1,377,500.00元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墙面涂料、水泥、商品混凝土</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汉台区七里街道办事处中心小学</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汉台区七里街道办事处中心小学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汉台区七里街道办事处中心小学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按招标文件要求及响应内容验收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联系人：折红</w:t>
      </w:r>
    </w:p>
    <w:p>
      <w:pPr>
        <w:pStyle w:val="null3"/>
      </w:pPr>
      <w:r>
        <w:rPr>
          <w:rFonts w:ascii="仿宋_GB2312" w:hAnsi="仿宋_GB2312" w:cs="仿宋_GB2312" w:eastAsia="仿宋_GB2312"/>
        </w:rPr>
        <w:t>联系电话：15091619770</w:t>
      </w:r>
    </w:p>
    <w:p>
      <w:pPr>
        <w:pStyle w:val="null3"/>
      </w:pPr>
      <w:r>
        <w:rPr>
          <w:rFonts w:ascii="仿宋_GB2312" w:hAnsi="仿宋_GB2312" w:cs="仿宋_GB2312" w:eastAsia="仿宋_GB2312"/>
        </w:rPr>
        <w:t>地址：陕西省汉中市汉台区西新街仁和春天11号楼2单元23层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1,377,500.00</w:t>
      </w:r>
    </w:p>
    <w:p>
      <w:pPr>
        <w:pStyle w:val="null3"/>
      </w:pPr>
      <w:r>
        <w:rPr>
          <w:rFonts w:ascii="仿宋_GB2312" w:hAnsi="仿宋_GB2312" w:cs="仿宋_GB2312" w:eastAsia="仿宋_GB2312"/>
        </w:rPr>
        <w:t>采购包最高限价（元）: 1,362,103.69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汉台区七里中心小学教学楼及综合楼加固维修工程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1,377,500.00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标的名称：汉台区七里中心小学教学楼及综合楼加固维修工程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主要建设项目有：教学楼及综合楼的内外墙面加固，室内墙面、天棚刷乳胶漆，外墙面喷真石漆，一层外走道做自流平地面；教学楼综合楼部分教室做环氧树脂自流平地面，更换部分木门窗及电气改造等；室外做钢楼梯一部、舞台一座、旗台一座。</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工程量清单及图纸（详见附件）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工期要求：30日历天；</w:t>
            </w:r>
          </w:p>
          <w:p>
            <w:pPr>
              <w:pStyle w:val="null3"/>
            </w:pPr>
            <w:r>
              <w:rPr>
                <w:rFonts w:ascii="仿宋_GB2312" w:hAnsi="仿宋_GB2312" w:cs="仿宋_GB2312" w:eastAsia="仿宋_GB2312"/>
              </w:rPr>
              <w:t>工程质量要求：符合国家现行有关施工质量验收规范“合格”要求。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所投产品属于《环境标志产品政府采购清单》中品目的，在性能、技术、服务等指标同等条件下，应当优先采购清单中的产品。</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1、中标供应商领取中标（成交）通知书时，向采购代理机构提供一正两副纸质投标文件及电子版1份（须包含：签字盖章扫描PDF和word文档格式、投标预算书，U盘存储）。 2、供应商应自协商文件递交截止时间起至开标结束，保持在线状态。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供应商须提供《汉中市政府采购供应商资格承诺函》，对其财务状况等做出真实、合法、有效的承诺并进行电子签章。</w:t>
            </w:r>
          </w:p>
        </w:tc>
        <w:tc>
          <w:tcPr>
            <w:tcW w:type="dxa" w:w="1661"/>
          </w:tcPr>
          <w:p>
            <w:pPr>
              <w:pStyle w:val="null3"/>
            </w:pPr>
            <w:r>
              <w:rPr>
                <w:rFonts w:ascii="仿宋_GB2312" w:hAnsi="仿宋_GB2312" w:cs="仿宋_GB2312" w:eastAsia="仿宋_GB2312"/>
              </w:rPr>
              <w:t>供应商应提交的相关资格证明材料 汉中市政府采购投标人资格承诺函.docx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授权委托书1.docx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企业及项目负责人资质</w:t>
            </w:r>
          </w:p>
        </w:tc>
        <w:tc>
          <w:tcPr>
            <w:tcW w:type="dxa" w:w="3322"/>
          </w:tcPr>
          <w:p>
            <w:pPr>
              <w:pStyle w:val="null3"/>
            </w:pPr>
            <w:r>
              <w:rPr>
                <w:rFonts w:ascii="仿宋_GB2312" w:hAnsi="仿宋_GB2312" w:cs="仿宋_GB2312" w:eastAsia="仿宋_GB2312"/>
              </w:rPr>
              <w:t>供应商须具备建设行政主管部门核发的建筑工程施工总承包三级及以上及特种工程（结构补强）专业承包资质，并且具有合格有效安全生产许可证；拟派项目经理须具备建筑工程二级及以上注册建造师资格，并具有行业主管部门核发的（B）类安全考核合格证书，且无在建项目；在“陕西省建筑市场监管与诚信信息发布平台”可查询到供应商及其拟派项目经理信息，未拖欠农民工工资承诺或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提供《汉中市政府采购供应商资格承诺函》，对其财务状况、依法缴纳税收、依法缴纳社会保障金状况、具备履行合同所必需的设备和专业技术能力及参加政府采购活动（以开启时间为准）前3年内，在经营活动中没有重大违法记录等状况做出真实、合法、有效的承诺。供应商未提供资格信用承诺函的，应当按照《中华人民共和国政府采购法》及其实施条例等相关法律法规的规定提供相应的证明材料。投标人需在项目电子化交易系统中按要求填写在递交投标文件截止时间前未被“信用中国”网站(http://www.creditchina.gov.cn)列入“失信被执行人、重大税收违法失信主体、政府采购严重违法失信行为记录名单”，中国政府采购网(http://www.ccgp.gov.cn)“政府采购严重违法失信行为记录名单”的书面声明，并进行电子签章。</w:t>
            </w:r>
          </w:p>
        </w:tc>
        <w:tc>
          <w:tcPr>
            <w:tcW w:type="dxa" w:w="1661"/>
          </w:tcPr>
          <w:p>
            <w:pPr>
              <w:pStyle w:val="null3"/>
            </w:pPr>
            <w:r>
              <w:rPr>
                <w:rFonts w:ascii="仿宋_GB2312" w:hAnsi="仿宋_GB2312" w:cs="仿宋_GB2312" w:eastAsia="仿宋_GB2312"/>
              </w:rPr>
              <w:t>汉中市政府采购投标人资格承诺函.docx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联合体响应及分包</w:t>
            </w:r>
          </w:p>
        </w:tc>
        <w:tc>
          <w:tcPr>
            <w:tcW w:type="dxa" w:w="3322"/>
          </w:tcPr>
          <w:p>
            <w:pPr>
              <w:pStyle w:val="null3"/>
            </w:pPr>
            <w:r>
              <w:rPr>
                <w:rFonts w:ascii="仿宋_GB2312" w:hAnsi="仿宋_GB2312" w:cs="仿宋_GB2312" w:eastAsia="仿宋_GB2312"/>
              </w:rPr>
              <w:t>本项目不接受联合体响应，不允许分包和转包。供应商应提供《非联合体不分包投标声明》，视为独立投标，不分包。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其它需要响应的内容</w:t>
            </w:r>
          </w:p>
        </w:tc>
        <w:tc>
          <w:tcPr>
            <w:tcW w:type="dxa" w:w="3322"/>
          </w:tcPr>
          <w:p>
            <w:pPr>
              <w:pStyle w:val="null3"/>
            </w:pPr>
            <w:r>
              <w:rPr>
                <w:rFonts w:ascii="仿宋_GB2312" w:hAnsi="仿宋_GB2312" w:cs="仿宋_GB2312" w:eastAsia="仿宋_GB2312"/>
              </w:rPr>
              <w:t>1、投标文件应按照招标文件规定要求签署、盖章；2、须满足本招标文件中“服务期限、服务地点、支付方式、支付约定”的实质性条款要求； 3、文件有效期符合招标文件要求； 4、投标报价同时满足以下条款：（1）投标报价符合唯一性要求；（2）投标报价表填写符合要求；（3）计量单位、报价货币均符合招标文件要求；（4）投标报价未超出采购预算或招标文件规定的最高限价。 5、法律、法规和招标文件规定的其他无效情形。</w:t>
            </w:r>
          </w:p>
        </w:tc>
        <w:tc>
          <w:tcPr>
            <w:tcW w:type="dxa" w:w="1661"/>
          </w:tcPr>
          <w:p>
            <w:pPr>
              <w:pStyle w:val="null3"/>
            </w:pPr>
            <w:r>
              <w:rPr>
                <w:rFonts w:ascii="仿宋_GB2312" w:hAnsi="仿宋_GB2312" w:cs="仿宋_GB2312" w:eastAsia="仿宋_GB2312"/>
              </w:rPr>
              <w:t>已标价工程量清单 非联合体不分包投标声明1.docx 中小企业声明函 供应商应提交的相关资格证明材料 汉中市政府采购投标人资格承诺函.docx 强制优先采购产品承诺函 响应文件封面 项目管理机构组成表 授权委托书1.docx 残疾人福利性单位声明函 报价函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中对该项目施工组织方案及施工方法的描述，是否先进合理，是否清晰理解工程重点难点、施工关键技术工艺是否把握准确。[10～15分]：先进、合理、清晰、把握准确；[6～10分]：基本先进、合理、清晰、把握基本准确；[0～5分]：先进性、合理性、清晰程度、把握准确度不足。</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施工工期进度计划和保证措施</w:t>
            </w:r>
          </w:p>
        </w:tc>
        <w:tc>
          <w:tcPr>
            <w:tcW w:type="dxa" w:w="2492"/>
          </w:tcPr>
          <w:p>
            <w:pPr>
              <w:pStyle w:val="null3"/>
            </w:pPr>
            <w:r>
              <w:rPr>
                <w:rFonts w:ascii="仿宋_GB2312" w:hAnsi="仿宋_GB2312" w:cs="仿宋_GB2312" w:eastAsia="仿宋_GB2312"/>
              </w:rPr>
              <w:t>工程进度计划是否符合工期要求，从关键路径的准确、清晰，逻辑关系、措施是否有效保证计划实施等综合考量。[8～10分]：计划措施能够优化工期要求、清晰、准确、有效保证计划实施；[4～7分]：计划措施基本符合工期要求、比较清晰、准确、有效；[0-3分]：计划措施不能保证工期要求、不够清晰、准确、有效。</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质量保证体系与措施 施工质量保证体系与措施</w:t>
            </w:r>
          </w:p>
        </w:tc>
        <w:tc>
          <w:tcPr>
            <w:tcW w:type="dxa" w:w="2492"/>
          </w:tcPr>
          <w:p>
            <w:pPr>
              <w:pStyle w:val="null3"/>
            </w:pPr>
            <w:r>
              <w:rPr>
                <w:rFonts w:ascii="仿宋_GB2312" w:hAnsi="仿宋_GB2312" w:cs="仿宋_GB2312" w:eastAsia="仿宋_GB2312"/>
              </w:rPr>
              <w:t>质量管理措施是否完整，职责是否分明；材料采购、过程控制及检验、分项措施针对性是否合理等指标综合考量。[8～10分]：措施完整、职责分明、过程控制措施合理性高；[4～7分]：措施基本完整、职责基本分明、过程控制措施合理性基本满足；[0-3分]：措施不够完整、职责不够分明、过程控制措施合理性不足。</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确保本项目安全生产的技术组织措施：[8～10分]：描述无缺漏详细具体；[4～7分]：描述无缺漏但不完整详尽；[0-3分]：描述有缺漏且不完整详尽。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针对本项目配备相应的施工机械设备，[4～5分]施工机械配备投入计划详细全面、完善合理；[2～3分]施工机械配备投入计划较为全面，基本合理；[0-1分]施工机械配备投入计划不够全面，也不够合理。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施工材料环境标志认证</w:t>
            </w:r>
          </w:p>
        </w:tc>
        <w:tc>
          <w:tcPr>
            <w:tcW w:type="dxa" w:w="2492"/>
          </w:tcPr>
          <w:p>
            <w:pPr>
              <w:pStyle w:val="null3"/>
            </w:pPr>
            <w:r>
              <w:rPr>
                <w:rFonts w:ascii="仿宋_GB2312" w:hAnsi="仿宋_GB2312" w:cs="仿宋_GB2312" w:eastAsia="仿宋_GB2312"/>
              </w:rPr>
              <w:t>施工材料应优先采购属于《环境标志产品政府采购品目清单》范围内的产品和材料，且应提供有效的环境标志产品认证证书复印件，并承诺所投产品在认证有效期内 。每提供一份有效认证证书得1分，满分3分。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供应商根据项目需求拟组建项目部，并提供组成人员名单同时附人员身份证等相关证书证件复印件并加盖公章。 1、项目负责人：2023年7月1日至今完成类似加固工程业绩，每提供一份得1分，最高得1分，评审依据：以合同协议书或中标通知书为准，时间以合同签订时间或中标时间为准。 2、技术负责人:具有建筑工程专业中级职称的计1分，具有高级及以上技术职称的计2分。 3、项目组其他成员:安全员、质量员、施工员、资料员、材料员配备齐全，且每人具备有效的岗位证书(安全员附C3证)计5分，每缺少一人扣1分，最低为0分。 4、项目部人员配备计划：人员专业齐全、配备充足、安排合理、分工明确得4分；人员配备专业较齐全、配备较充足、安排较合理、分工较明确得[2～3分]；人员配备专业不全、配备欠缺、安排不合理、分工不明确得[0-1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供应商提供2023年7月1日至今完成的类似业绩证明，每提供一份得2.5分，最高得5分； 注：①证明材料以合同协议书或中标通知书为准，时间以合同签订时间或中标时间为准；②供应商和项目负责人业绩不可以重复计分。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①满足招标文件要求且投标价格最低的投标报价为评标基准价，其价格分为满分。其他投标人的价格分统一按照下列公式计算：投标报价得分=（评标基准价/投标报价）×30 ；②本项目为专门面向中小企业项目，不再执行价格评审优惠的扶持政策。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详见附件：授权委托书1.docx</w:t>
      </w:r>
    </w:p>
    <w:p>
      <w:pPr>
        <w:pStyle w:val="null3"/>
        <w:ind w:firstLine="960"/>
      </w:pPr>
      <w:r>
        <w:rPr>
          <w:rFonts w:ascii="仿宋_GB2312" w:hAnsi="仿宋_GB2312" w:cs="仿宋_GB2312" w:eastAsia="仿宋_GB2312"/>
        </w:rPr>
        <w:t>详见附件：汉中市政府采购投标人资格承诺函.docx</w:t>
      </w:r>
    </w:p>
    <w:p>
      <w:pPr>
        <w:pStyle w:val="null3"/>
        <w:ind w:firstLine="960"/>
      </w:pPr>
      <w:r>
        <w:rPr>
          <w:rFonts w:ascii="仿宋_GB2312" w:hAnsi="仿宋_GB2312" w:cs="仿宋_GB2312" w:eastAsia="仿宋_GB2312"/>
        </w:rPr>
        <w:t>详见附件：非联合体不分包投标声明1.docx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