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版本号：SZ1262-GP-SC-071S.1B120260618001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两院区室外道路扩宽改造项目(二次)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SZ1262-GP-SC-071S.1B1</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两院区室外道路扩宽改造项目(二次)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SZ1262-GP-SC-071S.1B1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两院区室外道路扩宽改造项目(二次)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为了解决“院内停车难”及“消防通道宽度不足”等问题，实施两院区室外道路及设施系统改造项目。具体详见磋商文件。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3、税收缴纳证明：提供2025年5月至今任意一个月的依法缴纳税收的相关凭据（时间以税款所属日期为准、税种须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法定代表人授权书：法定代表人授权书及被授权人身份证复印件。（法定代表人直接投标须提交法定代表人身份证明书及身份证原件，被授权人参与投标的需提供投标人为其缴纳的2025年5月至今任意一个月的社保证明材料。）</w:t>
      </w:r>
    </w:p>
    <w:p>
      <w:pPr>
        <w:pStyle w:val="null3"/>
      </w:pPr>
      <w:r>
        <w:rPr>
          <w:rFonts w:ascii="仿宋_GB2312" w:hAnsi="仿宋_GB2312" w:cs="仿宋_GB2312" w:eastAsia="仿宋_GB2312"/>
        </w:rPr>
        <w:t>6、资质要求：供应商应具备建设行政主管部门颁发合法有效的市政公用工程施工总承包资质三级（含三级）以上资质且具备有效的安全生产许可证，在人员、设备、资金等方面具备相应施工能力且无不良记录；</w:t>
      </w:r>
    </w:p>
    <w:p>
      <w:pPr>
        <w:pStyle w:val="null3"/>
      </w:pPr>
      <w:r>
        <w:rPr>
          <w:rFonts w:ascii="仿宋_GB2312" w:hAnsi="仿宋_GB2312" w:cs="仿宋_GB2312" w:eastAsia="仿宋_GB2312"/>
        </w:rPr>
        <w:t>7、拟派项目经理要求：拟派项目经理须具备合法有效的市政工程专业二级（含）以上注册建造师执业资格，同时具备有效的安全生产考核合格证书（安全B证），在本单位注册且无在建工程；（提供无在建工程的承诺函）</w:t>
      </w:r>
    </w:p>
    <w:p>
      <w:pPr>
        <w:pStyle w:val="null3"/>
      </w:pPr>
      <w:r>
        <w:rPr>
          <w:rFonts w:ascii="仿宋_GB2312" w:hAnsi="仿宋_GB2312" w:cs="仿宋_GB2312" w:eastAsia="仿宋_GB2312"/>
        </w:rPr>
        <w:t>8、供应商基本信息及项目经理基本信息：供应商基本信息及项目经理基本信息应在“陕西省住房和城乡建设厅（http://js.shaanxi.gov.cn/）陕西省建筑市场监管与诚信信息发布平台”可查询；</w:t>
      </w:r>
    </w:p>
    <w:p>
      <w:pPr>
        <w:pStyle w:val="null3"/>
      </w:pPr>
      <w:r>
        <w:rPr>
          <w:rFonts w:ascii="仿宋_GB2312" w:hAnsi="仿宋_GB2312" w:cs="仿宋_GB2312" w:eastAsia="仿宋_GB2312"/>
        </w:rPr>
        <w:t>9、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10、控股管理关系：提供直接控股和管理关系清单。若与其他投标人存在单位负责人为同一人或者存在直接控股、管理关系的，则投标无效；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11、承诺函：提供具有履行合同所必需的设备和专业技术能力的承诺函；</w:t>
      </w:r>
    </w:p>
    <w:p>
      <w:pPr>
        <w:pStyle w:val="null3"/>
      </w:pPr>
      <w:r>
        <w:rPr>
          <w:rFonts w:ascii="仿宋_GB2312" w:hAnsi="仿宋_GB2312" w:cs="仿宋_GB2312" w:eastAsia="仿宋_GB2312"/>
        </w:rPr>
        <w:t>12、是否接受联合体投标：本项目不接受联合体参与。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029-89550065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 李楚瑶 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17791415127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开户名称：陕西省招标有限责任公司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银行账号：9902001766572554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中标金额计算招标代理服务费，招标代理服务费由中标人支付，按照国家计委颁布的《招标代理服务收费管理暂行办法》(计价格[2002]1980号)文件规定的标准下浮20%计取，招标代理服务收费按差额定率累进法计算。 2、本项目中标服务费按工程计取。 3、代理服务费账户：开户名称：陕西省招标有限责任公司 开户银行：招商银行西安朝阳门支行 账号：1299 0424 2010 801 （注：中标供应商转账时请从对公账户转出，备注“代理服务费”及“项目编号后四位”信息）</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1,183,000.00</w:t>
      </w:r>
    </w:p>
    <w:p>
      <w:pPr>
        <w:pStyle w:val="null3"/>
      </w:pPr>
      <w:r>
        <w:rPr>
          <w:rFonts w:ascii="仿宋_GB2312" w:hAnsi="仿宋_GB2312" w:cs="仿宋_GB2312" w:eastAsia="仿宋_GB2312"/>
        </w:rPr>
        <w:t>采购包最高限价（元）: 1,146,363.71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两院区室外道路扩宽改造项目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标的名称：两院区室外道路扩宽改造项目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采购内容及要求</w:t>
            </w:r>
            <w:r>
              <w:rPr>
                <w:rFonts w:ascii="仿宋_GB2312" w:hAnsi="仿宋_GB2312" w:cs="仿宋_GB2312" w:eastAsia="仿宋_GB2312"/>
                <w:sz w:val="21"/>
                <w:b/>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后宰门院区消防通道拓宽</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曲江院区南侧道路拓宽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曲江院区主干线分流改造</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全院无障碍设施改造；</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全院道路病害处理；</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动力中心周边改造</w:t>
            </w:r>
            <w:r>
              <w:rPr>
                <w:rFonts w:ascii="仿宋_GB2312" w:hAnsi="仿宋_GB2312" w:cs="仿宋_GB2312" w:eastAsia="仿宋_GB2312"/>
                <w:sz w:val="21"/>
              </w:rPr>
              <w:t>，</w:t>
            </w:r>
            <w:r>
              <w:rPr>
                <w:rFonts w:ascii="仿宋_GB2312" w:hAnsi="仿宋_GB2312" w:cs="仿宋_GB2312" w:eastAsia="仿宋_GB2312"/>
                <w:sz w:val="21"/>
              </w:rPr>
              <w:t>实现雨污分流及渗水治理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二、商务要求（实质性要求，不允许负偏离）：</w:t>
            </w:r>
          </w:p>
          <w:p>
            <w:pPr>
              <w:pStyle w:val="null3"/>
              <w:jc w:val="left"/>
            </w:pPr>
            <w:r>
              <w:rPr>
                <w:rFonts w:ascii="仿宋_GB2312" w:hAnsi="仿宋_GB2312" w:cs="仿宋_GB2312" w:eastAsia="仿宋_GB2312"/>
                <w:sz w:val="21"/>
                <w:b/>
              </w:rPr>
              <w:t>1.工期</w:t>
            </w:r>
            <w:r>
              <w:rPr>
                <w:rFonts w:ascii="仿宋_GB2312" w:hAnsi="仿宋_GB2312" w:cs="仿宋_GB2312" w:eastAsia="仿宋_GB2312"/>
                <w:sz w:val="21"/>
                <w:b/>
              </w:rPr>
              <w:t>：</w:t>
            </w:r>
            <w:r>
              <w:rPr>
                <w:rFonts w:ascii="仿宋_GB2312" w:hAnsi="仿宋_GB2312" w:cs="仿宋_GB2312" w:eastAsia="仿宋_GB2312"/>
                <w:sz w:val="21"/>
                <w:b/>
              </w:rPr>
              <w:t>合同签订后</w:t>
            </w:r>
            <w:r>
              <w:rPr>
                <w:rFonts w:ascii="仿宋_GB2312" w:hAnsi="仿宋_GB2312" w:cs="仿宋_GB2312" w:eastAsia="仿宋_GB2312"/>
                <w:sz w:val="21"/>
                <w:b/>
              </w:rPr>
              <w:t>30日历天，</w:t>
            </w:r>
            <w:r>
              <w:rPr>
                <w:rFonts w:ascii="仿宋_GB2312" w:hAnsi="仿宋_GB2312" w:cs="仿宋_GB2312" w:eastAsia="仿宋_GB2312"/>
                <w:sz w:val="21"/>
                <w:b/>
              </w:rPr>
              <w:t>以开竣工报告为准。</w:t>
            </w:r>
          </w:p>
          <w:p>
            <w:pPr>
              <w:pStyle w:val="null3"/>
              <w:jc w:val="left"/>
            </w:pPr>
            <w:r>
              <w:rPr>
                <w:rFonts w:ascii="仿宋_GB2312" w:hAnsi="仿宋_GB2312" w:cs="仿宋_GB2312" w:eastAsia="仿宋_GB2312"/>
                <w:sz w:val="21"/>
                <w:b/>
              </w:rPr>
              <w:t>2.付款方式</w:t>
            </w:r>
            <w:r>
              <w:rPr>
                <w:rFonts w:ascii="仿宋_GB2312" w:hAnsi="仿宋_GB2312" w:cs="仿宋_GB2312" w:eastAsia="仿宋_GB2312"/>
                <w:sz w:val="21"/>
                <w:b/>
              </w:rPr>
              <w:t>：</w:t>
            </w:r>
          </w:p>
          <w:p>
            <w:pPr>
              <w:pStyle w:val="null3"/>
              <w:ind w:firstLine="402"/>
              <w:jc w:val="both"/>
            </w:pPr>
            <w:r>
              <w:rPr>
                <w:rFonts w:ascii="仿宋_GB2312" w:hAnsi="仿宋_GB2312" w:cs="仿宋_GB2312" w:eastAsia="仿宋_GB2312"/>
                <w:sz w:val="21"/>
                <w:color w:val="000000"/>
              </w:rPr>
              <w:t>工程竣工验收，结算审定结束后，采购人支付至审定价的</w:t>
            </w:r>
            <w:r>
              <w:rPr>
                <w:rFonts w:ascii="仿宋_GB2312" w:hAnsi="仿宋_GB2312" w:cs="仿宋_GB2312" w:eastAsia="仿宋_GB2312"/>
                <w:sz w:val="21"/>
                <w:color w:val="000000"/>
              </w:rPr>
              <w:t>97%，剩余3%待缺陷责任期满后无息支付，付款前供应商提供经审定后符合税法规定的全额正式发票。</w:t>
            </w:r>
          </w:p>
          <w:p>
            <w:pPr>
              <w:pStyle w:val="null3"/>
              <w:jc w:val="left"/>
            </w:pPr>
            <w:r>
              <w:rPr>
                <w:rFonts w:ascii="仿宋_GB2312" w:hAnsi="仿宋_GB2312" w:cs="仿宋_GB2312" w:eastAsia="仿宋_GB2312"/>
                <w:sz w:val="21"/>
                <w:b/>
              </w:rPr>
              <w:t>3.质量标准：</w:t>
            </w:r>
            <w:r>
              <w:rPr>
                <w:rFonts w:ascii="仿宋_GB2312" w:hAnsi="仿宋_GB2312" w:cs="仿宋_GB2312" w:eastAsia="仿宋_GB2312"/>
                <w:sz w:val="21"/>
              </w:rPr>
              <w:t>合格。</w:t>
            </w:r>
          </w:p>
          <w:p>
            <w:pPr>
              <w:pStyle w:val="null3"/>
              <w:jc w:val="left"/>
            </w:pPr>
            <w:r>
              <w:rPr>
                <w:rFonts w:ascii="仿宋_GB2312" w:hAnsi="仿宋_GB2312" w:cs="仿宋_GB2312" w:eastAsia="仿宋_GB2312"/>
                <w:sz w:val="21"/>
                <w:b/>
              </w:rPr>
              <w:t>4.项目缺陷责任期及保修要求：</w:t>
            </w:r>
          </w:p>
          <w:p>
            <w:pPr>
              <w:pStyle w:val="null3"/>
              <w:ind w:firstLine="402"/>
              <w:jc w:val="both"/>
            </w:pPr>
            <w:r>
              <w:rPr>
                <w:rFonts w:ascii="仿宋_GB2312" w:hAnsi="仿宋_GB2312" w:cs="仿宋_GB2312" w:eastAsia="仿宋_GB2312"/>
                <w:sz w:val="21"/>
                <w:b/>
              </w:rPr>
              <w:t>（</w:t>
            </w:r>
            <w:r>
              <w:rPr>
                <w:rFonts w:ascii="仿宋_GB2312" w:hAnsi="仿宋_GB2312" w:cs="仿宋_GB2312" w:eastAsia="仿宋_GB2312"/>
                <w:sz w:val="21"/>
                <w:b/>
              </w:rPr>
              <w:t>1）项目缺陷责任期：</w:t>
            </w:r>
            <w:r>
              <w:rPr>
                <w:rFonts w:ascii="仿宋_GB2312" w:hAnsi="仿宋_GB2312" w:cs="仿宋_GB2312" w:eastAsia="仿宋_GB2312"/>
                <w:sz w:val="21"/>
                <w:color w:val="000000"/>
              </w:rPr>
              <w:t>2年，项目缺陷责任期从项目验收合格之日起算。</w:t>
            </w:r>
          </w:p>
          <w:p>
            <w:pPr>
              <w:pStyle w:val="null3"/>
              <w:ind w:firstLine="402"/>
              <w:jc w:val="both"/>
            </w:pPr>
            <w:r>
              <w:rPr>
                <w:rFonts w:ascii="仿宋_GB2312" w:hAnsi="仿宋_GB2312" w:cs="仿宋_GB2312" w:eastAsia="仿宋_GB2312"/>
                <w:sz w:val="21"/>
                <w:b/>
              </w:rPr>
              <w:t>（</w:t>
            </w:r>
            <w:r>
              <w:rPr>
                <w:rFonts w:ascii="仿宋_GB2312" w:hAnsi="仿宋_GB2312" w:cs="仿宋_GB2312" w:eastAsia="仿宋_GB2312"/>
                <w:sz w:val="21"/>
                <w:b/>
              </w:rPr>
              <w:t>2）保修要求</w:t>
            </w:r>
            <w:r>
              <w:rPr>
                <w:rFonts w:ascii="仿宋_GB2312" w:hAnsi="仿宋_GB2312" w:cs="仿宋_GB2312" w:eastAsia="仿宋_GB2312"/>
                <w:sz w:val="21"/>
                <w:b/>
              </w:rPr>
              <w:t>：</w:t>
            </w:r>
          </w:p>
          <w:p>
            <w:pPr>
              <w:pStyle w:val="null3"/>
              <w:ind w:firstLine="400"/>
              <w:jc w:val="both"/>
            </w:pPr>
            <w:r>
              <w:rPr>
                <w:rFonts w:ascii="仿宋_GB2312" w:hAnsi="仿宋_GB2312" w:cs="仿宋_GB2312" w:eastAsia="仿宋_GB2312"/>
                <w:sz w:val="21"/>
              </w:rPr>
              <w:t>属于保修范围和内容的项目，</w:t>
            </w:r>
            <w:r>
              <w:rPr>
                <w:rFonts w:ascii="仿宋_GB2312" w:hAnsi="仿宋_GB2312" w:cs="仿宋_GB2312" w:eastAsia="仿宋_GB2312"/>
                <w:sz w:val="21"/>
              </w:rPr>
              <w:t>供应商</w:t>
            </w:r>
            <w:r>
              <w:rPr>
                <w:rFonts w:ascii="仿宋_GB2312" w:hAnsi="仿宋_GB2312" w:cs="仿宋_GB2312" w:eastAsia="仿宋_GB2312"/>
                <w:sz w:val="21"/>
              </w:rPr>
              <w:t>应在接到维修通知后，</w:t>
            </w:r>
            <w:r>
              <w:rPr>
                <w:rFonts w:ascii="仿宋_GB2312" w:hAnsi="仿宋_GB2312" w:cs="仿宋_GB2312" w:eastAsia="仿宋_GB2312"/>
                <w:sz w:val="21"/>
              </w:rPr>
              <w:t xml:space="preserve"> </w:t>
            </w:r>
            <w:r>
              <w:rPr>
                <w:rFonts w:ascii="仿宋_GB2312" w:hAnsi="仿宋_GB2312" w:cs="仿宋_GB2312" w:eastAsia="仿宋_GB2312"/>
                <w:sz w:val="21"/>
              </w:rPr>
              <w:t xml:space="preserve">1 </w:t>
            </w:r>
            <w:r>
              <w:rPr>
                <w:rFonts w:ascii="仿宋_GB2312" w:hAnsi="仿宋_GB2312" w:cs="仿宋_GB2312" w:eastAsia="仿宋_GB2312"/>
                <w:sz w:val="21"/>
              </w:rPr>
              <w:t>天内派人维修。发生紧急抢修事故（如上水管跑水、爆裂，供电设施漏、断电等），</w:t>
            </w:r>
            <w:r>
              <w:rPr>
                <w:rFonts w:ascii="仿宋_GB2312" w:hAnsi="仿宋_GB2312" w:cs="仿宋_GB2312" w:eastAsia="仿宋_GB2312"/>
                <w:sz w:val="21"/>
              </w:rPr>
              <w:t>供应商</w:t>
            </w:r>
            <w:r>
              <w:rPr>
                <w:rFonts w:ascii="仿宋_GB2312" w:hAnsi="仿宋_GB2312" w:cs="仿宋_GB2312" w:eastAsia="仿宋_GB2312"/>
                <w:sz w:val="21"/>
              </w:rPr>
              <w:t>应在接到事故通知后</w:t>
            </w:r>
            <w:r>
              <w:rPr>
                <w:rFonts w:ascii="仿宋_GB2312" w:hAnsi="仿宋_GB2312" w:cs="仿宋_GB2312" w:eastAsia="仿宋_GB2312"/>
                <w:sz w:val="21"/>
              </w:rPr>
              <w:t xml:space="preserve"> </w:t>
            </w:r>
            <w:r>
              <w:rPr>
                <w:rFonts w:ascii="仿宋_GB2312" w:hAnsi="仿宋_GB2312" w:cs="仿宋_GB2312" w:eastAsia="仿宋_GB2312"/>
                <w:sz w:val="21"/>
              </w:rPr>
              <w:t xml:space="preserve">2 </w:t>
            </w:r>
            <w:r>
              <w:rPr>
                <w:rFonts w:ascii="仿宋_GB2312" w:hAnsi="仿宋_GB2312" w:cs="仿宋_GB2312" w:eastAsia="仿宋_GB2312"/>
                <w:sz w:val="21"/>
              </w:rPr>
              <w:t>小时内到达事故现场并于</w:t>
            </w:r>
            <w:r>
              <w:rPr>
                <w:rFonts w:ascii="仿宋_GB2312" w:hAnsi="仿宋_GB2312" w:cs="仿宋_GB2312" w:eastAsia="仿宋_GB2312"/>
                <w:sz w:val="21"/>
              </w:rPr>
              <w:t xml:space="preserve"> </w:t>
            </w:r>
            <w:r>
              <w:rPr>
                <w:rFonts w:ascii="仿宋_GB2312" w:hAnsi="仿宋_GB2312" w:cs="仿宋_GB2312" w:eastAsia="仿宋_GB2312"/>
                <w:sz w:val="21"/>
              </w:rPr>
              <w:t xml:space="preserve">4 </w:t>
            </w:r>
            <w:r>
              <w:rPr>
                <w:rFonts w:ascii="仿宋_GB2312" w:hAnsi="仿宋_GB2312" w:cs="仿宋_GB2312" w:eastAsia="仿宋_GB2312"/>
                <w:sz w:val="21"/>
              </w:rPr>
              <w:t>小时内完成应急维修。</w:t>
            </w:r>
          </w:p>
          <w:p>
            <w:pPr>
              <w:pStyle w:val="null3"/>
            </w:pPr>
            <w:r>
              <w:rPr>
                <w:rFonts w:ascii="仿宋_GB2312" w:hAnsi="仿宋_GB2312" w:cs="仿宋_GB2312" w:eastAsia="仿宋_GB2312"/>
                <w:sz w:val="21"/>
                <w:b/>
              </w:rPr>
              <w:t>5.施工地点</w:t>
            </w:r>
            <w:r>
              <w:rPr>
                <w:rFonts w:ascii="仿宋_GB2312" w:hAnsi="仿宋_GB2312" w:cs="仿宋_GB2312" w:eastAsia="仿宋_GB2312"/>
                <w:sz w:val="21"/>
              </w:rPr>
              <w:t>：</w:t>
            </w:r>
            <w:r>
              <w:rPr>
                <w:rFonts w:ascii="仿宋_GB2312" w:hAnsi="仿宋_GB2312" w:cs="仿宋_GB2312" w:eastAsia="仿宋_GB2312"/>
                <w:sz w:val="21"/>
              </w:rPr>
              <w:t>采购人</w:t>
            </w:r>
            <w:r>
              <w:rPr>
                <w:rFonts w:ascii="仿宋_GB2312" w:hAnsi="仿宋_GB2312" w:cs="仿宋_GB2312" w:eastAsia="仿宋_GB2312"/>
                <w:sz w:val="21"/>
              </w:rPr>
              <w:t>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1、本工程为交钥匙工程，为清单报价，报价中包含暂列金，最终工程量按照实际发生量计取。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投标文件贰份。2.纸质投标文件胶装，标明投标人名称密封递交，线下递交截止时间同在线递交投标电子文件截止时间一致，线下递交地址：西安市和平路108号佳腾大厦七楼。3.若线上电子投标文件与纸质投标文件不一致的，以线上电子投标文件为准。4.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任意一个月的依法缴纳税收的相关凭据（时间以税款所属日期为准、税种须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法定代表人授权书及被授权人身份证复印件。（法定代表人直接投标须提交法定代表人身份证明书及身份证原件，被授权人参与投标的需提供投标人为其缴纳的2025年5月至今任意一个月的社保证明材料。）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供应商应具备建设行政主管部门颁发合法有效的市政公用工程施工总承包资质三级（含三级）以上资质且具备有效的安全生产许可证，在人员、设备、资金等方面具备相应施工能力且无不良记录；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拟派项目经理须具备合法有效的市政工程专业二级（含）以上注册建造师执业资格，同时具备有效的安全生产考核合格证书（安全B证），在本单位注册且无在建工程；（提供无在建工程的承诺函）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供应商基本信息及项目经理基本信息应在“陕西省住房和城乡建设厅（http://js.shaanxi.gov.cn/）陕西省建筑市场监管与诚信信息发布平台”可查询；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（4）磋商小组基于专业判断，认为投标人报价过低，有可能影响产品质量或者不能诚信履约的其他情形。 相关法律法规对投标人报价有规定的，从其规定。 2.磋商小组启动异常低价投标(响应)审查后，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证明材料，应当加盖供应商（法定名称）公章或电子印章，在评标委员会要求的时间内通过项目电子化交易系统进行提交，否则提交的相关证明材料无效。供应商不能证明其报价合理性的，磋商小组应当将其响应文件作为无效处理。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1、投标文件是否按照招标文件要求的格式编写； 2、投标报价内容是否有重大缺漏项。</w:t>
            </w:r>
          </w:p>
        </w:tc>
        <w:tc>
          <w:tcPr>
            <w:tcW w:type="dxa" w:w="1661"/>
          </w:tcPr>
          <w:p>
            <w:pPr>
              <w:pStyle w:val="null3"/>
            </w:pPr>
            <w:r>
              <w:rPr>
                <w:rFonts w:ascii="仿宋_GB2312" w:hAnsi="仿宋_GB2312" w:cs="仿宋_GB2312" w:eastAsia="仿宋_GB2312"/>
              </w:rPr>
              <w:t>分项报价表（最终报价） 已标价工程量清单 中小企业声明函 技术服务条款及商务要求应答表 供应商应提交的相关资格证明材料 响应文件封面 投标保证金缴纳凭证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 拟派项目经理职称、业绩表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1、投标文件的签署、加盖印章是否合格、有效； 2、提供的证明文件、承诺书、资料是否真实、有效。</w:t>
            </w:r>
          </w:p>
        </w:tc>
        <w:tc>
          <w:tcPr>
            <w:tcW w:type="dxa" w:w="1661"/>
          </w:tcPr>
          <w:p>
            <w:pPr>
              <w:pStyle w:val="null3"/>
            </w:pPr>
            <w:r>
              <w:rPr>
                <w:rFonts w:ascii="仿宋_GB2312" w:hAnsi="仿宋_GB2312" w:cs="仿宋_GB2312" w:eastAsia="仿宋_GB2312"/>
              </w:rPr>
              <w:t>分项报价表（最终报价） 已标价工程量清单 中小企业声明函 技术服务条款及商务要求应答表 供应商应提交的相关资格证明材料 响应文件封面 投标保证金缴纳凭证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 拟派项目经理职称、业绩表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实质上响应磋商文件：1、磋商有效期是否符合磋商文件的要求； 2、工期是否符合磋商文件要求； 3、付款响应文件内容是否符合国家法律法规，是否响应了磋商文件要求的全部条款、条件和规格要求，没有重大偏离；4、质量标准是否符合磋商文件要求；5、项目缺陷责任期及保修要求是否符合磋商文件要求；6、施工地点是否符合磋商文件要求。</w:t>
            </w:r>
          </w:p>
        </w:tc>
        <w:tc>
          <w:tcPr>
            <w:tcW w:type="dxa" w:w="1661"/>
          </w:tcPr>
          <w:p>
            <w:pPr>
              <w:pStyle w:val="null3"/>
            </w:pPr>
            <w:r>
              <w:rPr>
                <w:rFonts w:ascii="仿宋_GB2312" w:hAnsi="仿宋_GB2312" w:cs="仿宋_GB2312" w:eastAsia="仿宋_GB2312"/>
              </w:rPr>
              <w:t>分项报价表（最终报价） 已标价工程量清单 中小企业声明函 技术服务条款及商务要求应答表 供应商应提交的相关资格证明材料 响应文件封面 投标保证金缴纳凭证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 拟派项目经理职称、业绩表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磋商报价不得超过最高限价，且只能有一个有效报价，不得提交选择性报价。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分项报价表（最终报价） 已标价工程量清单 中小企业声明函 技术服务条款及商务要求应答表 供应商应提交的相关资格证明材料 响应文件封面 投标保证金缴纳凭证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 拟派项目经理职称、业绩表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2.不同供应商委托同一单位或者个人办理投标事宜； 3.不同供应商的响应文件载明的项目管理成员或者联系人员为同一人； 4.不同供应商的响应文件异常一致或者投标报价呈规律性差异； 5.不同供应商的响应文件相互混装； 6.不同供应商的投标保证金从同一单位或者个人的账户转出。</w:t>
            </w:r>
          </w:p>
        </w:tc>
        <w:tc>
          <w:tcPr>
            <w:tcW w:type="dxa" w:w="1661"/>
          </w:tcPr>
          <w:p>
            <w:pPr>
              <w:pStyle w:val="null3"/>
            </w:pPr>
            <w:r>
              <w:rPr>
                <w:rFonts w:ascii="仿宋_GB2312" w:hAnsi="仿宋_GB2312" w:cs="仿宋_GB2312" w:eastAsia="仿宋_GB2312"/>
              </w:rPr>
              <w:t>分项报价表（最终报价） 已标价工程量清单 中小企业声明函 技术服务条款及商务要求应答表 供应商应提交的相关资格证明材料 响应文件封面 投标保证金缴纳凭证 项目管理机构组成表 残疾人福利性单位声明函 报价函 供应商认为有必要提供的其他材料 标的清单 陕西省政府采购供应商拒绝政府采购领域商业贿赂承诺书 供应商类似项目业绩一览表 施工方案 响应函 主要人员简历表 监狱企业的证明文件 拟派项目经理职称、业绩表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（一）评审内容：供应商针对本项目实施的特点进行分析，方案内容包括1.本项目施工特点的需求理解；2.本项目实施重难点分析；3.总体施工方案及组织措施；4.影响正常施工外在因素分析及对应预案等。 （二）评审标准：以上5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施工进度部署与保障措施</w:t>
            </w:r>
          </w:p>
        </w:tc>
        <w:tc>
          <w:tcPr>
            <w:tcW w:type="dxa" w:w="2492"/>
          </w:tcPr>
          <w:p>
            <w:pPr>
              <w:pStyle w:val="null3"/>
            </w:pPr>
            <w:r>
              <w:rPr>
                <w:rFonts w:ascii="仿宋_GB2312" w:hAnsi="仿宋_GB2312" w:cs="仿宋_GB2312" w:eastAsia="仿宋_GB2312"/>
              </w:rPr>
              <w:t>（一）评审内容：供应商针对本项目编制进度部署及保障措施，措施内容包括1.进度安排计划与部署（需提供符合医院实际情况的施工横道图）；2.工期目标控制和保证措施；3.材料供应措施；4.成品、半成品供应现场保护监管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施工质量保障措施</w:t>
            </w:r>
          </w:p>
        </w:tc>
        <w:tc>
          <w:tcPr>
            <w:tcW w:type="dxa" w:w="2492"/>
          </w:tcPr>
          <w:p>
            <w:pPr>
              <w:pStyle w:val="null3"/>
            </w:pPr>
            <w:r>
              <w:rPr>
                <w:rFonts w:ascii="仿宋_GB2312" w:hAnsi="仿宋_GB2312" w:cs="仿宋_GB2312" w:eastAsia="仿宋_GB2312"/>
              </w:rPr>
              <w:t>（一）评审内容：供应商针对本项目实施的特点编制质量保障措施，措施内容包括1.质量管理工作流程；2.工程质量保障措施内容；3.工程质量控制体系；4.材料和构配件的质量控制；5.施工检测及工序交验方案。 （二）评审标准：以上5项内容无缺项，专门针对本项目编制，符合本项目实际情况，内容完整、条理清晰、能够保障项目顺利实施的得6分。每项内容根据供应商内容响应程度：每缺少一项内容或者内容非针对于本项目的扣1.5分，每有一项内容有缺陷的扣0.5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一）评审内容：供应商针对本项目编制安全生产技术组织措施，措施内容包括1.安全生产管理制度；2.配置安全组织机构；3.安全隐患排查、整改措施；4.对本项目风险点的识别及应急救援措施；（二）评审标准：以上4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供应商针对本项目编制文明施工及环境保护措施，措施内容包括1.文明及环境保护管理制度；2.结合施工进度及现场环境的理解的防尘降噪措施；3.针对第三方因施工产生投诉的应急预案；4.文明及环境保护施工监督检查机制；（二）评审标准：以上4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施工组织、项目管理机构与劳动力安排计划</w:t>
            </w:r>
          </w:p>
        </w:tc>
        <w:tc>
          <w:tcPr>
            <w:tcW w:type="dxa" w:w="2492"/>
          </w:tcPr>
          <w:p>
            <w:pPr>
              <w:pStyle w:val="null3"/>
            </w:pPr>
            <w:r>
              <w:rPr>
                <w:rFonts w:ascii="仿宋_GB2312" w:hAnsi="仿宋_GB2312" w:cs="仿宋_GB2312" w:eastAsia="仿宋_GB2312"/>
              </w:rPr>
              <w:t>（一）评审内容：供应商针对本项目编制施工组织、项目管理机构与劳动力安排计划，措施内容包括1.项目管理机构图；2.岗位安排及职责分工（配备施工员、安全员、资料员、材料员、质量员）；3.人员现场管理制度；4.针对针对本项目实际情况的理解的人员进度安排。 （二）评审标准：以上4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及以上职称证书的得3分，中级职称证书的得2分，初级职称的得1分，其余情况不得分。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拟派项目经理职称、业绩表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2024年1月1日至今承接的类似业绩证明材料，每提供1项得1分，最多得3分。评审依据：业绩证明材料以供应商提供的加盖供应商公章的合同复印件或扫描件为准（合同中须体现关键页且签字盖章齐全，且合同中须体现拟派项目经理的相关信息；如合同中出现非连续页或模糊不清无法辨认或未按照上述要求提供不全的或未提供的均不得分）。时间以合同签订时间为准。拟派项目经理业绩与企业业绩可重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拟派项目经理职称、业绩表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（一）评审内容：供应商针对本项目编制施工机械配备和材料投入计划，措施内容包括1.针对本项目实际情况的理解的施工机械配置计划；2.施工材料投入计划；3.施工机械及施工材料现场的管理制度； （二）评审标准：以上3项内容无缺项，专门针对本项目编制，符合本项目实际情况，内容完整、条理清晰、能够保障项目顺利实施的得6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项目完工后的维修及保修承诺</w:t>
            </w:r>
          </w:p>
        </w:tc>
        <w:tc>
          <w:tcPr>
            <w:tcW w:type="dxa" w:w="2492"/>
          </w:tcPr>
          <w:p>
            <w:pPr>
              <w:pStyle w:val="null3"/>
            </w:pPr>
            <w:r>
              <w:rPr>
                <w:rFonts w:ascii="仿宋_GB2312" w:hAnsi="仿宋_GB2312" w:cs="仿宋_GB2312" w:eastAsia="仿宋_GB2312"/>
              </w:rPr>
              <w:t>（一）评审内容：供应商针对本项目编制完工后的维修及保修承诺，承诺内容包括1.发生维修及保修的响应时间；2.维修及保修方案； （二）评审标准：以上2项内容无缺项，专门针对本项目编制，符合本项目实际情况，内容完整、条理清晰、能够保障项目顺利实施的得2分。每项内容根据供应商内容响应程度：每缺少一项内容或者内容非针对于本项目的扣1分，每有一项内容有缺陷的扣0.5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提供2024年1月至投标文件递交截止时间同类项目业绩，每提供一个得1分，最高得5分。 业绩证明：以施工合同为准，时间以合同签订时间为准，提供证明材料的扫描件加盖单位公章。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分项报价表（最终报价）</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（1）本次招标设最高限价。供应商的磋商总报价超过最高限价的视为无效标，不再参与下一步评审。 （2）满足磋商文件实质性要求且最终报价最低的供应商的价格为磋商基准价，其价格分为满分35分。 （3）磋商报价得分=（磋商基准价/最终磋商报价）×35。 （4）磋商报价不完整的，不进入磋商基准价的计算，本项得0分。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详见附件：技术服务条款及商务要求应答表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详见附件：拟派项目经理职称、业绩表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详见附件：供应商认为有必要提供的其他材料</w:t>
      </w:r>
    </w:p>
    <w:p>
      <w:pPr>
        <w:pStyle w:val="null3"/>
        <w:ind w:firstLine="960"/>
      </w:pPr>
      <w:r>
        <w:rPr>
          <w:rFonts w:ascii="仿宋_GB2312" w:hAnsi="仿宋_GB2312" w:cs="仿宋_GB2312" w:eastAsia="仿宋_GB2312"/>
        </w:rPr>
        <w:t>详见附件：分项报价表（最终报价）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