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D2C5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firstLine="328" w:firstLineChars="68"/>
        <w:jc w:val="center"/>
        <w:textAlignment w:val="auto"/>
        <w:rPr>
          <w:rFonts w:hint="eastAsia" w:ascii="仿宋_GB2312" w:eastAsia="仿宋_GB2312" w:cs="Times New Roman"/>
          <w:sz w:val="48"/>
          <w:szCs w:val="48"/>
          <w:lang w:val="en-US" w:eastAsia="zh-CN"/>
        </w:rPr>
      </w:pPr>
      <w:r>
        <w:rPr>
          <w:rFonts w:hint="eastAsia" w:ascii="仿宋_GB2312" w:eastAsia="仿宋_GB2312" w:cs="Times New Roman"/>
          <w:sz w:val="48"/>
          <w:szCs w:val="48"/>
          <w:lang w:val="en-US" w:eastAsia="zh-CN"/>
        </w:rPr>
        <w:t>采购内容</w:t>
      </w:r>
    </w:p>
    <w:p w14:paraId="3FE3D86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2"/>
          <w:lang w:val="en-US" w:eastAsia="zh-CN" w:bidi="ar-SA"/>
        </w:rPr>
        <w:t>一、项目概况</w:t>
      </w:r>
    </w:p>
    <w:p w14:paraId="1237C96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根据《西安市土地储备条例》《关于印发规范土地征收拆迁安置储备供应工作实施办法（试行）的通知》，结合鄠邑区实际确定土地储备的任务和方向，为2026年度征收、储备和供应计划提供规划技术服务。</w:t>
      </w:r>
    </w:p>
    <w:p w14:paraId="7E85590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2"/>
          <w:lang w:val="en-US" w:eastAsia="zh-CN" w:bidi="ar-SA"/>
        </w:rPr>
        <w:t>二、服务内容</w:t>
      </w:r>
    </w:p>
    <w:p w14:paraId="7856685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根据以“供”定“储”的原则，结合区域总体布局和市场调控方向，结合各项目成片开发方案、项目规划预选址等土地征收前期工作实际，结合2026年征储供计划，整合鄠邑区单元详细规划、道路红线及用地权属，精准完成用地边界调整，坚决消除“边角地”。同步完成征储供项目现状、规划及道路红线规划许可示意图纸的绘制，最终形成科学、精准的2026年鄠邑区土地征收储备供应计划图件和数据库。</w:t>
      </w:r>
    </w:p>
    <w:p w14:paraId="09AA1511">
      <w:pPr>
        <w:rPr>
          <w:rFonts w:hint="eastAsia" w:ascii="仿宋_GB2312" w:eastAsia="仿宋_GB2312" w:cs="Times New Roman"/>
          <w:sz w:val="48"/>
          <w:szCs w:val="48"/>
          <w:lang w:val="en-US" w:eastAsia="zh-CN"/>
        </w:rPr>
      </w:pPr>
    </w:p>
    <w:p w14:paraId="243D12C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firstLine="328" w:firstLineChars="68"/>
        <w:jc w:val="both"/>
        <w:textAlignment w:val="auto"/>
        <w:rPr>
          <w:rFonts w:hint="default" w:ascii="仿宋_GB2312" w:eastAsia="仿宋_GB2312" w:cs="Times New Roman"/>
          <w:sz w:val="48"/>
          <w:szCs w:val="48"/>
          <w:lang w:val="en-US" w:eastAsia="zh-CN"/>
        </w:rPr>
      </w:pPr>
      <w:r>
        <w:rPr>
          <w:rFonts w:hint="eastAsia" w:ascii="仿宋_GB2312" w:eastAsia="仿宋_GB2312" w:cs="Times New Roman"/>
          <w:sz w:val="48"/>
          <w:szCs w:val="48"/>
          <w:lang w:val="en-US" w:eastAsia="zh-CN"/>
        </w:rPr>
        <w:t>商务要求</w:t>
      </w:r>
    </w:p>
    <w:p w14:paraId="03E9A9D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1、服务期：自合同签订之日起</w:t>
      </w:r>
      <w:r>
        <w:rPr>
          <w:rFonts w:hint="eastAsia" w:cs="仿宋_GB2312"/>
          <w:color w:val="auto"/>
          <w:sz w:val="28"/>
          <w:szCs w:val="22"/>
          <w:lang w:val="en-US" w:eastAsia="zh-CN" w:bidi="ar-SA"/>
        </w:rPr>
        <w:t>180日</w:t>
      </w: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。</w:t>
      </w:r>
      <w:bookmarkStart w:id="0" w:name="_GoBack"/>
      <w:bookmarkEnd w:id="0"/>
    </w:p>
    <w:p w14:paraId="720A570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2、服务地点：采购人指定地点</w:t>
      </w:r>
    </w:p>
    <w:p w14:paraId="143D4C3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3、付款方式：合同签订后，达到付款条件起30</w:t>
      </w:r>
      <w:r>
        <w:rPr>
          <w:rFonts w:hint="eastAsia" w:cs="仿宋_GB2312"/>
          <w:color w:val="auto"/>
          <w:sz w:val="28"/>
          <w:szCs w:val="22"/>
          <w:lang w:val="en-US" w:eastAsia="zh-CN" w:bidi="ar-SA"/>
        </w:rPr>
        <w:t>个工作日</w:t>
      </w: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内，支付合同总金额的50%；乙方向甲方提交全部技术成果当日，达到付款条件起30个工作日内，支付合同总金额的50%。</w:t>
      </w:r>
    </w:p>
    <w:p w14:paraId="37C2287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560"/>
        <w:jc w:val="both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28"/>
          <w:szCs w:val="22"/>
          <w:lang w:val="en-US" w:eastAsia="zh-CN" w:bidi="ar-SA"/>
        </w:rPr>
        <w:t>4、服务质量：达到国家现行的标准或国家行政部门颁布的法律法规、规章制度等。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427969"/>
    <w:rsid w:val="1C59151D"/>
    <w:rsid w:val="2DEE0B8D"/>
    <w:rsid w:val="344C23E9"/>
    <w:rsid w:val="3FB53328"/>
    <w:rsid w:val="421342B5"/>
    <w:rsid w:val="530E51F3"/>
    <w:rsid w:val="533F0939"/>
    <w:rsid w:val="58041037"/>
    <w:rsid w:val="6B9A7587"/>
    <w:rsid w:val="6D01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仿宋_GB2312" w:hAnsi="仿宋_GB2312" w:eastAsia="仿宋_GB2312" w:cs="仿宋_GB2312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spacing w:line="360" w:lineRule="auto"/>
      <w:ind w:left="1037"/>
      <w:outlineLvl w:val="0"/>
    </w:pPr>
    <w:rPr>
      <w:rFonts w:ascii="黑体" w:hAnsi="黑体" w:eastAsia="黑体" w:cs="黑体"/>
      <w:b/>
      <w:bCs/>
      <w:sz w:val="32"/>
      <w:szCs w:val="28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1"/>
    <w:pPr>
      <w:spacing w:line="360" w:lineRule="auto"/>
      <w:ind w:firstLine="400" w:firstLineChars="200"/>
    </w:pPr>
    <w:rPr>
      <w:sz w:val="28"/>
      <w:szCs w:val="2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503</Words>
  <Characters>517</Characters>
  <Lines>0</Lines>
  <Paragraphs>0</Paragraphs>
  <TotalTime>2</TotalTime>
  <ScaleCrop>false</ScaleCrop>
  <LinksUpToDate>false</LinksUpToDate>
  <CharactersWithSpaces>517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2025-07-31T02:51:00Z</dcterms:created>
  <dc:creator>Administrator</dc:creator>
  <cp:lastModifiedBy>Y</cp:lastModifiedBy>
  <dcterms:modified xsi:type="dcterms:W3CDTF">2026-07-23T03:19:58Z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eyJoZGlkIjoiMjhhNmJkODUzOTM3NDk4NGZmYzg1Y2RiYTI2YzYwZTQiLCJ1c2VySWQiOiIxMDMyOTA1OTI4In0=</vt:lpwstr>
  </property>
  <property fmtid="{D5CDD505-2E9C-101B-9397-08002B2CF9AE}" pid="4" name="ICV">
    <vt:lpwstr>223F8C77B8844D738D7A93B2AE827937_12</vt:lpwstr>
  </property>
</Properties>
</file>