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版本号：SLHRC-2026-3520260809001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镇安县米粮镇中心镇安置区道路建设项目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SLHRC-2026-35</w:t>
      </w:r>
      <w:r>
        <w:br/>
      </w:r>
      <w:r>
        <w:br/>
      </w:r>
      <w:r>
        <w:br/>
      </w:r>
    </w:p>
    <w:p>
      <w:pPr>
        <w:pStyle w:val="null3"/>
        <w:jc w:val="center"/>
        <w:outlineLvl w:val="2"/>
      </w:pPr>
      <w:r>
        <w:rPr>
          <w:rFonts w:ascii="仿宋_GB2312" w:hAnsi="仿宋_GB2312" w:cs="仿宋_GB2312" w:eastAsia="仿宋_GB2312"/>
          <w:sz w:val="28"/>
          <w:b/>
        </w:rPr>
        <w:t>镇安县发展改革局（本级）</w:t>
      </w:r>
    </w:p>
    <w:p>
      <w:pPr>
        <w:pStyle w:val="null3"/>
        <w:jc w:val="center"/>
        <w:outlineLvl w:val="2"/>
      </w:pPr>
      <w:r>
        <w:rPr>
          <w:rFonts w:ascii="仿宋_GB2312" w:hAnsi="仿宋_GB2312" w:cs="仿宋_GB2312" w:eastAsia="仿宋_GB2312"/>
          <w:sz w:val="28"/>
          <w:b/>
        </w:rPr>
        <w:t>商洛华瑞诚项目管理咨询有限公司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商洛华瑞诚项目管理咨询有限公司</w:t>
      </w:r>
      <w:r>
        <w:rPr>
          <w:rFonts w:ascii="仿宋_GB2312" w:hAnsi="仿宋_GB2312" w:cs="仿宋_GB2312" w:eastAsia="仿宋_GB2312"/>
        </w:rPr>
        <w:t>（以下简称“代理机构”）受</w:t>
      </w:r>
      <w:r>
        <w:rPr>
          <w:rFonts w:ascii="仿宋_GB2312" w:hAnsi="仿宋_GB2312" w:cs="仿宋_GB2312" w:eastAsia="仿宋_GB2312"/>
        </w:rPr>
        <w:t>镇安县发展改革局（本级）</w:t>
      </w:r>
      <w:r>
        <w:rPr>
          <w:rFonts w:ascii="仿宋_GB2312" w:hAnsi="仿宋_GB2312" w:cs="仿宋_GB2312" w:eastAsia="仿宋_GB2312"/>
        </w:rPr>
        <w:t>委托，拟对</w:t>
      </w:r>
      <w:r>
        <w:rPr>
          <w:rFonts w:ascii="仿宋_GB2312" w:hAnsi="仿宋_GB2312" w:cs="仿宋_GB2312" w:eastAsia="仿宋_GB2312"/>
        </w:rPr>
        <w:t>镇安县米粮镇中心镇安置区道路建设项目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SLHRC-2026-35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镇安县米粮镇中心镇安置区道路建设项目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规模为改造米粮中心镇安置点道路1430米，铺设宽度6米，厚度20厘米混凝土面层9400平方米，新建挡墙2460立方米，修建混凝土边沟1430米。主要建设内容为挖土方2500立方米，新建挡墙2460立方米，铺设20厘米水泥混凝土面层9400平方米，修建混凝土边沟1430米。（具体内容详见施工图及工程量清单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采购包1（镇安县米粮镇中心镇安置区道路建设项目）：属于专门面向中小企业采购。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1、营业执照等主体资格证明文件：具有独立承担民事责任能力的法人、其他组织或自然人，提供合法有效的营业执照（事业单位提供事业单位法人证书，自然人提供身份证）；</w:t>
      </w:r>
    </w:p>
    <w:p>
      <w:pPr>
        <w:pStyle w:val="null3"/>
      </w:pPr>
      <w:r>
        <w:rPr>
          <w:rFonts w:ascii="仿宋_GB2312" w:hAnsi="仿宋_GB2312" w:cs="仿宋_GB2312" w:eastAsia="仿宋_GB2312"/>
        </w:rPr>
        <w:t>2、财务状况报告：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w:t>
      </w:r>
    </w:p>
    <w:p>
      <w:pPr>
        <w:pStyle w:val="null3"/>
      </w:pPr>
      <w:r>
        <w:rPr>
          <w:rFonts w:ascii="仿宋_GB2312" w:hAnsi="仿宋_GB2312" w:cs="仿宋_GB2312" w:eastAsia="仿宋_GB2312"/>
        </w:rPr>
        <w:t>3、税收缴纳证明：提供投标截止日前半年内已缴纳任意1个月的纳税证明或完税证明（任意税种），依法免税的单位应提供相关的证明材料；</w:t>
      </w:r>
    </w:p>
    <w:p>
      <w:pPr>
        <w:pStyle w:val="null3"/>
      </w:pPr>
      <w:r>
        <w:rPr>
          <w:rFonts w:ascii="仿宋_GB2312" w:hAnsi="仿宋_GB2312" w:cs="仿宋_GB2312" w:eastAsia="仿宋_GB2312"/>
        </w:rPr>
        <w:t>4、社会保障资金缴纳证明：提供投标截止日前半年内已缴存的任意1个月的社会保障资金缴存单据或社保机构开具的社会保险参保缴费情况证明；依法不需要缴纳社会保障资金的单位应提供相关证明材料；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5、书面声明：参加政府采购活动前三年内，在经营活动中无重大违法记录的书面声明；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信誉要求：提供《供应商信用记录书面声明函》（按格式填写，提供原件）。供应商未被列入“信用中国”网站记录的“失信被执行人”“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8、法定代表人授权委托书：法定代表人授权书及被授权人身份证明（法定代表人直接参与投标只需提供其身份证明）；</w:t>
      </w:r>
    </w:p>
    <w:p>
      <w:pPr>
        <w:pStyle w:val="null3"/>
      </w:pPr>
      <w:r>
        <w:rPr>
          <w:rFonts w:ascii="仿宋_GB2312" w:hAnsi="仿宋_GB2312" w:cs="仿宋_GB2312" w:eastAsia="仿宋_GB2312"/>
        </w:rPr>
        <w:t>9、公司资质及项目经理资格证书：供应商须具备建设行政主管部门颁发的公路工程施工总承包二级及以上资质，并具有安全生产许可证，以上证件合法有效；拟派项目经理须具备公路工程专业二级及以上注册建造师资格，具有有效的安全生产考核合格证书，且在本单位注册，无在建工程（提供承诺书）；</w:t>
      </w:r>
    </w:p>
    <w:p>
      <w:pPr>
        <w:pStyle w:val="null3"/>
      </w:pPr>
      <w:r>
        <w:rPr>
          <w:rFonts w:ascii="仿宋_GB2312" w:hAnsi="仿宋_GB2312" w:cs="仿宋_GB2312" w:eastAsia="仿宋_GB2312"/>
        </w:rPr>
        <w:t>10、本项目不接受联合体投标，不允许分包：供应商提供《非联合体不分包投标声明》，视为独立投标，不分包；</w:t>
      </w:r>
    </w:p>
    <w:p>
      <w:pPr>
        <w:pStyle w:val="null3"/>
      </w:pPr>
      <w:r>
        <w:rPr>
          <w:rFonts w:ascii="仿宋_GB2312" w:hAnsi="仿宋_GB2312" w:cs="仿宋_GB2312" w:eastAsia="仿宋_GB2312"/>
        </w:rPr>
        <w:t>11、书面声明：本项目为以工代赈项目，按县发改局《关于下达2026年省级苏陕协作项目资金计划的通知》(镇发改发[2026]38号)精神落实政策。</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镇安县发展改革局（本级）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镇安县前街100号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镇安县发展和改革局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13891415456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商洛华瑞诚项目管理咨询有限公司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商洛市商州区全兴紫苑6号楼1单元101室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郭春梅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13098221030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2011〕534号）的有关标准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镇安县发展改革局（本级）</w:t>
      </w:r>
      <w:r>
        <w:rPr>
          <w:rFonts w:ascii="仿宋_GB2312" w:hAnsi="仿宋_GB2312" w:cs="仿宋_GB2312" w:eastAsia="仿宋_GB2312"/>
        </w:rPr>
        <w:t>和</w:t>
      </w:r>
      <w:r>
        <w:rPr>
          <w:rFonts w:ascii="仿宋_GB2312" w:hAnsi="仿宋_GB2312" w:cs="仿宋_GB2312" w:eastAsia="仿宋_GB2312"/>
        </w:rPr>
        <w:t>商洛华瑞诚项目管理咨询有限公司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镇安县发展改革局（本级）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商洛华瑞诚项目管理咨询有限公司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镇安县发展改革局（本级）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商洛华瑞诚项目管理咨询有限公司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（4）构成本采购文件的各组成部分，未经采购人书面同意，供应商不得擅自复印或用于非本采购项目所需的其他目的。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严格按照图纸、工程量清单施工，工程质量达到验收合格标准，资料齐全完整，无质量缺陷。</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联系人：郭女士</w:t>
      </w:r>
    </w:p>
    <w:p>
      <w:pPr>
        <w:pStyle w:val="null3"/>
      </w:pPr>
      <w:r>
        <w:rPr>
          <w:rFonts w:ascii="仿宋_GB2312" w:hAnsi="仿宋_GB2312" w:cs="仿宋_GB2312" w:eastAsia="仿宋_GB2312"/>
        </w:rPr>
        <w:t>联系电话：13098221030</w:t>
      </w:r>
    </w:p>
    <w:p>
      <w:pPr>
        <w:pStyle w:val="null3"/>
      </w:pPr>
      <w:r>
        <w:rPr>
          <w:rFonts w:ascii="仿宋_GB2312" w:hAnsi="仿宋_GB2312" w:cs="仿宋_GB2312" w:eastAsia="仿宋_GB2312"/>
        </w:rPr>
        <w:t>地址：商洛市商州区全兴紫苑6号楼一单元101室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2,890,000.00</w:t>
      </w:r>
    </w:p>
    <w:p>
      <w:pPr>
        <w:pStyle w:val="null3"/>
      </w:pPr>
      <w:r>
        <w:rPr>
          <w:rFonts w:ascii="仿宋_GB2312" w:hAnsi="仿宋_GB2312" w:cs="仿宋_GB2312" w:eastAsia="仿宋_GB2312"/>
        </w:rPr>
        <w:t>采购包最高限价（元）: 2,890,000.00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改造米粮中心镇安置点道路1430米。</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标的名称：改造米粮中心镇安置点道路1430米。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工期：</w:t>
            </w:r>
            <w:r>
              <w:rPr>
                <w:rFonts w:ascii="仿宋_GB2312" w:hAnsi="仿宋_GB2312" w:cs="仿宋_GB2312" w:eastAsia="仿宋_GB2312"/>
                <w:sz w:val="21"/>
              </w:rPr>
              <w:t>120</w:t>
            </w:r>
            <w:r>
              <w:rPr>
                <w:rFonts w:ascii="仿宋_GB2312" w:hAnsi="仿宋_GB2312" w:cs="仿宋_GB2312" w:eastAsia="仿宋_GB2312"/>
                <w:sz w:val="21"/>
              </w:rPr>
              <w:t>日历天。</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质量要求：符合国家现行有关施工质量验收规范</w:t>
            </w:r>
            <w:r>
              <w:rPr>
                <w:rFonts w:ascii="仿宋_GB2312" w:hAnsi="仿宋_GB2312" w:cs="仿宋_GB2312" w:eastAsia="仿宋_GB2312"/>
                <w:sz w:val="21"/>
              </w:rPr>
              <w:t>“合格”要求。</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安全目标：杜绝安全责任事故，减少一般安全事故，力争安全事故为零</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4、付款方式：</w:t>
            </w:r>
            <w:r>
              <w:rPr>
                <w:rFonts w:ascii="仿宋_GB2312" w:hAnsi="仿宋_GB2312" w:cs="仿宋_GB2312" w:eastAsia="仿宋_GB2312"/>
                <w:sz w:val="21"/>
              </w:rPr>
              <w:t>合同签订正式开工后，甲方预付给乙方不超过合同总价款的</w:t>
            </w:r>
            <w:r>
              <w:rPr>
                <w:rFonts w:ascii="仿宋_GB2312" w:hAnsi="仿宋_GB2312" w:cs="仿宋_GB2312" w:eastAsia="仿宋_GB2312"/>
                <w:sz w:val="21"/>
              </w:rPr>
              <w:t xml:space="preserve">30%作为预付工程款；合同工程期内，按照工程施工进度支付，完成工程量80%，现场核实后，支付合同总金额的40.0%；竣工验收合格后支付工程决算价款的27%，剩余的3%作为质量保证金；质保期满，支付合同总金额的3.0%。 </w:t>
            </w:r>
            <w:r>
              <w:rPr>
                <w:rFonts w:ascii="仿宋_GB2312" w:hAnsi="仿宋_GB2312" w:cs="仿宋_GB2312" w:eastAsia="仿宋_GB2312"/>
                <w:sz w:val="21"/>
              </w:rPr>
              <w:t>最终支付方式以双方签订服务合同为准。</w:t>
            </w:r>
          </w:p>
          <w:p>
            <w:pPr>
              <w:pStyle w:val="null3"/>
              <w:ind w:firstLine="420"/>
              <w:jc w:val="both"/>
            </w:pPr>
            <w:r>
              <w:rPr>
                <w:rFonts w:ascii="仿宋_GB2312" w:hAnsi="仿宋_GB2312" w:cs="仿宋_GB2312" w:eastAsia="仿宋_GB2312"/>
                <w:sz w:val="21"/>
              </w:rPr>
              <w:t>5、结算方式:银行转账，乙方在接受付款前，开具相应度发票给甲方。</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项目以工代赈要求：本项目采用</w:t>
            </w:r>
            <w:r>
              <w:rPr>
                <w:rFonts w:ascii="仿宋_GB2312" w:hAnsi="仿宋_GB2312" w:cs="仿宋_GB2312" w:eastAsia="仿宋_GB2312"/>
                <w:sz w:val="21"/>
              </w:rPr>
              <w:t>“农村公益性基础设施建设+劳务报酬发放+就业技能培训+公益性岗位设置”的模式。在项目实施过程中将尽可能地提升劳务报酬比例，严格把握“务工是手段、赈济是目的”的政策内涵，确保以工代赈项目资金安排在有就业需求、劳务报酬能发放到位的地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群众务工组织（实质性要求）：吸纳米粮镇为主的群众参与工程项目建设。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严格按照县发改局《关于下达</w:t>
            </w:r>
            <w:r>
              <w:rPr>
                <w:rFonts w:ascii="仿宋_GB2312" w:hAnsi="仿宋_GB2312" w:cs="仿宋_GB2312" w:eastAsia="仿宋_GB2312"/>
                <w:sz w:val="21"/>
              </w:rPr>
              <w:t>2026年省级苏陕协作项目资金计划的通知》(镇发改发[2026]38号)文件落实政策，本项目采取“中标单位+劳务公司+当地群众”方式进行劳务组织。在施工过程中能用人工的尽量不用机械，能用当地群众的尽量不用专业队伍。吸纳务工人员以米粮镇的群众为主，预计带动当地群众务工66人，同时，结合项目所需劳动技能，采取“培训+上岗”的模式，开展劳务技能培训66人。项目建成后，针对困难群众设置公益性岗位2个。（投标人必须对此项作出书面承诺响应。无书面承诺，按无效投标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劳务报酬发放（实质性要求）：向米粮镇为主的群众发放劳务报酬不少于</w:t>
            </w:r>
            <w:r>
              <w:rPr>
                <w:rFonts w:ascii="仿宋_GB2312" w:hAnsi="仿宋_GB2312" w:cs="仿宋_GB2312" w:eastAsia="仿宋_GB2312"/>
                <w:sz w:val="21"/>
              </w:rPr>
              <w:t>125万元。（投标人必须对此项作出书面承诺响应。无书面承诺，按无效投标处理。）</w:t>
            </w:r>
          </w:p>
          <w:p>
            <w:pPr>
              <w:pStyle w:val="null3"/>
              <w:ind w:firstLine="422"/>
              <w:jc w:val="both"/>
            </w:pPr>
            <w:r>
              <w:rPr>
                <w:rFonts w:ascii="仿宋_GB2312" w:hAnsi="仿宋_GB2312" w:cs="仿宋_GB2312" w:eastAsia="仿宋_GB2312"/>
                <w:sz w:val="21"/>
                <w:b/>
              </w:rPr>
              <w:t>二、工程量清单编制依据</w:t>
            </w:r>
          </w:p>
          <w:p>
            <w:pPr>
              <w:pStyle w:val="null3"/>
              <w:ind w:firstLine="420"/>
              <w:jc w:val="both"/>
            </w:pPr>
            <w:r>
              <w:rPr>
                <w:rFonts w:ascii="仿宋_GB2312" w:hAnsi="仿宋_GB2312" w:cs="仿宋_GB2312" w:eastAsia="仿宋_GB2312"/>
                <w:sz w:val="21"/>
              </w:rPr>
              <w:t>1、“镇安县米粮镇中心镇安置区道路建设项目”预算书;</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“镇安县米粮镇中心镇安置区道路建设项目”一阶段施工图设计；</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《公路工程建设项目投资估算编制办法》</w:t>
            </w:r>
            <w:r>
              <w:rPr>
                <w:rFonts w:ascii="仿宋_GB2312" w:hAnsi="仿宋_GB2312" w:cs="仿宋_GB2312" w:eastAsia="仿宋_GB2312"/>
                <w:sz w:val="21"/>
              </w:rPr>
              <w:t>(JTG3820-2018);《公路工程建设项目概算预算编制办法》（JTG38</w:t>
            </w:r>
            <w:r>
              <w:rPr>
                <w:rFonts w:ascii="仿宋_GB2312" w:hAnsi="仿宋_GB2312" w:cs="仿宋_GB2312" w:eastAsia="仿宋_GB2312"/>
                <w:sz w:val="21"/>
              </w:rPr>
              <w:t>3</w:t>
            </w:r>
            <w:r>
              <w:rPr>
                <w:rFonts w:ascii="仿宋_GB2312" w:hAnsi="仿宋_GB2312" w:cs="仿宋_GB2312" w:eastAsia="仿宋_GB2312"/>
                <w:sz w:val="21"/>
              </w:rPr>
              <w:t>0-2018)）、《公路工程预算定额》(JTG/T3832-2018)、《公路工程机械台班费用定额》(JTG/T383</w:t>
            </w:r>
            <w:r>
              <w:rPr>
                <w:rFonts w:ascii="仿宋_GB2312" w:hAnsi="仿宋_GB2312" w:cs="仿宋_GB2312" w:eastAsia="仿宋_GB2312"/>
                <w:sz w:val="21"/>
              </w:rPr>
              <w:t>3</w:t>
            </w:r>
            <w:r>
              <w:rPr>
                <w:rFonts w:ascii="仿宋_GB2312" w:hAnsi="仿宋_GB2312" w:cs="仿宋_GB2312" w:eastAsia="仿宋_GB2312"/>
                <w:sz w:val="21"/>
              </w:rPr>
              <w:t>-2018)；</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商洛市工程造价管理信息；</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、市场价格信息。</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供应商针对本项目的其他技术服务要求，必须达到国家及行业现行技术规范标准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响应文件）。成交供应商在领取成交通知书时，须向采购代理机构另行提交纸质投标（响应）文件一套（包括正本1份、副本2份）；纸质投标（响应）文件须基于已提交的电子投标（响应）文件原文打印，按规范装订成册，确保与电子文件内容完全一致、无任何差异。地址：商洛市商州区全兴紫苑6号楼一单元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具有独立承担民事责任能力的法人、其他组织或自然人，提供合法有效的营业执照（事业单位提供事业单位法人证书，自然人提供身份证）；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提供投标截止日前半年内已缴纳任意1个月的纳税证明或完税证明（任意税种），依法免税的单位应提供相关的证明材料；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提供投标截止日前半年内已缴存的任意1个月的社会保障资金缴存单据或社保机构开具的社会保险参保缴费情况证明；依法不需要缴纳社会保障资金的单位应提供相关证明材料；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提供《供应商信用记录书面声明函》（按格式填写，提供原件）。供应商未被列入“信用中国”网站记录的“失信被执行人”“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法定代表人授权书及被授权人身份证明（法定代表人直接参与投标只需提供其身份证明）；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公司资质及项目经理资格证书</w:t>
            </w:r>
          </w:p>
        </w:tc>
        <w:tc>
          <w:tcPr>
            <w:tcW w:type="dxa" w:w="3322"/>
          </w:tcPr>
          <w:p>
            <w:pPr>
              <w:pStyle w:val="null3"/>
            </w:pPr>
            <w:r>
              <w:rPr>
                <w:rFonts w:ascii="仿宋_GB2312" w:hAnsi="仿宋_GB2312" w:cs="仿宋_GB2312" w:eastAsia="仿宋_GB2312"/>
              </w:rPr>
              <w:t>供应商须具备建设行政主管部门颁发的公路工程施工总承包二级及以上资质，并具有安全生产许可证，以上证件合法有效；拟派项目经理须具备公路工程专业二级及以上注册建造师资格，具有有效的安全生产考核合格证书，且在本单位注册，无在建工程（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供应商提供《非联合体不分包投标声明》，视为独立投标，不分包；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本项目为以工代赈项目，按县发改局《关于下达2026年省级苏陕协作项目资金计划的通知》(镇发改发[2026]38号)精神落实政策。</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有下列情形之一的，应在符合性审查时按照无效投标处理：（1）响应文件未按照磋商文件规定要求签署、盖章的；（2）投标有效期未满足磋商文件要求的； （3）报价超过磋商文件中规定的预算金额或者最高限价的； （4）对磋商文件商务、技术要求出现重大负偏离的； （5）法律、法规和招标文件规定的其他无效情形。</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供应商承诺书.docx 资格证明文件.docx 响应文件封面 项目团队人员配备及业绩.docx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① 总体部署合理（3分）； ② 施工流程逻辑清晰（3分）； ③ 针对本项目重难点提出具体技术措施（3分）； ④ 采用信息化手段（如智慧工地）进行管理（3分）。 每有一项未提供扣3分；每有一处缺陷（如内容缺项、非专门针对本项目、套用其他项目内容、前后表述矛盾等）扣1分。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① 进度计划网络图/横道图完整（2分）； ② 关键线路明确（2分）； ③ 承诺按招标文件工期完工（2分）。 每有一项未提供扣2分；每有一处缺陷（如内容缺项、非专门针对本项目、套用其他项目内容、前后表述矛盾等）扣0.5分。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环保与文明施工</w:t>
            </w:r>
          </w:p>
        </w:tc>
        <w:tc>
          <w:tcPr>
            <w:tcW w:type="dxa" w:w="2492"/>
          </w:tcPr>
          <w:p>
            <w:pPr>
              <w:pStyle w:val="null3"/>
            </w:pPr>
            <w:r>
              <w:rPr>
                <w:rFonts w:ascii="仿宋_GB2312" w:hAnsi="仿宋_GB2312" w:cs="仿宋_GB2312" w:eastAsia="仿宋_GB2312"/>
              </w:rPr>
              <w:t>① 扬尘治理“6个100%”措施落实（3分）； ② 渣土运输车辆冲洗及密闭措施（3分）； 每有一项未提供扣3分；每有一处缺陷（如内容缺项、非专门针对本项目、套用其他项目内容、前后表述矛盾等）扣1分。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①安全生产管理制度（2分）； ②配置安全组织机构（2分）； ③安全隐患排查、整改制度（2分）； ④应急救援方案等（2分）。 每有一项未提供扣2分；每有一处缺陷（如内容缺项、非专门针对本项目、套用其他项目内容、前后表述矛盾等）扣0.5分。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以工代赈落实措施</w:t>
            </w:r>
          </w:p>
        </w:tc>
        <w:tc>
          <w:tcPr>
            <w:tcW w:type="dxa" w:w="2492"/>
          </w:tcPr>
          <w:p>
            <w:pPr>
              <w:pStyle w:val="null3"/>
            </w:pPr>
            <w:r>
              <w:rPr>
                <w:rFonts w:ascii="仿宋_GB2312" w:hAnsi="仿宋_GB2312" w:cs="仿宋_GB2312" w:eastAsia="仿宋_GB2312"/>
              </w:rPr>
              <w:t>1. 本地群众务工组织措施（2分） 投标人针对本项目编制本地群众务工组织实施方案，明确中标后普通劳务岗位吸纳项目所在县域农村劳动力，优先吸纳脱贫人口、防止返贫监测对象、易地搬迁群众、低收入群体等重点对象的摸排对接、岗位分配、用工组织方式；方案内容完整、贴合项目实际、措施可行得2分；有方案但内容简单、措施一般得1分；未提供方案或方案不可行得0分。 注：本项仅评审中标后的实施计划，不要求投标阶段提供已签订劳务合同、人员身份证、人员花名册等已用工证明材料。 2. 劳务报酬发放及台账管理措施（2分） 具有劳务报酬核算、现场实名制考勤、务工人员台账建立、劳务报酬通过一卡通直发、杜绝劳务报酬克扣拖欠的完整管控措施；措施完善可落地得2分；有相关措施但不够完善得1分；未提供得0分。 3. 岗前培训与履约监督保障措施（2分） 包含务工人员岗前安全教育、简易技能培训计划；承诺接受建设单位、监理单位对以工代赈用工落实、劳务报酬执行情况全过程监督核查，并明确自身违约整改响应措施；方案完整合理得2分；有措施但不完善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针对本项目在施工过程中常见问题进行梳理，具有良好的解决方案并及时向采购人提出合理化建议，每提供一条有效且合理的建议得4分，满分8分。未提供不得分。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1.项目经理（3分） 拟派项目经理具有公路工程相关专业中级职称得1分，具有公路工程相关专业高级及以上职称得3分。需提供证书复印件。 2.项目总工（3分） 拟派项目总工具有公路工程相关专业中级职称得1分，具有公路工程相关专业高级及以上职称得3分。需提供证书复印件。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项目团队人员配备及业绩.docx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1、项目经理及总工业绩（6分） 拟派项目经理自 2023年1月1日以来，作为项目经理承接过类似项目。每提供1个得1.5分，最高3分。（时间以合同签订为准，提供施工合同及中标通知书复印件，且证明材料中必须体现该项目经理的姓名） 拟派项目总工自 2023年1月1日以来，作为项目总工承接过类似项目。每提供1个得1.5分，最高3分。（时间以合同签订为准，提供施工合同及中标通知书复印件，且证明材料中必须体现该项目总工的姓名） 2、企业业绩（12分） 供应商自 2023年1月1日以来，承接过的类似项目。每提供1个得3分，最高12分，未提供不得分。(时间以合同签订为准，提供施工合同及中标通知书复印件)</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项目团队人员配备及业绩.docx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满足磋商文件要求且最后报价最低的供应商的价格为基准价，其价格为满分，其他供应商的价格分统一按照下列公式计算： 投标报价得分=（评标基准价/投标报价）×价格分值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详见附件：项目团队人员配备及业绩.docx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