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版本号：2026-ZWJSXXA-F1007-代理20260715001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长安区X105半引路县乡公路改建工程监理及全过程管理咨询服务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2026-ZWJSXXA-F1007-代理</w:t>
      </w:r>
      <w:r>
        <w:br/>
      </w:r>
      <w:r>
        <w:br/>
      </w:r>
      <w:r>
        <w:br/>
      </w:r>
    </w:p>
    <w:p>
      <w:pPr>
        <w:pStyle w:val="null3"/>
        <w:jc w:val="center"/>
        <w:outlineLvl w:val="2"/>
      </w:pPr>
      <w:r>
        <w:rPr>
          <w:rFonts w:ascii="仿宋_GB2312" w:hAnsi="仿宋_GB2312" w:cs="仿宋_GB2312" w:eastAsia="仿宋_GB2312"/>
          <w:sz w:val="28"/>
          <w:b/>
        </w:rPr>
        <w:t>西安市长安区交通运输局</w:t>
      </w:r>
    </w:p>
    <w:p>
      <w:pPr>
        <w:pStyle w:val="null3"/>
        <w:jc w:val="center"/>
        <w:outlineLvl w:val="2"/>
      </w:pPr>
      <w:r>
        <w:rPr>
          <w:rFonts w:ascii="仿宋_GB2312" w:hAnsi="仿宋_GB2312" w:cs="仿宋_GB2312" w:eastAsia="仿宋_GB2312"/>
          <w:sz w:val="28"/>
          <w:b/>
        </w:rPr>
        <w:t>陕西中外建工程管理有限公司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陕西中外建工程管理有限公司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西安市长安区交通运输局</w:t>
      </w:r>
      <w:r>
        <w:rPr>
          <w:rFonts w:ascii="仿宋_GB2312" w:hAnsi="仿宋_GB2312" w:cs="仿宋_GB2312" w:eastAsia="仿宋_GB2312"/>
        </w:rPr>
        <w:t>委托，拟对</w:t>
      </w:r>
      <w:r>
        <w:rPr>
          <w:rFonts w:ascii="仿宋_GB2312" w:hAnsi="仿宋_GB2312" w:cs="仿宋_GB2312" w:eastAsia="仿宋_GB2312"/>
        </w:rPr>
        <w:t>长安区X105半引路县乡公路改建工程监理及全过程管理咨询服务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2026-ZWJSXXA-F1007-代理</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长安区X105半引路县乡公路改建工程监理及全过程管理咨询服务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起点位于长安灞桥交界处王乐村K6+688，与旧路分离后在旧路南侧设新线，下穿西康线，沿西十高铁南侧设线，在师村南侧下穿西十、西康高铁后折向东南，下穿动车走行线后继续沿师村、向阳村南侧、站区北侧设线，在郭村马砲路交叉口与旧路相接，沿旧路经咀头村、鸣犊街道、张寨村、东堡村等，终点位于引镇街道 K20+522。改建路线全长13.043公里，其中新建路段3.837公里。K13+545～K14+336段于2025年进行了改建，路基宽度8.5米，本次改建工程不含该段。本次仅对K10+525-K13+545、K14+336-K20+522段进行招标。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采购包1（长安区X105半引路县乡公路改建工程监理及全过程管理咨询服务）：属于专门面向中小企业采购。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2、供应商具备资质：具备交通运输主管部门核发的工程监理综合资质或公路工程专业乙级及以上监理资质。</w:t>
      </w:r>
    </w:p>
    <w:p>
      <w:pPr>
        <w:pStyle w:val="null3"/>
      </w:pPr>
      <w:r>
        <w:rPr>
          <w:rFonts w:ascii="仿宋_GB2312" w:hAnsi="仿宋_GB2312" w:cs="仿宋_GB2312" w:eastAsia="仿宋_GB2312"/>
        </w:rPr>
        <w:t>3、拟派项目负责人：须具有交通运输部颁发的公路工程专业监理工程师资格，提供2026年1月至今任意1个月的社保缴费证明复印件并加盖公章。</w:t>
      </w:r>
    </w:p>
    <w:p>
      <w:pPr>
        <w:pStyle w:val="null3"/>
      </w:pPr>
      <w:r>
        <w:rPr>
          <w:rFonts w:ascii="仿宋_GB2312" w:hAnsi="仿宋_GB2312" w:cs="仿宋_GB2312" w:eastAsia="仿宋_GB2312"/>
        </w:rPr>
        <w:t>4、拟派总监理工程师：须具有交通运输部颁发的公路工程专业监理工程师资格，提供2026年1月至今任意1个月的社保缴费证明复印件并加盖公章。</w:t>
      </w:r>
    </w:p>
    <w:p>
      <w:pPr>
        <w:pStyle w:val="null3"/>
      </w:pPr>
      <w:r>
        <w:rPr>
          <w:rFonts w:ascii="仿宋_GB2312" w:hAnsi="仿宋_GB2312" w:cs="仿宋_GB2312" w:eastAsia="仿宋_GB2312"/>
        </w:rPr>
        <w:t>5、财务状况报告：提供2025年度经会计事务所或审计机构出具的赋码财务审计报告，并附通过注册会计师行业统一监管平台（http://acc.mof.gov.cn）报备并相应取得全国统一的验证码提供查询截图（成立时间至提交响应文件截止时间不足一年的可提供成立后任意时段的资产负债表），或其递交响应文件截止之日前三个月内基本开户银行出具的资信证明及基本存款账户信息，或信用担保机构出具的投标担保函(以上三种形式的资料提供任何一种即可）。</w:t>
      </w:r>
    </w:p>
    <w:p>
      <w:pPr>
        <w:pStyle w:val="null3"/>
      </w:pPr>
      <w:r>
        <w:rPr>
          <w:rFonts w:ascii="仿宋_GB2312" w:hAnsi="仿宋_GB2312" w:cs="仿宋_GB2312" w:eastAsia="仿宋_GB2312"/>
        </w:rPr>
        <w:t>6、书面声明：提供书面声明，包括声明具有履行合同所必需的设备和专业技术能力。</w:t>
      </w:r>
    </w:p>
    <w:p>
      <w:pPr>
        <w:pStyle w:val="null3"/>
      </w:pPr>
      <w:r>
        <w:rPr>
          <w:rFonts w:ascii="仿宋_GB2312" w:hAnsi="仿宋_GB2312" w:cs="仿宋_GB2312" w:eastAsia="仿宋_GB2312"/>
        </w:rPr>
        <w:t>7、社保缴纳证明：提供递交响应文件截止之日前一年内任意一个月的社会保障资金缴存单据或社保机构开具的社会保险参保缴费情况证明。依法不需要缴纳社会保障资金的供应商应提供相关文件证明。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9、近三年无重大违法、违纪书面声明：提供《近三年无重大违法、违纪书面声明》。</w:t>
      </w:r>
    </w:p>
    <w:p>
      <w:pPr>
        <w:pStyle w:val="null3"/>
      </w:pPr>
      <w:r>
        <w:rPr>
          <w:rFonts w:ascii="仿宋_GB2312" w:hAnsi="仿宋_GB2312" w:cs="仿宋_GB2312" w:eastAsia="仿宋_GB2312"/>
        </w:rPr>
        <w:t>10、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12、法定代表人授权委托书：法定代表人参加磋商的，须提供本人身份证复印件（附在资格证明文件中）；法定代表人授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13、本项目不接受联合体磋商，不允许分包：供应商应提供《非联合体不分包磋商声明》，视为独立磋商，不分包。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长安区青年街42号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西安市长安区交通运输局负责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85292304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陕西中外建工程管理有限公司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陕西省西安市未央区陕西省西安市经济技术开发区风城五路 123号秦创原软科中心A座1703号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18710712520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代理服务费收费标准：招标代理服务费的收取按照国家计委颁布的《招标代理服务收费管理暂行办法》（计价格[2002]1980号）和（发改办价格[2003]857号）中服务类收费标准收取。 确定成交人后3日内由成交人一次性支付给采购代理机构。 招标代理服务费收款账户信息： 开户名称：陕西中外建工程管理有限公司 开户行名称：中国工商银行股份有限公司西安南大街支行 账号：3700020109200240597 转账附言：“项目编号”代理服务费。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西安市长安区交通运输局</w:t>
      </w:r>
      <w:r>
        <w:rPr>
          <w:rFonts w:ascii="仿宋_GB2312" w:hAnsi="仿宋_GB2312" w:cs="仿宋_GB2312" w:eastAsia="仿宋_GB2312"/>
        </w:rPr>
        <w:t>和</w:t>
      </w:r>
      <w:r>
        <w:rPr>
          <w:rFonts w:ascii="仿宋_GB2312" w:hAnsi="仿宋_GB2312" w:cs="仿宋_GB2312" w:eastAsia="仿宋_GB2312"/>
        </w:rPr>
        <w:t>陕西中外建工程管理有限公司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陕西中外建工程管理有限公司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陕西中外建工程管理有限公司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联系人：胡雪艳</w:t>
      </w:r>
    </w:p>
    <w:p>
      <w:pPr>
        <w:pStyle w:val="null3"/>
      </w:pPr>
      <w:r>
        <w:rPr>
          <w:rFonts w:ascii="仿宋_GB2312" w:hAnsi="仿宋_GB2312" w:cs="仿宋_GB2312" w:eastAsia="仿宋_GB2312"/>
        </w:rPr>
        <w:t>联系电话：18710712520</w:t>
      </w:r>
    </w:p>
    <w:p>
      <w:pPr>
        <w:pStyle w:val="null3"/>
      </w:pPr>
      <w:r>
        <w:rPr>
          <w:rFonts w:ascii="仿宋_GB2312" w:hAnsi="仿宋_GB2312" w:cs="仿宋_GB2312" w:eastAsia="仿宋_GB2312"/>
        </w:rPr>
        <w:t>地址：西安市凤城五路123号秦创原软科中心A座1703号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起点位于长安灞桥交界处王乐村K6+688，与旧路分离后在旧路南侧设新线，下穿西康线，沿西十高铁南侧设线，在师村南侧下穿西十、西康高铁后折向东南，下穿动车走行线后继续沿师村、向阳村南侧、站区北侧设线，在郭村马砲路交叉口与旧路相接，沿旧路经咀头村、鸣犊街道、张寨村、东堡村等，终点位于引镇街道 K20+522。改建路线全长13.043公里，其中新建路段3.837公里。K13+545～K14+336段于2025年进行了改建，路基宽度8.5米，本次改建工程不含该段。本次仅对K10+525-K13+545、K14+336-K20+522段进行招标。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834,900.00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工程监理及全过程项目管理咨询服务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标的名称：工程监理及全过程项目管理咨询服务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25"/>
              <w:gridCol w:w="1125"/>
              <w:gridCol w:w="1566"/>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对长安区</w:t>
                  </w:r>
                  <w:r>
                    <w:rPr>
                      <w:rFonts w:ascii="仿宋_GB2312" w:hAnsi="仿宋_GB2312" w:cs="仿宋_GB2312" w:eastAsia="仿宋_GB2312"/>
                      <w:sz w:val="19"/>
                    </w:rPr>
                    <w:t>X105半引路县乡公路改建工程，进行</w:t>
                  </w:r>
                  <w:r>
                    <w:rPr>
                      <w:rFonts w:ascii="仿宋_GB2312" w:hAnsi="仿宋_GB2312" w:cs="仿宋_GB2312" w:eastAsia="仿宋_GB2312"/>
                      <w:sz w:val="19"/>
                    </w:rPr>
                    <w:t>监理及全过程管理咨询服务</w:t>
                  </w:r>
                  <w:r>
                    <w:rPr>
                      <w:rFonts w:ascii="仿宋_GB2312" w:hAnsi="仿宋_GB2312" w:cs="仿宋_GB2312" w:eastAsia="仿宋_GB2312"/>
                      <w:sz w:val="19"/>
                    </w:rPr>
                    <w:t>，</w:t>
                  </w:r>
                  <w:r>
                    <w:rPr>
                      <w:rFonts w:ascii="仿宋_GB2312" w:hAnsi="仿宋_GB2312" w:cs="仿宋_GB2312" w:eastAsia="仿宋_GB2312"/>
                      <w:sz w:val="19"/>
                    </w:rPr>
                    <w:t>直至项目竣工验收</w:t>
                  </w:r>
                  <w:r>
                    <w:rPr>
                      <w:rFonts w:ascii="仿宋_GB2312" w:hAnsi="仿宋_GB2312" w:cs="仿宋_GB2312" w:eastAsia="仿宋_GB2312"/>
                      <w:sz w:val="19"/>
                    </w:rPr>
                    <w:t>，满足相关技术规范标准。</w:t>
                  </w:r>
                </w:p>
                <w:p>
                  <w:pPr>
                    <w:pStyle w:val="null3"/>
                    <w:ind w:firstLine="480"/>
                  </w:pPr>
                  <w:r>
                    <w:rPr>
                      <w:rFonts w:ascii="仿宋_GB2312" w:hAnsi="仿宋_GB2312" w:cs="仿宋_GB2312" w:eastAsia="仿宋_GB2312"/>
                      <w:sz w:val="19"/>
                    </w:rPr>
                    <w:t>二、</w:t>
                  </w:r>
                  <w:r>
                    <w:rPr>
                      <w:rFonts w:ascii="仿宋_GB2312" w:hAnsi="仿宋_GB2312" w:cs="仿宋_GB2312" w:eastAsia="仿宋_GB2312"/>
                      <w:sz w:val="19"/>
                    </w:rPr>
                    <w:t>阶段范围包括：施工准备阶段、施工阶段、验收与缺陷责任期阶段。</w:t>
                  </w:r>
                </w:p>
                <w:p>
                  <w:pPr>
                    <w:pStyle w:val="null3"/>
                    <w:ind w:firstLine="480"/>
                  </w:pPr>
                  <w:r>
                    <w:rPr>
                      <w:rFonts w:ascii="仿宋_GB2312" w:hAnsi="仿宋_GB2312" w:cs="仿宋_GB2312" w:eastAsia="仿宋_GB2312"/>
                      <w:sz w:val="19"/>
                    </w:rPr>
                    <w:t>三、</w:t>
                  </w:r>
                  <w:r>
                    <w:rPr>
                      <w:rFonts w:ascii="仿宋_GB2312" w:hAnsi="仿宋_GB2312" w:cs="仿宋_GB2312" w:eastAsia="仿宋_GB2312"/>
                      <w:sz w:val="19"/>
                    </w:rPr>
                    <w:t>工作范围包括：施工图设计范围内全部工程施工准备阶段、施工阶段、交（竣）工验收及缺陷责任期阶段的监理及项目管理工作，涵盖施工过程质量控制、费用与支付控制、环境保护、施工安全及交通保畅。</w:t>
                  </w:r>
                </w:p>
                <w:p>
                  <w:pPr>
                    <w:pStyle w:val="null3"/>
                    <w:ind w:firstLine="480"/>
                  </w:pPr>
                  <w:r>
                    <w:rPr>
                      <w:rFonts w:ascii="仿宋_GB2312" w:hAnsi="仿宋_GB2312" w:cs="仿宋_GB2312" w:eastAsia="仿宋_GB2312"/>
                      <w:sz w:val="19"/>
                    </w:rPr>
                    <w:t>四、</w:t>
                  </w:r>
                  <w:r>
                    <w:rPr>
                      <w:rFonts w:ascii="仿宋_GB2312" w:hAnsi="仿宋_GB2312" w:cs="仿宋_GB2312" w:eastAsia="仿宋_GB2312"/>
                      <w:sz w:val="19"/>
                    </w:rPr>
                    <w:t>监理依据</w:t>
                  </w:r>
                  <w:r>
                    <w:rPr>
                      <w:rFonts w:ascii="仿宋_GB2312" w:hAnsi="仿宋_GB2312" w:cs="仿宋_GB2312" w:eastAsia="仿宋_GB2312"/>
                      <w:sz w:val="19"/>
                    </w:rPr>
                    <w:t>：</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1）《中华人民共和国建筑法》；</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2）国务院令第279号《建设工程质量管理条例》；</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3）国务院令第393号《建设工程安全生产管理条例》；</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4）《公路工程监理规范》（JTG G10-2016)；</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5）《公路工程质量检验评定标准》（JTG F80/1-2017)；</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6）施工合同、监理合同及其他合同文件；项目施工图纸、地质勘察资料、项目专用技术规范及技术说明，包括《设计交底》，《图纸会审记录》等；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7）承包人编制的经其技术负责人批准并经委托人、监理人审查同意的施工组织设计 ;</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8）由监理人批准的《监理规划》，监理实施细则及其他与工程有关的资料；</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9）工程实施过程中有关的决议、备忘录、会议记录、函电及其他有效的文字说明等 ;</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10）其他监理依据。</w:t>
                  </w:r>
                </w:p>
                <w:p>
                  <w:pPr>
                    <w:pStyle w:val="null3"/>
                    <w:ind w:firstLine="480"/>
                  </w:pPr>
                  <w:r>
                    <w:rPr>
                      <w:rFonts w:ascii="仿宋_GB2312" w:hAnsi="仿宋_GB2312" w:cs="仿宋_GB2312" w:eastAsia="仿宋_GB2312"/>
                      <w:sz w:val="19"/>
                    </w:rPr>
                    <w:t>五、</w:t>
                  </w:r>
                  <w:r>
                    <w:rPr>
                      <w:rFonts w:ascii="仿宋_GB2312" w:hAnsi="仿宋_GB2312" w:cs="仿宋_GB2312" w:eastAsia="仿宋_GB2312"/>
                      <w:sz w:val="19"/>
                    </w:rPr>
                    <w:t>监理人需要自备的工作条件</w:t>
                  </w:r>
                  <w:r>
                    <w:rPr>
                      <w:rFonts w:ascii="仿宋_GB2312" w:hAnsi="仿宋_GB2312" w:cs="仿宋_GB2312" w:eastAsia="仿宋_GB2312"/>
                      <w:sz w:val="19"/>
                    </w:rPr>
                    <w:t>：</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）监理人自备的工作手册：如本项目必备的规范标准、图集等；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）监理人自备的办公设备：如计算机、软件、投影、打印机、复印机、照相机等；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）监理人自备的交通工具：如出行车辆等；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）监理人自备的现场办公设施：如办公桌椅、文件柜等；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）监理人自备的安全设施：如安全帽、安全鞋等；</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）监理人自备的试验检测仪器、设备、工具；</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）监理人自备的试验用房、样品用房。</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1、供应商提供的服务，必须是符合国家有关标准要求，并满足磋商文件规定的价格、完成期限、售后服务及供应商须承担的技术支持和磋商文件规定的其它伴随服务等要求。 2、采购人有权拒绝接受任何不合格的服务，由此产生的费用及相关后果均由供应商自行承担。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150日历天，缺陷责任期2年。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，经甲方确认后，达到付款条件起20个工作日内，支付合同总金额的40.0%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进度款，工程结算审计完成后，经甲方确认后，达到付款条件起20个工作日内，支付合同总金额的40.0%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进度款，工程竣工验收合格、所有竣工资料移交备案后，经甲方确认后，达到付款条件起20个工作日内，支付合同总金额的17.0%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进度款，缺陷责任期满30日内，经甲方确认后，达到付款条件起20个工作日内，支付合同总金额的3.0%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详⻅合同条款约定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最高限价为834900.00元，建安费暂定为：26442100.00元，待全部工作完成（包括监理资料移交）后，以最终确定的建安费为基数乘以折算费率计算全部费用，甲乙双方按照合同付款方式约定办理结算并支付。供应商根据工程监理服务范围、项目管理全过程咨询工作范围、市场价相关信息以及企业自身情况，自主报价，并折算成费率。折算费率=投标总报价/建安工程费×100%。 （二）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三）为顺利推进政府采购电子化交易平台应用工作，供应商需要在线提交所有通过电子化交易平台实施的政府采购项目的投标文件，同时，成交供应商应在成交通知书发出后3日内向代理机构提交纸质版投标文件，正本壹份、副本贰套及电子版1份（签字盖章扫描PDF和word文档格式，U盘存储标明单位名称）。线上电子投标文件与纸质投标文件一致。 （四）落实政府采购政策：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 （五）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供应商具备资质</w:t>
            </w:r>
          </w:p>
        </w:tc>
        <w:tc>
          <w:tcPr>
            <w:tcW w:type="dxa" w:w="3322"/>
          </w:tcPr>
          <w:p>
            <w:pPr>
              <w:pStyle w:val="null3"/>
            </w:pPr>
            <w:r>
              <w:rPr>
                <w:rFonts w:ascii="仿宋_GB2312" w:hAnsi="仿宋_GB2312" w:cs="仿宋_GB2312" w:eastAsia="仿宋_GB2312"/>
              </w:rPr>
              <w:t>具备交通运输主管部门核发的工程监理综合资质或公路工程专业乙级及以上监理资质。</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须具有交通运输部颁发的公路工程专业监理工程师资格，提供2026年1月至今任意1个月的社保缴费证明复印件并加盖公章。</w:t>
            </w:r>
          </w:p>
        </w:tc>
        <w:tc>
          <w:tcPr>
            <w:tcW w:type="dxa" w:w="1661"/>
          </w:tcPr>
          <w:p>
            <w:pPr>
              <w:pStyle w:val="null3"/>
            </w:pPr>
            <w:r>
              <w:rPr>
                <w:rFonts w:ascii="仿宋_GB2312" w:hAnsi="仿宋_GB2312" w:cs="仿宋_GB2312" w:eastAsia="仿宋_GB2312"/>
              </w:rPr>
              <w:t>供应商资格条件证明文件 拟投入本项目的人员配置一览表 其他</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须具有交通运输部颁发的公路工程专业监理工程师资格，提供2026年1月至今任意1个月的社保缴费证明复印件并加盖公章。</w:t>
            </w:r>
          </w:p>
        </w:tc>
        <w:tc>
          <w:tcPr>
            <w:tcW w:type="dxa" w:w="1661"/>
          </w:tcPr>
          <w:p>
            <w:pPr>
              <w:pStyle w:val="null3"/>
            </w:pPr>
            <w:r>
              <w:rPr>
                <w:rFonts w:ascii="仿宋_GB2312" w:hAnsi="仿宋_GB2312" w:cs="仿宋_GB2312" w:eastAsia="仿宋_GB2312"/>
              </w:rPr>
              <w:t>供应商资格条件证明文件 拟投入本项目的人员配置一览表 其他</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事务所或审计机构出具的赋码财务审计报告，并附通过注册会计师行业统一监管平台（http://acc.mof.gov.cn）报备并相应取得全国统一的验证码提供查询截图（成立时间至提交响应文件截止时间不足一年的可提供成立后任意时段的资产负债表），或其递交响应文件截止之日前三个月内基本开户银行出具的资信证明及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供应商资格条件证明文件 其他</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供应商资格条件证明文件 其他</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详细报价表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供应商资格条件证明文件 信誉要求 中小企业声明函 服务内容及服务要求应答表 报价表 其他 响应文件封面 商务条款响应说明 拟投入本项目的人员配置一览表 供应商近三年类似项目业绩一览表 残疾人福利性单位声明函 拟投入试验检测设备一览表 服务方案 标的清单 拟投入项目负责人业绩一览表 响应函 监狱企业的证明文件 详细报价表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供应商资格条件证明文件 信誉要求 中小企业声明函 服务内容及服务要求应答表 报价表 其他 响应文件封面 商务条款响应说明 拟投入本项目的人员配置一览表 供应商近三年类似项目业绩一览表 残疾人福利性单位声明函 拟投入试验检测设备一览表 服务方案 标的清单 拟投入项目负责人业绩一览表 响应函 监狱企业的证明文件 详细报价表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（4）未超出磋商文件规定的最高限价。</w:t>
            </w:r>
          </w:p>
        </w:tc>
        <w:tc>
          <w:tcPr>
            <w:tcW w:type="dxa" w:w="1661"/>
          </w:tcPr>
          <w:p>
            <w:pPr>
              <w:pStyle w:val="null3"/>
            </w:pPr>
            <w:r>
              <w:rPr>
                <w:rFonts w:ascii="仿宋_GB2312" w:hAnsi="仿宋_GB2312" w:cs="仿宋_GB2312" w:eastAsia="仿宋_GB2312"/>
              </w:rPr>
              <w:t>标的清单 报价表 详细报价表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技术、商务条款响应</w:t>
            </w:r>
          </w:p>
        </w:tc>
        <w:tc>
          <w:tcPr>
            <w:tcW w:type="dxa" w:w="3322"/>
          </w:tcPr>
          <w:p>
            <w:pPr>
              <w:pStyle w:val="null3"/>
            </w:pPr>
            <w:r>
              <w:rPr>
                <w:rFonts w:ascii="仿宋_GB2312" w:hAnsi="仿宋_GB2312" w:cs="仿宋_GB2312" w:eastAsia="仿宋_GB2312"/>
              </w:rPr>
              <w:t>完全理解接受磋商文件技术及商务条款。</w:t>
            </w:r>
          </w:p>
        </w:tc>
        <w:tc>
          <w:tcPr>
            <w:tcW w:type="dxa" w:w="1661"/>
          </w:tcPr>
          <w:p>
            <w:pPr>
              <w:pStyle w:val="null3"/>
            </w:pPr>
            <w:r>
              <w:rPr>
                <w:rFonts w:ascii="仿宋_GB2312" w:hAnsi="仿宋_GB2312" w:cs="仿宋_GB2312" w:eastAsia="仿宋_GB2312"/>
              </w:rPr>
              <w:t>商务条款响应说明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供应商资格条件证明文件 信誉要求 中小企业声明函 服务内容及服务要求应答表 报价表 其他 响应文件封面 商务条款响应说明 拟投入本项目的人员配置一览表 供应商近三年类似项目业绩一览表 残疾人福利性单位声明函 拟投入试验检测设备一览表 服务方案 标的清单 拟投入项目负责人业绩一览表 响应函 监狱企业的证明文件 详细报价表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1.评审内容： ①对本项目整体的项目管理方案； ②对本项目安全管理措施和安全管理制度。 2.评审标准 ①全面性：掌握项目各项工作要求，内容全面完善。 ②准确性：了解项目真实情况。③针对性：能够紧扣项目实际情况，内容科学合理； 3.赋分标准： ①对本项目整体的项目管理方案：每完全满足一项评审标准得2分，满分6分；有一项缺陷扣0.5分。 ②对本项目安全管理措施和安全管理制度：每完全满足一项评审标准得2分，满分6分；有一项缺陷扣0.5分。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质量控制及进度控制措施</w:t>
            </w:r>
          </w:p>
        </w:tc>
        <w:tc>
          <w:tcPr>
            <w:tcW w:type="dxa" w:w="2492"/>
          </w:tcPr>
          <w:p>
            <w:pPr>
              <w:pStyle w:val="null3"/>
            </w:pPr>
            <w:r>
              <w:rPr>
                <w:rFonts w:ascii="仿宋_GB2312" w:hAnsi="仿宋_GB2312" w:cs="仿宋_GB2312" w:eastAsia="仿宋_GB2312"/>
              </w:rPr>
              <w:t>1.评审内容： ①质量控制措施； ②进度控制措施。 2.评审标准 ①全面性：掌握项目各项工作要求，内容全面完善。 ②准确性：了解项目真实情况。③针对性：能够紧扣项目实际情况，内容科学合理； 3.赋分标准： ①质量控制措施：每完全满足一项评审标准得1分，满分3分；有一项缺陷扣0.5分。 ②进度控制措施：每完全满足一项评审标准得1分，满分3分；有一项缺陷扣0.5分。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监理服务方案</w:t>
            </w:r>
          </w:p>
        </w:tc>
        <w:tc>
          <w:tcPr>
            <w:tcW w:type="dxa" w:w="2492"/>
          </w:tcPr>
          <w:p>
            <w:pPr>
              <w:pStyle w:val="null3"/>
            </w:pPr>
            <w:r>
              <w:rPr>
                <w:rFonts w:ascii="仿宋_GB2312" w:hAnsi="仿宋_GB2312" w:cs="仿宋_GB2312" w:eastAsia="仿宋_GB2312"/>
              </w:rPr>
              <w:t>1.评审内容： ①对本项目各阶段（详细设计阶段、实施阶段监理、验收阶段）的监理服务方案； ②对本项目监理工作制度（现场监理工作制度、内部工作制度、相关服务工作制度）的服务方案。 2.评审标准 ①全面性：掌握项目各项工作要求，内容全面完善。 ②准确性：了解项目真实情况。③针对性：能够紧扣项目实际情况，内容科学合理； 3.赋分标准： ①对本项目各阶段（详细设计阶段、实施阶段监理、验收阶段）的监理服务方案：每满足一项评审内容得2分，满分6分；有一项缺陷扣0.5分。 ②对本项目监理工作制度（现场监理工作制度、内部工作制度、相关服务工作制度）的服务方案：每满足一项评审内容得2分，满分6分；有一项缺陷扣0.5分。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费用控制及合同管理措施</w:t>
            </w:r>
          </w:p>
        </w:tc>
        <w:tc>
          <w:tcPr>
            <w:tcW w:type="dxa" w:w="2492"/>
          </w:tcPr>
          <w:p>
            <w:pPr>
              <w:pStyle w:val="null3"/>
            </w:pPr>
            <w:r>
              <w:rPr>
                <w:rFonts w:ascii="仿宋_GB2312" w:hAnsi="仿宋_GB2312" w:cs="仿宋_GB2312" w:eastAsia="仿宋_GB2312"/>
              </w:rPr>
              <w:t>1.评审内容： ①费用控制措施； ②合同管理措施。 2.评审标准 ①准确性：了解项目真实情况，措施详细。 ②针对性：能够紧扣项目实际情况，内容科学合理； 3.赋分标准： ①费用控制措施：每满足一项评审内容得1分，满分2分；有一项缺陷扣0.5分。 ②合同管理措施：每满足一项评审内容得1分，满分2分；有一项缺陷扣0.5分。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 对本项目的工作重点、难点分析及解决方案。 2.评审标准 ①完整性：方案须全面，对评审内容中的要求有详细描述及说明； ②可实施性：切合本项目实际情况，实施步骤清晰、合理； ③针对性：方案能够紧扣项目实际情况，内容科学合理。 3.赋分标准： 每满足一项评审内容得2分，满分6分；有一项缺陷扣0.5分。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拟投入本项目的人员配置</w:t>
            </w:r>
          </w:p>
        </w:tc>
        <w:tc>
          <w:tcPr>
            <w:tcW w:type="dxa" w:w="2492"/>
          </w:tcPr>
          <w:p>
            <w:pPr>
              <w:pStyle w:val="null3"/>
            </w:pPr>
            <w:r>
              <w:rPr>
                <w:rFonts w:ascii="仿宋_GB2312" w:hAnsi="仿宋_GB2312" w:cs="仿宋_GB2312" w:eastAsia="仿宋_GB2312"/>
              </w:rPr>
              <w:t>1、拟派项目负责人 具有“公路工程”相关专业中级职称得1分，具有“公路工程”相关专业高级及以上职称得2分，本项满分2分。 2、拟派总监理工程师 具有“公路工程”相关专业中级及以上职称得2分，本项满分2分。 3、团队成员（除拟派项目负责人及拟派总监理工程师外） 拟派人员数量在10人及以上的得6分，10人（不含）以下5人及以上的得3分，5人（不含）以下的得1分； 其中团队人员中至少包含专业工程师1人；安全监理培训证1人；一级造价工程师（公路专业）1人；试验检测工程师1人；监理员1人，配备齐全的得10分，每少一个专业的扣2分，该项扣完为止。 3、须提供以下证明文件： ①职称证书或注册证书复印件并加盖公章； ②2026年1月至今任意1个月的社保缴费证明复印件并加盖公章； ③不提供或提供不符合要求的，不得分。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拟投入本项目的人员配置一览表</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拟投入项目负责人业绩</w:t>
            </w:r>
          </w:p>
        </w:tc>
        <w:tc>
          <w:tcPr>
            <w:tcW w:type="dxa" w:w="2492"/>
          </w:tcPr>
          <w:p>
            <w:pPr>
              <w:pStyle w:val="null3"/>
            </w:pPr>
            <w:r>
              <w:rPr>
                <w:rFonts w:ascii="仿宋_GB2312" w:hAnsi="仿宋_GB2312" w:cs="仿宋_GB2312" w:eastAsia="仿宋_GB2312"/>
              </w:rPr>
              <w:t>项目负责人近三年（2023年6月1日至今）每增加一项类似业绩加2分，最高加4分。须提供合同协议书，未提供不得分。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拟投入项目负责人业绩一览表</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拟投入试验检测设备</w:t>
            </w:r>
          </w:p>
        </w:tc>
        <w:tc>
          <w:tcPr>
            <w:tcW w:type="dxa" w:w="2492"/>
          </w:tcPr>
          <w:p>
            <w:pPr>
              <w:pStyle w:val="null3"/>
            </w:pPr>
            <w:r>
              <w:rPr>
                <w:rFonts w:ascii="仿宋_GB2312" w:hAnsi="仿宋_GB2312" w:cs="仿宋_GB2312" w:eastAsia="仿宋_GB2312"/>
              </w:rPr>
              <w:t>拟投入试验检测设备至少包含：①压力机、②万能材料试验机、③路面取芯机、④标准筛、⑤振实台、⑥马歇尔击实仪、⑦灌砂仪、⑧全站仪、⑨水准仪、⑩经纬仪、⑪连续式平整度仪、⑫水泥胶砂流动度测定仪、⑬回弹仪、⑭弯沉仪。 提供齐全的得7分，每少一个扣0.5分，未提供的不得分。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拟投入试验检测设备一览表</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信誉要求</w:t>
            </w:r>
          </w:p>
        </w:tc>
        <w:tc>
          <w:tcPr>
            <w:tcW w:type="dxa" w:w="2492"/>
          </w:tcPr>
          <w:p>
            <w:pPr>
              <w:pStyle w:val="null3"/>
            </w:pPr>
            <w:r>
              <w:rPr>
                <w:rFonts w:ascii="仿宋_GB2312" w:hAnsi="仿宋_GB2312" w:cs="仿宋_GB2312" w:eastAsia="仿宋_GB2312"/>
              </w:rPr>
              <w:t>近 5 年（2021年1月 1 日至今任意年份）在省级及以上信誉评价中，获得 A 类及以上信誉的加 2分，最高加4分。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信誉要求</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提供近三年（2023年6月至今）类似项目业绩（以合同为准,复印件加盖公章）每份计3分，满分15分。（无业绩不得分）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供应商近三年类似项目业绩一览表</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采购人可以结合具体项目实际情况，提高上述第1项至第3项中启动异常低价投标（响应）审查的数值标准，但是最高不得超过65%。相关法律法规对供应商报价有规定的，从其规定。</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详细报价表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满足磋商文件要求且最终磋商报价最低的供应商的价格为评标基准价，其价格分为满分。其他供应商的价格分统一按照下列公式计算： 磋商报价得分=（评标基准价/最终磋商报价）×10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详细报价表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详见附件：详细报价表</w:t>
      </w:r>
    </w:p>
    <w:p>
      <w:pPr>
        <w:pStyle w:val="null3"/>
        <w:ind w:firstLine="960"/>
      </w:pPr>
      <w:r>
        <w:rPr>
          <w:rFonts w:ascii="仿宋_GB2312" w:hAnsi="仿宋_GB2312" w:cs="仿宋_GB2312" w:eastAsia="仿宋_GB2312"/>
        </w:rPr>
        <w:t>详见附件：供应商资格条件证明文件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详见附件：拟投入本项目的人员配置一览表</w:t>
      </w:r>
    </w:p>
    <w:p>
      <w:pPr>
        <w:pStyle w:val="null3"/>
        <w:ind w:firstLine="960"/>
      </w:pPr>
      <w:r>
        <w:rPr>
          <w:rFonts w:ascii="仿宋_GB2312" w:hAnsi="仿宋_GB2312" w:cs="仿宋_GB2312" w:eastAsia="仿宋_GB2312"/>
        </w:rPr>
        <w:t>详见附件：拟投入项目负责人业绩一览表</w:t>
      </w:r>
    </w:p>
    <w:p>
      <w:pPr>
        <w:pStyle w:val="null3"/>
        <w:ind w:firstLine="960"/>
      </w:pPr>
      <w:r>
        <w:rPr>
          <w:rFonts w:ascii="仿宋_GB2312" w:hAnsi="仿宋_GB2312" w:cs="仿宋_GB2312" w:eastAsia="仿宋_GB2312"/>
        </w:rPr>
        <w:t>详见附件：拟投入试验检测设备一览表</w:t>
      </w:r>
    </w:p>
    <w:p>
      <w:pPr>
        <w:pStyle w:val="null3"/>
        <w:ind w:firstLine="960"/>
      </w:pPr>
      <w:r>
        <w:rPr>
          <w:rFonts w:ascii="仿宋_GB2312" w:hAnsi="仿宋_GB2312" w:cs="仿宋_GB2312" w:eastAsia="仿宋_GB2312"/>
        </w:rPr>
        <w:t>详见附件：信誉要求</w:t>
      </w:r>
    </w:p>
    <w:p>
      <w:pPr>
        <w:pStyle w:val="null3"/>
        <w:ind w:firstLine="960"/>
      </w:pPr>
      <w:r>
        <w:rPr>
          <w:rFonts w:ascii="仿宋_GB2312" w:hAnsi="仿宋_GB2312" w:cs="仿宋_GB2312" w:eastAsia="仿宋_GB2312"/>
        </w:rPr>
        <w:t>详见附件：供应商近三年类似项目业绩一览表</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详见附件：项目管理及监理合同.docx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