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9E9943">
      <w:pPr>
        <w:spacing w:line="360" w:lineRule="auto"/>
        <w:jc w:val="left"/>
        <w:rPr>
          <w:rFonts w:hAnsi="宋体" w:cs="宋体"/>
          <w:color w:val="auto"/>
          <w:sz w:val="32"/>
          <w:szCs w:val="11"/>
        </w:rPr>
      </w:pPr>
      <w:r>
        <w:rPr>
          <w:rFonts w:hint="eastAsia" w:hAnsi="宋体" w:cs="宋体"/>
          <w:color w:val="auto"/>
          <w:sz w:val="32"/>
          <w:szCs w:val="11"/>
        </w:rPr>
        <w:t>合同编号：</w:t>
      </w:r>
    </w:p>
    <w:p w14:paraId="6F80C694">
      <w:pPr>
        <w:spacing w:line="360" w:lineRule="auto"/>
        <w:jc w:val="center"/>
        <w:rPr>
          <w:rFonts w:ascii="方正小标宋简体" w:hAnsi="方正小标宋简体" w:eastAsia="方正小标宋简体" w:cs="方正小标宋简体"/>
          <w:b/>
          <w:color w:val="auto"/>
          <w:sz w:val="36"/>
          <w:szCs w:val="36"/>
        </w:rPr>
      </w:pPr>
      <w:r>
        <w:rPr>
          <w:rFonts w:hint="eastAsia" w:ascii="仿宋_GB2312" w:hAnsi="仿宋_GB2312" w:eastAsia="仿宋_GB2312" w:cs="仿宋_GB2312"/>
          <w:b/>
          <w:sz w:val="28"/>
          <w:lang w:eastAsia="zh-CN"/>
        </w:rPr>
        <w:t>长安区X105半引路县乡公路改建工程监理及全过程管理咨询服务</w:t>
      </w:r>
    </w:p>
    <w:p w14:paraId="62CEA2A4">
      <w:pPr>
        <w:pStyle w:val="4"/>
        <w:spacing w:line="360" w:lineRule="auto"/>
        <w:rPr>
          <w:rFonts w:ascii="宋体" w:hAnsi="宋体" w:cs="宋体"/>
          <w:color w:val="auto"/>
        </w:rPr>
      </w:pPr>
    </w:p>
    <w:p w14:paraId="456160E7">
      <w:pPr>
        <w:spacing w:line="360" w:lineRule="auto"/>
        <w:jc w:val="center"/>
        <w:rPr>
          <w:rFonts w:hAnsi="宋体" w:cs="宋体"/>
          <w:color w:val="auto"/>
        </w:rPr>
      </w:pPr>
    </w:p>
    <w:p w14:paraId="2F74ACE3">
      <w:pPr>
        <w:spacing w:line="360" w:lineRule="auto"/>
        <w:rPr>
          <w:rFonts w:hAnsi="宋体" w:cs="宋体"/>
          <w:color w:val="auto"/>
          <w:sz w:val="32"/>
          <w:szCs w:val="32"/>
        </w:rPr>
      </w:pPr>
    </w:p>
    <w:p w14:paraId="1E6B11EC">
      <w:pPr>
        <w:spacing w:line="360" w:lineRule="auto"/>
        <w:jc w:val="center"/>
        <w:rPr>
          <w:rFonts w:hAnsi="宋体" w:cs="宋体"/>
          <w:color w:val="auto"/>
          <w:sz w:val="32"/>
          <w:szCs w:val="32"/>
        </w:rPr>
      </w:pPr>
    </w:p>
    <w:p w14:paraId="45B8D5AC">
      <w:pPr>
        <w:spacing w:line="360" w:lineRule="auto"/>
        <w:jc w:val="center"/>
        <w:rPr>
          <w:rFonts w:hAnsi="宋体" w:cs="宋体"/>
          <w:color w:val="auto"/>
          <w:sz w:val="52"/>
          <w:szCs w:val="52"/>
        </w:rPr>
      </w:pPr>
      <w:r>
        <w:rPr>
          <w:rFonts w:hint="eastAsia" w:hAnsi="宋体" w:cs="宋体"/>
          <w:color w:val="auto"/>
          <w:sz w:val="40"/>
          <w:szCs w:val="40"/>
        </w:rPr>
        <w:t>合同协议书</w:t>
      </w:r>
    </w:p>
    <w:p w14:paraId="3C24ED44">
      <w:pPr>
        <w:spacing w:line="360" w:lineRule="auto"/>
        <w:jc w:val="center"/>
        <w:rPr>
          <w:rFonts w:hAnsi="宋体" w:cs="宋体"/>
          <w:color w:val="auto"/>
          <w:sz w:val="36"/>
        </w:rPr>
      </w:pPr>
    </w:p>
    <w:p w14:paraId="48A8C80D">
      <w:pPr>
        <w:spacing w:line="360" w:lineRule="auto"/>
        <w:rPr>
          <w:rFonts w:hAnsi="宋体" w:cs="宋体"/>
          <w:color w:val="auto"/>
        </w:rPr>
      </w:pPr>
    </w:p>
    <w:p w14:paraId="5FE908B6">
      <w:pPr>
        <w:spacing w:line="360" w:lineRule="auto"/>
        <w:jc w:val="center"/>
        <w:rPr>
          <w:rFonts w:hAnsi="宋体" w:cs="宋体"/>
          <w:color w:val="auto"/>
          <w:sz w:val="36"/>
        </w:rPr>
      </w:pPr>
    </w:p>
    <w:p w14:paraId="2A9CCDBC">
      <w:pPr>
        <w:spacing w:line="360" w:lineRule="auto"/>
        <w:jc w:val="center"/>
        <w:rPr>
          <w:rFonts w:hAnsi="宋体" w:cs="宋体"/>
          <w:color w:val="auto"/>
          <w:sz w:val="36"/>
        </w:rPr>
      </w:pPr>
    </w:p>
    <w:p w14:paraId="3EFF1417">
      <w:pPr>
        <w:spacing w:line="360" w:lineRule="auto"/>
        <w:jc w:val="center"/>
        <w:rPr>
          <w:rFonts w:hAnsi="宋体" w:cs="宋体"/>
          <w:color w:val="auto"/>
          <w:sz w:val="36"/>
        </w:rPr>
      </w:pPr>
    </w:p>
    <w:p w14:paraId="1354254C">
      <w:pPr>
        <w:spacing w:line="360" w:lineRule="auto"/>
        <w:jc w:val="center"/>
        <w:rPr>
          <w:rFonts w:hAnsi="宋体" w:cs="宋体"/>
          <w:color w:val="auto"/>
          <w:sz w:val="36"/>
        </w:rPr>
      </w:pPr>
    </w:p>
    <w:p w14:paraId="2A0A5286">
      <w:pPr>
        <w:spacing w:line="360" w:lineRule="auto"/>
        <w:jc w:val="center"/>
        <w:rPr>
          <w:rFonts w:hAnsi="宋体" w:cs="宋体"/>
          <w:color w:val="auto"/>
          <w:sz w:val="36"/>
        </w:rPr>
      </w:pPr>
    </w:p>
    <w:p w14:paraId="1571140E">
      <w:pPr>
        <w:spacing w:line="360" w:lineRule="auto"/>
        <w:ind w:left="2637" w:leftChars="600" w:hanging="1377" w:hangingChars="490"/>
        <w:rPr>
          <w:rFonts w:hAnsi="宋体" w:cs="宋体"/>
          <w:b/>
          <w:color w:val="auto"/>
          <w:sz w:val="28"/>
          <w:szCs w:val="28"/>
        </w:rPr>
      </w:pPr>
      <w:r>
        <w:rPr>
          <w:rFonts w:hint="eastAsia" w:hAnsi="宋体" w:cs="宋体"/>
          <w:b/>
          <w:color w:val="auto"/>
          <w:sz w:val="28"/>
          <w:szCs w:val="28"/>
        </w:rPr>
        <w:t>项目名称：</w:t>
      </w:r>
      <w:r>
        <w:rPr>
          <w:rFonts w:hint="eastAsia" w:hAnsi="宋体" w:cs="宋体"/>
          <w:b/>
          <w:color w:val="auto"/>
          <w:sz w:val="28"/>
          <w:szCs w:val="28"/>
          <w:u w:val="single"/>
        </w:rPr>
        <w:t xml:space="preserve">                                  </w:t>
      </w:r>
    </w:p>
    <w:p w14:paraId="5D45883B">
      <w:pPr>
        <w:spacing w:line="360" w:lineRule="auto"/>
        <w:ind w:left="2637" w:leftChars="600" w:hanging="1377" w:hangingChars="490"/>
        <w:rPr>
          <w:rFonts w:hAnsi="宋体" w:cs="宋体"/>
          <w:color w:val="auto"/>
          <w:sz w:val="28"/>
          <w:szCs w:val="28"/>
          <w:u w:val="single"/>
        </w:rPr>
      </w:pPr>
      <w:r>
        <w:rPr>
          <w:rFonts w:hint="eastAsia" w:hAnsi="宋体" w:cs="宋体"/>
          <w:b/>
          <w:color w:val="auto"/>
          <w:sz w:val="28"/>
          <w:szCs w:val="28"/>
        </w:rPr>
        <w:t>发包人（甲方）：</w:t>
      </w:r>
      <w:r>
        <w:rPr>
          <w:rFonts w:hint="eastAsia" w:hAnsi="宋体" w:cs="宋体"/>
          <w:b/>
          <w:bCs/>
          <w:color w:val="auto"/>
          <w:sz w:val="28"/>
          <w:szCs w:val="28"/>
          <w:u w:val="single"/>
        </w:rPr>
        <w:t xml:space="preserve">                            </w:t>
      </w:r>
    </w:p>
    <w:p w14:paraId="16113B40">
      <w:pPr>
        <w:spacing w:line="360" w:lineRule="auto"/>
        <w:ind w:left="2637" w:leftChars="600" w:hanging="1377" w:hangingChars="490"/>
        <w:rPr>
          <w:rFonts w:hAnsi="宋体" w:cs="宋体"/>
          <w:b/>
          <w:color w:val="auto"/>
          <w:sz w:val="28"/>
          <w:szCs w:val="28"/>
          <w:u w:val="single"/>
        </w:rPr>
      </w:pPr>
      <w:r>
        <w:rPr>
          <w:rFonts w:hint="eastAsia" w:hAnsi="宋体" w:cs="宋体"/>
          <w:b/>
          <w:color w:val="auto"/>
          <w:sz w:val="28"/>
          <w:szCs w:val="28"/>
        </w:rPr>
        <w:t>承包人（乙方）：</w:t>
      </w:r>
      <w:r>
        <w:rPr>
          <w:rFonts w:hint="eastAsia" w:hAnsi="宋体" w:cs="宋体"/>
          <w:b/>
          <w:color w:val="auto"/>
          <w:sz w:val="28"/>
          <w:szCs w:val="28"/>
          <w:u w:val="single"/>
        </w:rPr>
        <w:t xml:space="preserve">                            </w:t>
      </w:r>
    </w:p>
    <w:p w14:paraId="5E1F5980">
      <w:pPr>
        <w:spacing w:line="360" w:lineRule="auto"/>
        <w:ind w:left="2637" w:leftChars="600" w:hanging="1377" w:hangingChars="490"/>
        <w:rPr>
          <w:rFonts w:hAnsi="宋体" w:cs="宋体"/>
          <w:b/>
          <w:color w:val="auto"/>
          <w:sz w:val="28"/>
          <w:szCs w:val="28"/>
          <w:u w:val="single"/>
        </w:rPr>
      </w:pPr>
      <w:r>
        <w:rPr>
          <w:rFonts w:hint="eastAsia" w:hAnsi="宋体" w:cs="宋体"/>
          <w:b/>
          <w:color w:val="auto"/>
          <w:sz w:val="28"/>
          <w:szCs w:val="28"/>
        </w:rPr>
        <w:t>签订时间：</w:t>
      </w:r>
      <w:r>
        <w:rPr>
          <w:rFonts w:hint="eastAsia" w:hAnsi="宋体" w:cs="宋体"/>
          <w:b/>
          <w:color w:val="auto"/>
          <w:sz w:val="28"/>
          <w:szCs w:val="28"/>
          <w:u w:val="single"/>
        </w:rPr>
        <w:t xml:space="preserve">                                  </w:t>
      </w:r>
    </w:p>
    <w:p w14:paraId="0FDDF363">
      <w:pPr>
        <w:spacing w:line="360" w:lineRule="auto"/>
        <w:rPr>
          <w:rFonts w:hAnsi="宋体" w:cs="宋体"/>
          <w:bCs/>
          <w:color w:val="auto"/>
          <w:szCs w:val="24"/>
        </w:rPr>
        <w:sectPr>
          <w:pgSz w:w="11906" w:h="16838"/>
          <w:pgMar w:top="2098" w:right="1474" w:bottom="1984" w:left="1587" w:header="851" w:footer="992" w:gutter="0"/>
          <w:cols w:space="720" w:num="1"/>
          <w:docGrid w:type="lines" w:linePitch="312" w:charSpace="0"/>
        </w:sectPr>
      </w:pPr>
    </w:p>
    <w:p w14:paraId="099B3323">
      <w:pPr>
        <w:pStyle w:val="2"/>
        <w:rPr>
          <w:color w:val="auto"/>
        </w:rPr>
      </w:pPr>
      <w:bookmarkStart w:id="0" w:name="_Toc19827"/>
      <w:r>
        <w:rPr>
          <w:rFonts w:hint="eastAsia"/>
          <w:color w:val="auto"/>
        </w:rPr>
        <w:t>第一节 合同协议书及附件</w:t>
      </w:r>
      <w:bookmarkEnd w:id="0"/>
    </w:p>
    <w:p w14:paraId="31484F6E">
      <w:pPr>
        <w:pStyle w:val="8"/>
        <w:adjustRightInd/>
        <w:spacing w:line="500" w:lineRule="exact"/>
        <w:ind w:firstLine="643" w:firstLineChars="200"/>
        <w:jc w:val="center"/>
        <w:rPr>
          <w:rFonts w:ascii="宋体" w:hAnsi="宋体" w:eastAsia="宋体" w:cs="宋体"/>
          <w:b/>
          <w:color w:val="auto"/>
          <w:sz w:val="32"/>
          <w:szCs w:val="32"/>
        </w:rPr>
      </w:pPr>
      <w:r>
        <w:rPr>
          <w:rFonts w:hint="eastAsia" w:ascii="宋体" w:hAnsi="宋体" w:eastAsia="宋体" w:cs="宋体"/>
          <w:b/>
          <w:color w:val="auto"/>
          <w:sz w:val="32"/>
          <w:szCs w:val="32"/>
        </w:rPr>
        <w:t>合同协议书</w:t>
      </w:r>
    </w:p>
    <w:p w14:paraId="491F5E1A">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 xml:space="preserve">发包人（甲方）：                                     </w:t>
      </w:r>
    </w:p>
    <w:p w14:paraId="0F49A5A3">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 xml:space="preserve">承包人（乙方）：                                     </w:t>
      </w:r>
    </w:p>
    <w:p w14:paraId="1C5FE742">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依照《中华人民共和国民法典》《中华人民共和国建筑法》及其他有关法律、行政法律、行政法规，遵循平等、自愿、公平和诚实信用的原则，双方就本建设工程施工事项协商一致，订立本合同。</w:t>
      </w:r>
    </w:p>
    <w:p w14:paraId="77A06DC8">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一、工程概况</w:t>
      </w:r>
    </w:p>
    <w:p w14:paraId="0A2B8994">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 xml:space="preserve">项目名称：                         </w:t>
      </w:r>
    </w:p>
    <w:p w14:paraId="178BDEEB">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 xml:space="preserve">项目地点：                         </w:t>
      </w:r>
    </w:p>
    <w:p w14:paraId="4A148147">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 xml:space="preserve">项目服务期：                       </w:t>
      </w:r>
    </w:p>
    <w:p w14:paraId="0B96A8F4">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项目内容：详见施工图设计。</w:t>
      </w:r>
      <w:r>
        <w:rPr>
          <w:rFonts w:hint="eastAsia" w:ascii="宋体" w:hAnsi="宋体" w:cs="宋体"/>
          <w:bCs/>
          <w:color w:val="auto"/>
          <w:sz w:val="24"/>
          <w:szCs w:val="24"/>
        </w:rPr>
        <w:t xml:space="preserve">                                         </w:t>
      </w:r>
    </w:p>
    <w:p w14:paraId="64DACEA8">
      <w:pPr>
        <w:spacing w:line="500" w:lineRule="exact"/>
        <w:ind w:firstLine="480" w:firstLineChars="200"/>
        <w:rPr>
          <w:rFonts w:hAnsi="宋体" w:cs="宋体"/>
          <w:color w:val="auto"/>
          <w:sz w:val="24"/>
          <w:szCs w:val="24"/>
        </w:rPr>
      </w:pPr>
      <w:r>
        <w:rPr>
          <w:rFonts w:hint="eastAsia" w:hAnsi="宋体" w:cs="宋体"/>
          <w:color w:val="auto"/>
          <w:sz w:val="24"/>
          <w:szCs w:val="24"/>
        </w:rPr>
        <w:t>项目负责人：</w:t>
      </w:r>
      <w:r>
        <w:rPr>
          <w:rFonts w:hint="eastAsia" w:hAnsi="宋体" w:cs="宋体"/>
          <w:color w:val="auto"/>
          <w:sz w:val="24"/>
          <w:szCs w:val="24"/>
          <w:u w:val="single"/>
        </w:rPr>
        <w:t xml:space="preserve">                </w:t>
      </w:r>
    </w:p>
    <w:p w14:paraId="50942208">
      <w:pPr>
        <w:spacing w:line="500" w:lineRule="exact"/>
        <w:ind w:firstLine="480" w:firstLineChars="200"/>
        <w:rPr>
          <w:rFonts w:hAnsi="宋体" w:cs="宋体"/>
          <w:color w:val="auto"/>
          <w:sz w:val="24"/>
          <w:szCs w:val="24"/>
        </w:rPr>
      </w:pPr>
      <w:r>
        <w:rPr>
          <w:rFonts w:hint="eastAsia" w:hAnsi="宋体" w:cs="宋体"/>
          <w:color w:val="auto"/>
          <w:sz w:val="24"/>
          <w:szCs w:val="24"/>
        </w:rPr>
        <w:t>总监理工程师：</w:t>
      </w:r>
      <w:r>
        <w:rPr>
          <w:rFonts w:hint="eastAsia" w:hAnsi="宋体" w:cs="宋体"/>
          <w:color w:val="auto"/>
          <w:sz w:val="24"/>
          <w:szCs w:val="24"/>
          <w:u w:val="single"/>
        </w:rPr>
        <w:t xml:space="preserve">              </w:t>
      </w:r>
    </w:p>
    <w:p w14:paraId="56DB2CFC">
      <w:pPr>
        <w:spacing w:line="500" w:lineRule="exact"/>
        <w:rPr>
          <w:rFonts w:hAnsi="宋体" w:cs="宋体"/>
          <w:b/>
          <w:color w:val="auto"/>
          <w:sz w:val="24"/>
          <w:szCs w:val="24"/>
        </w:rPr>
      </w:pPr>
      <w:r>
        <w:rPr>
          <w:rFonts w:hint="eastAsia" w:hAnsi="宋体" w:cs="宋体"/>
          <w:b/>
          <w:color w:val="auto"/>
          <w:sz w:val="24"/>
          <w:szCs w:val="24"/>
        </w:rPr>
        <w:t>二、组成本合同的文件</w:t>
      </w:r>
    </w:p>
    <w:p w14:paraId="557B0A98">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1.合同协议书；</w:t>
      </w:r>
    </w:p>
    <w:p w14:paraId="43A0A9AD">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2.中标通知书；</w:t>
      </w:r>
    </w:p>
    <w:p w14:paraId="15D2887F">
      <w:pPr>
        <w:snapToGrid w:val="0"/>
        <w:spacing w:line="500" w:lineRule="exact"/>
        <w:ind w:firstLine="480" w:firstLineChars="200"/>
        <w:rPr>
          <w:rFonts w:hAnsi="宋体" w:cs="宋体"/>
          <w:color w:val="auto"/>
          <w:sz w:val="24"/>
          <w:szCs w:val="24"/>
        </w:rPr>
      </w:pPr>
      <w:r>
        <w:rPr>
          <w:rFonts w:hint="eastAsia" w:hAnsi="宋体" w:cs="宋体"/>
          <w:color w:val="auto"/>
          <w:sz w:val="24"/>
          <w:szCs w:val="24"/>
        </w:rPr>
        <w:t>3.相关服务建议书；</w:t>
      </w:r>
    </w:p>
    <w:p w14:paraId="374212E0">
      <w:pPr>
        <w:snapToGrid w:val="0"/>
        <w:spacing w:line="500" w:lineRule="exact"/>
        <w:rPr>
          <w:rFonts w:hAnsi="宋体" w:cs="宋体"/>
          <w:color w:val="auto"/>
          <w:sz w:val="24"/>
          <w:szCs w:val="24"/>
        </w:rPr>
      </w:pPr>
      <w:r>
        <w:rPr>
          <w:rFonts w:hint="eastAsia" w:hAnsi="宋体" w:cs="宋体"/>
          <w:color w:val="auto"/>
          <w:sz w:val="24"/>
          <w:szCs w:val="24"/>
        </w:rPr>
        <w:t xml:space="preserve">    4.附录，即：附表内相关服务的范围和内容；</w:t>
      </w:r>
    </w:p>
    <w:p w14:paraId="7F598AB1">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本合同签订后，双方依法签订的补充协议也是本合同文件的组成部分。上述文件互为补充，各文件约定不一致的，如无补充协议对适用规则作出规定的，则按照上述顺序确定适用规则。适用顺序规则仍不能确定如何适用的，以甲方意见为准。</w:t>
      </w:r>
    </w:p>
    <w:p w14:paraId="7A4DE54E">
      <w:pPr>
        <w:spacing w:line="500" w:lineRule="exact"/>
        <w:rPr>
          <w:rFonts w:hAnsi="宋体" w:cs="宋体"/>
          <w:b/>
          <w:color w:val="auto"/>
          <w:sz w:val="24"/>
          <w:szCs w:val="24"/>
        </w:rPr>
      </w:pPr>
      <w:r>
        <w:rPr>
          <w:rFonts w:hint="eastAsia" w:hAnsi="宋体" w:cs="宋体"/>
          <w:b/>
          <w:color w:val="auto"/>
          <w:sz w:val="24"/>
          <w:szCs w:val="24"/>
        </w:rPr>
        <w:t>三、监理及项目管理服务范围</w:t>
      </w:r>
    </w:p>
    <w:p w14:paraId="663771D8">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甲方将本工程监理及项目管理交由项目乙方实施，其服务范围为：</w:t>
      </w:r>
    </w:p>
    <w:p w14:paraId="52BEC0E3">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△合同管理</w:t>
      </w:r>
    </w:p>
    <w:p w14:paraId="2A02C84C">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△施工过程造价管理</w:t>
      </w:r>
    </w:p>
    <w:p w14:paraId="459851AE">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△工程质量管理</w:t>
      </w:r>
    </w:p>
    <w:p w14:paraId="0395E0AF">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△工程进度管理</w:t>
      </w:r>
    </w:p>
    <w:p w14:paraId="26C583C5">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△组织协调管理</w:t>
      </w:r>
    </w:p>
    <w:p w14:paraId="4F5A7F73">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△安全生产管理</w:t>
      </w:r>
    </w:p>
    <w:p w14:paraId="73C89500">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△竣工验收管理</w:t>
      </w:r>
    </w:p>
    <w:p w14:paraId="29940256">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△档案管理</w:t>
      </w:r>
    </w:p>
    <w:p w14:paraId="29BB50DE">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△其他管理服务：无 。</w:t>
      </w:r>
    </w:p>
    <w:p w14:paraId="2B8949CF">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甲方根据项目实际情况，选择一个或多个服务模块委托乙方服务。</w:t>
      </w:r>
    </w:p>
    <w:p w14:paraId="6B22FAEC">
      <w:pPr>
        <w:spacing w:line="500" w:lineRule="exact"/>
        <w:rPr>
          <w:rFonts w:hAnsi="宋体" w:cs="宋体"/>
          <w:b/>
          <w:color w:val="auto"/>
          <w:sz w:val="24"/>
          <w:szCs w:val="24"/>
        </w:rPr>
      </w:pPr>
      <w:r>
        <w:rPr>
          <w:rFonts w:hint="eastAsia" w:hAnsi="宋体" w:cs="宋体"/>
          <w:b/>
          <w:color w:val="auto"/>
          <w:sz w:val="24"/>
          <w:szCs w:val="24"/>
        </w:rPr>
        <w:t>四、服务目标</w:t>
      </w:r>
    </w:p>
    <w:p w14:paraId="19C35D81">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工程质量控制目标：交工验收的质量评定：满足国家质量评定合格标准；</w:t>
      </w:r>
      <w:r>
        <w:rPr>
          <w:rFonts w:hint="eastAsia" w:hAnsi="宋体" w:cs="宋体"/>
          <w:color w:val="auto"/>
          <w:sz w:val="24"/>
          <w:szCs w:val="24"/>
        </w:rPr>
        <w:br w:type="textWrapping"/>
      </w:r>
      <w:r>
        <w:rPr>
          <w:rFonts w:hint="eastAsia" w:hAnsi="宋体" w:cs="宋体"/>
          <w:color w:val="auto"/>
          <w:sz w:val="24"/>
          <w:szCs w:val="24"/>
        </w:rPr>
        <w:t>竣工验收的质量评定：满足国家质量评定合格标准。</w:t>
      </w:r>
    </w:p>
    <w:p w14:paraId="7FEF0AFA">
      <w:pPr>
        <w:spacing w:line="500" w:lineRule="exact"/>
        <w:rPr>
          <w:rFonts w:hAnsi="宋体" w:cs="宋体"/>
          <w:b/>
          <w:color w:val="auto"/>
          <w:sz w:val="24"/>
          <w:szCs w:val="24"/>
        </w:rPr>
      </w:pPr>
      <w:r>
        <w:rPr>
          <w:rFonts w:hint="eastAsia" w:hAnsi="宋体" w:cs="宋体"/>
          <w:b/>
          <w:color w:val="auto"/>
          <w:sz w:val="24"/>
          <w:szCs w:val="24"/>
        </w:rPr>
        <w:t>五、双方承诺</w:t>
      </w:r>
    </w:p>
    <w:p w14:paraId="607DA52C">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1.乙方向甲方承诺，按照本合同约定及甲方要求提供相关服务。</w:t>
      </w:r>
    </w:p>
    <w:p w14:paraId="06CBE378">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2.甲方向乙方承诺，在乙方不违反合同约定的前提下，按照本合同约定支付服务款项。</w:t>
      </w:r>
    </w:p>
    <w:p w14:paraId="70F8291B">
      <w:pPr>
        <w:spacing w:line="500" w:lineRule="exact"/>
        <w:rPr>
          <w:rFonts w:hAnsi="宋体" w:cs="宋体"/>
          <w:b/>
          <w:color w:val="auto"/>
          <w:sz w:val="24"/>
          <w:szCs w:val="24"/>
        </w:rPr>
      </w:pPr>
      <w:r>
        <w:rPr>
          <w:rFonts w:hint="eastAsia" w:hAnsi="宋体" w:cs="宋体"/>
          <w:b/>
          <w:color w:val="auto"/>
          <w:sz w:val="24"/>
          <w:szCs w:val="24"/>
        </w:rPr>
        <w:t>六、合同金额</w:t>
      </w:r>
    </w:p>
    <w:p w14:paraId="5D135D03">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合同含税金额（人民币）¥：       元（大写：       ）。</w:t>
      </w:r>
    </w:p>
    <w:p w14:paraId="21DE1D4D">
      <w:pPr>
        <w:snapToGrid w:val="0"/>
        <w:spacing w:line="500" w:lineRule="exact"/>
        <w:ind w:firstLine="1195" w:firstLineChars="498"/>
        <w:rPr>
          <w:rFonts w:hint="eastAsia" w:hAnsi="宋体" w:eastAsia="宋体" w:cs="宋体"/>
          <w:color w:val="auto"/>
          <w:sz w:val="24"/>
          <w:szCs w:val="24"/>
          <w:u w:val="single"/>
          <w:lang w:val="en-US" w:eastAsia="zh-CN"/>
        </w:rPr>
      </w:pPr>
      <w:r>
        <w:rPr>
          <w:rFonts w:hint="eastAsia" w:hAnsi="宋体" w:cs="宋体"/>
          <w:color w:val="auto"/>
          <w:sz w:val="24"/>
          <w:szCs w:val="24"/>
          <w:lang w:val="en-US" w:eastAsia="zh-CN"/>
        </w:rPr>
        <w:t>折算费率：</w:t>
      </w:r>
    </w:p>
    <w:p w14:paraId="487D0757">
      <w:pPr>
        <w:spacing w:line="360" w:lineRule="auto"/>
        <w:ind w:firstLine="480" w:firstLineChars="200"/>
        <w:jc w:val="left"/>
        <w:rPr>
          <w:color w:val="auto"/>
          <w:sz w:val="24"/>
          <w:szCs w:val="24"/>
        </w:rPr>
      </w:pPr>
      <w:r>
        <w:rPr>
          <w:rFonts w:hint="eastAsia"/>
          <w:color w:val="auto"/>
          <w:sz w:val="24"/>
          <w:szCs w:val="24"/>
        </w:rPr>
        <w:t>特别说明：</w:t>
      </w:r>
    </w:p>
    <w:p w14:paraId="54A0FF75">
      <w:pPr>
        <w:spacing w:line="500" w:lineRule="exact"/>
        <w:ind w:firstLine="480" w:firstLineChars="200"/>
        <w:jc w:val="left"/>
        <w:rPr>
          <w:color w:val="auto"/>
          <w:sz w:val="24"/>
          <w:szCs w:val="24"/>
        </w:rPr>
      </w:pPr>
      <w:r>
        <w:rPr>
          <w:rFonts w:hint="eastAsia"/>
          <w:color w:val="auto"/>
          <w:sz w:val="24"/>
          <w:szCs w:val="24"/>
        </w:rPr>
        <w:t>1.</w:t>
      </w:r>
      <w:r>
        <w:rPr>
          <w:rFonts w:hint="eastAsia"/>
          <w:color w:val="auto"/>
          <w:sz w:val="24"/>
          <w:szCs w:val="24"/>
          <w:lang w:val="en-US" w:eastAsia="zh-CN"/>
        </w:rPr>
        <w:t>该合同价为暂定价，待</w:t>
      </w:r>
      <w:r>
        <w:rPr>
          <w:rFonts w:hint="eastAsia"/>
          <w:color w:val="auto"/>
          <w:sz w:val="24"/>
          <w:szCs w:val="24"/>
        </w:rPr>
        <w:t>全部工作完成（包括监理资料移交）后，以</w:t>
      </w:r>
      <w:r>
        <w:rPr>
          <w:rFonts w:hint="eastAsia"/>
          <w:color w:val="auto"/>
          <w:sz w:val="24"/>
          <w:szCs w:val="24"/>
          <w:lang w:val="en-US" w:eastAsia="zh-CN"/>
        </w:rPr>
        <w:t>最终</w:t>
      </w:r>
      <w:r>
        <w:rPr>
          <w:rFonts w:hint="eastAsia"/>
          <w:color w:val="auto"/>
          <w:sz w:val="24"/>
          <w:szCs w:val="24"/>
        </w:rPr>
        <w:t>确定的</w:t>
      </w:r>
      <w:r>
        <w:rPr>
          <w:rFonts w:hint="eastAsia"/>
          <w:color w:val="auto"/>
          <w:sz w:val="24"/>
          <w:szCs w:val="24"/>
          <w:lang w:val="en-US" w:eastAsia="zh-CN"/>
        </w:rPr>
        <w:t>建安费为基数</w:t>
      </w:r>
      <w:r>
        <w:rPr>
          <w:rFonts w:hint="eastAsia"/>
          <w:color w:val="auto"/>
          <w:sz w:val="24"/>
          <w:szCs w:val="24"/>
        </w:rPr>
        <w:t>乘以</w:t>
      </w:r>
      <w:r>
        <w:rPr>
          <w:rFonts w:hint="eastAsia"/>
          <w:color w:val="auto"/>
          <w:sz w:val="24"/>
          <w:szCs w:val="24"/>
          <w:lang w:val="en-US" w:eastAsia="zh-CN"/>
        </w:rPr>
        <w:t>折算</w:t>
      </w:r>
      <w:r>
        <w:rPr>
          <w:rFonts w:hint="eastAsia"/>
          <w:color w:val="auto"/>
          <w:sz w:val="24"/>
          <w:szCs w:val="24"/>
        </w:rPr>
        <w:t>费率计算全部费用，</w:t>
      </w:r>
      <w:r>
        <w:rPr>
          <w:rFonts w:hint="eastAsia"/>
          <w:color w:val="auto"/>
          <w:sz w:val="24"/>
          <w:szCs w:val="24"/>
          <w:lang w:val="en-US" w:eastAsia="zh-CN"/>
        </w:rPr>
        <w:t>甲乙双方</w:t>
      </w:r>
      <w:r>
        <w:rPr>
          <w:rFonts w:hint="eastAsia"/>
          <w:color w:val="auto"/>
          <w:sz w:val="24"/>
          <w:szCs w:val="24"/>
        </w:rPr>
        <w:t>按照</w:t>
      </w:r>
      <w:r>
        <w:rPr>
          <w:rFonts w:hint="eastAsia"/>
          <w:color w:val="auto"/>
          <w:sz w:val="24"/>
          <w:szCs w:val="24"/>
          <w:lang w:val="en-US" w:eastAsia="zh-CN"/>
        </w:rPr>
        <w:t>合同付款方式约定</w:t>
      </w:r>
      <w:r>
        <w:rPr>
          <w:rFonts w:hint="eastAsia"/>
          <w:color w:val="auto"/>
          <w:sz w:val="24"/>
          <w:szCs w:val="24"/>
        </w:rPr>
        <w:t>办理结算并支付</w:t>
      </w:r>
      <w:r>
        <w:rPr>
          <w:rFonts w:hint="eastAsia"/>
          <w:color w:val="auto"/>
          <w:sz w:val="24"/>
          <w:szCs w:val="24"/>
        </w:rPr>
        <w:t>。折算费率=</w:t>
      </w:r>
      <w:r>
        <w:rPr>
          <w:rFonts w:hint="eastAsia"/>
          <w:color w:val="auto"/>
          <w:sz w:val="24"/>
          <w:szCs w:val="24"/>
          <w:lang w:val="en-US" w:eastAsia="zh-CN"/>
        </w:rPr>
        <w:t>投标总报价</w:t>
      </w:r>
      <w:r>
        <w:rPr>
          <w:rFonts w:hint="eastAsia"/>
          <w:color w:val="auto"/>
          <w:sz w:val="24"/>
          <w:szCs w:val="24"/>
        </w:rPr>
        <w:t>/</w:t>
      </w:r>
      <w:r>
        <w:rPr>
          <w:rFonts w:hint="eastAsia"/>
          <w:color w:val="auto"/>
          <w:sz w:val="24"/>
          <w:szCs w:val="24"/>
          <w:lang w:val="en-US" w:eastAsia="zh-CN"/>
        </w:rPr>
        <w:t>建安</w:t>
      </w:r>
      <w:r>
        <w:rPr>
          <w:rFonts w:hint="eastAsia"/>
          <w:color w:val="auto"/>
          <w:sz w:val="24"/>
          <w:szCs w:val="24"/>
        </w:rPr>
        <w:t>工程费</w:t>
      </w:r>
      <w:r>
        <w:rPr>
          <w:rFonts w:hint="eastAsia"/>
          <w:color w:val="auto"/>
          <w:sz w:val="24"/>
          <w:szCs w:val="24"/>
          <w:lang w:val="en-US" w:eastAsia="zh-CN"/>
        </w:rPr>
        <w:t>×100%</w:t>
      </w:r>
      <w:r>
        <w:rPr>
          <w:rFonts w:hint="eastAsia"/>
          <w:color w:val="auto"/>
          <w:sz w:val="24"/>
          <w:szCs w:val="24"/>
        </w:rPr>
        <w:t>。</w:t>
      </w:r>
    </w:p>
    <w:p w14:paraId="07F6E254">
      <w:pPr>
        <w:spacing w:line="500" w:lineRule="exact"/>
        <w:ind w:firstLine="480" w:firstLineChars="200"/>
        <w:jc w:val="left"/>
        <w:rPr>
          <w:color w:val="auto"/>
          <w:sz w:val="24"/>
          <w:szCs w:val="24"/>
        </w:rPr>
      </w:pPr>
      <w:r>
        <w:rPr>
          <w:rFonts w:hint="eastAsia"/>
          <w:color w:val="auto"/>
          <w:sz w:val="24"/>
          <w:szCs w:val="24"/>
        </w:rPr>
        <w:t>2.如非乙方的原因，造成工程延长未超过1个月的，价</w:t>
      </w:r>
      <w:r>
        <w:rPr>
          <w:rFonts w:hint="eastAsia"/>
          <w:color w:val="auto"/>
          <w:sz w:val="24"/>
          <w:szCs w:val="24"/>
          <w:lang w:val="en-US" w:eastAsia="zh-CN"/>
        </w:rPr>
        <w:t>格</w:t>
      </w:r>
      <w:r>
        <w:rPr>
          <w:rFonts w:hint="eastAsia"/>
          <w:color w:val="auto"/>
          <w:sz w:val="24"/>
          <w:szCs w:val="24"/>
        </w:rPr>
        <w:t>不予增加；如由于甲方原因导致乙方服务延长超过1个月，超出部分甲方应按乙方延期阶段产生的实际成本+利润（10%）向乙方支付延期费用。</w:t>
      </w:r>
    </w:p>
    <w:p w14:paraId="3CCC7C32">
      <w:pPr>
        <w:spacing w:line="500" w:lineRule="exact"/>
        <w:rPr>
          <w:rFonts w:hAnsi="宋体" w:cs="宋体"/>
          <w:b/>
          <w:color w:val="auto"/>
          <w:sz w:val="24"/>
          <w:szCs w:val="24"/>
        </w:rPr>
      </w:pPr>
      <w:r>
        <w:rPr>
          <w:rFonts w:hint="eastAsia" w:hAnsi="宋体" w:cs="宋体"/>
          <w:b/>
          <w:color w:val="auto"/>
          <w:sz w:val="24"/>
          <w:szCs w:val="24"/>
        </w:rPr>
        <w:t>七、付款方式和程序</w:t>
      </w:r>
    </w:p>
    <w:p w14:paraId="0EB55826">
      <w:pPr>
        <w:spacing w:line="500" w:lineRule="exact"/>
        <w:ind w:firstLine="480" w:firstLineChars="200"/>
        <w:jc w:val="left"/>
        <w:rPr>
          <w:rFonts w:hint="default" w:eastAsia="宋体"/>
          <w:color w:val="auto"/>
          <w:sz w:val="24"/>
          <w:szCs w:val="24"/>
          <w:u w:val="single"/>
          <w:lang w:val="en-US" w:eastAsia="zh-CN"/>
        </w:rPr>
      </w:pPr>
      <w:bookmarkStart w:id="1" w:name="_Hlk69116164"/>
      <w:r>
        <w:rPr>
          <w:rFonts w:hint="eastAsia"/>
          <w:color w:val="auto"/>
          <w:sz w:val="24"/>
          <w:szCs w:val="24"/>
          <w:u w:val="single"/>
          <w:lang w:val="en-US" w:eastAsia="zh-CN"/>
        </w:rPr>
        <w:t xml:space="preserve">                  </w:t>
      </w:r>
    </w:p>
    <w:bookmarkEnd w:id="1"/>
    <w:p w14:paraId="3F93F281">
      <w:pPr>
        <w:spacing w:line="500" w:lineRule="exact"/>
        <w:ind w:firstLine="480" w:firstLineChars="200"/>
        <w:rPr>
          <w:rFonts w:hAnsi="宋体" w:cs="宋体"/>
          <w:color w:val="auto"/>
          <w:sz w:val="24"/>
          <w:szCs w:val="24"/>
        </w:rPr>
      </w:pPr>
      <w:r>
        <w:rPr>
          <w:rFonts w:hint="eastAsia" w:hAnsi="宋体" w:cs="宋体"/>
          <w:color w:val="auto"/>
          <w:sz w:val="24"/>
          <w:szCs w:val="24"/>
        </w:rPr>
        <w:t>乙方对其</w:t>
      </w:r>
      <w:r>
        <w:rPr>
          <w:rFonts w:hAnsi="宋体" w:cs="宋体"/>
          <w:color w:val="auto"/>
          <w:sz w:val="24"/>
          <w:szCs w:val="24"/>
        </w:rPr>
        <w:t>在</w:t>
      </w:r>
      <w:r>
        <w:rPr>
          <w:rFonts w:hint="eastAsia" w:hAnsi="宋体" w:cs="宋体"/>
          <w:color w:val="auto"/>
          <w:sz w:val="24"/>
          <w:szCs w:val="24"/>
        </w:rPr>
        <w:t>本合同中提供银行信息的合法性、真实性负责。甲方按照乙方</w:t>
      </w:r>
      <w:r>
        <w:rPr>
          <w:rFonts w:hAnsi="宋体" w:cs="宋体"/>
          <w:color w:val="auto"/>
          <w:sz w:val="24"/>
          <w:szCs w:val="24"/>
        </w:rPr>
        <w:t>在</w:t>
      </w:r>
      <w:r>
        <w:rPr>
          <w:rFonts w:hint="eastAsia" w:hAnsi="宋体" w:cs="宋体"/>
          <w:color w:val="auto"/>
          <w:sz w:val="24"/>
          <w:szCs w:val="24"/>
        </w:rPr>
        <w:t>本合同提供银行</w:t>
      </w:r>
      <w:r>
        <w:rPr>
          <w:rFonts w:hAnsi="宋体" w:cs="宋体"/>
          <w:color w:val="auto"/>
          <w:sz w:val="24"/>
          <w:szCs w:val="24"/>
        </w:rPr>
        <w:t>收款</w:t>
      </w:r>
      <w:r>
        <w:rPr>
          <w:rFonts w:hint="eastAsia" w:hAnsi="宋体" w:cs="宋体"/>
          <w:color w:val="auto"/>
          <w:sz w:val="24"/>
          <w:szCs w:val="24"/>
        </w:rPr>
        <w:t>信息进行付款，乙方变更收款信息的，需提前十日书面通知甲方。否则，因乙方账户有误给双方造成的损失，均由乙方承担。</w:t>
      </w:r>
    </w:p>
    <w:p w14:paraId="20E3CA1A">
      <w:pPr>
        <w:spacing w:line="500" w:lineRule="exact"/>
        <w:rPr>
          <w:rFonts w:hAnsi="宋体" w:cs="宋体"/>
          <w:b/>
          <w:color w:val="auto"/>
          <w:sz w:val="24"/>
          <w:szCs w:val="24"/>
        </w:rPr>
      </w:pPr>
      <w:r>
        <w:rPr>
          <w:rFonts w:hint="eastAsia" w:hAnsi="宋体" w:cs="宋体"/>
          <w:b/>
          <w:color w:val="auto"/>
          <w:sz w:val="24"/>
          <w:szCs w:val="24"/>
        </w:rPr>
        <w:t>八、双方权利和义务</w:t>
      </w:r>
    </w:p>
    <w:p w14:paraId="7DF5616D">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（一）甲方权利和义务</w:t>
      </w:r>
    </w:p>
    <w:p w14:paraId="78BF8B4D">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（1）甲方负责制订考核制度，并负责本工程的日常验收和考核工作，依据考核结果对乙方进行奖罚；</w:t>
      </w:r>
    </w:p>
    <w:p w14:paraId="312FB5C5">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（2）甲方有权对乙方工作进行全程监督和审核，对乙方日常工作及资料台帐进行不定期的抽查，有权对乙方的违规行为予以纠正和制止；</w:t>
      </w:r>
    </w:p>
    <w:p w14:paraId="5C86E3B2">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（3）在乙方不违反合同约定的前提下，根据合同规定按数如期支付乙方监理服务费用。</w:t>
      </w:r>
    </w:p>
    <w:p w14:paraId="1804BA19">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（4）负责提出乙方对建设规模、标准、功能等需求；</w:t>
      </w:r>
    </w:p>
    <w:p w14:paraId="48ED7E05">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（5）协助乙方办理项目实施过程中的规划、建设等相关报建手续，并协调相关政府部门加快办理；组织参建方进行工程交工验收和竣工验收；</w:t>
      </w:r>
    </w:p>
    <w:p w14:paraId="18F4C06B">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（6）负责监督乙方项目管理机构责任人及其他主要专业责任人员的配备和履职情况；</w:t>
      </w:r>
    </w:p>
    <w:p w14:paraId="3B752891">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（7）项目管理合同约定的其他事项。</w:t>
      </w:r>
    </w:p>
    <w:p w14:paraId="71C8FCE3">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（二）乙方权利和义务</w:t>
      </w:r>
    </w:p>
    <w:p w14:paraId="18A2230F">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（1）按国家和地方有关法律、技术规范标准，以及合同约定的工作内容进行管理和监理服务；</w:t>
      </w:r>
    </w:p>
    <w:p w14:paraId="3E40C57F">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（2）</w:t>
      </w:r>
      <w:r>
        <w:rPr>
          <w:rFonts w:hAnsi="宋体" w:cs="宋体"/>
          <w:color w:val="auto"/>
          <w:sz w:val="24"/>
          <w:szCs w:val="24"/>
        </w:rPr>
        <w:t>投入本项目的</w:t>
      </w:r>
      <w:r>
        <w:rPr>
          <w:rFonts w:hint="eastAsia" w:hAnsi="宋体" w:cs="宋体"/>
          <w:color w:val="auto"/>
          <w:sz w:val="24"/>
          <w:szCs w:val="24"/>
        </w:rPr>
        <w:t>管理和</w:t>
      </w:r>
      <w:r>
        <w:rPr>
          <w:rFonts w:hAnsi="宋体" w:cs="宋体"/>
          <w:color w:val="auto"/>
          <w:sz w:val="24"/>
          <w:szCs w:val="24"/>
        </w:rPr>
        <w:t>监理人</w:t>
      </w:r>
      <w:r>
        <w:rPr>
          <w:rFonts w:hint="eastAsia" w:hAnsi="宋体" w:cs="宋体"/>
          <w:color w:val="auto"/>
          <w:sz w:val="24"/>
          <w:szCs w:val="24"/>
        </w:rPr>
        <w:t>员专业配备应符合要求，且</w:t>
      </w:r>
      <w:r>
        <w:rPr>
          <w:rFonts w:hAnsi="宋体" w:cs="宋体"/>
          <w:color w:val="auto"/>
          <w:sz w:val="24"/>
          <w:szCs w:val="24"/>
        </w:rPr>
        <w:t>年龄层次要合理，</w:t>
      </w:r>
      <w:r>
        <w:rPr>
          <w:rFonts w:hint="eastAsia" w:hAnsi="宋体" w:cs="宋体"/>
          <w:color w:val="auto"/>
          <w:sz w:val="24"/>
          <w:szCs w:val="24"/>
        </w:rPr>
        <w:t>身体健康</w:t>
      </w:r>
      <w:r>
        <w:rPr>
          <w:rFonts w:hAnsi="宋体" w:cs="宋体"/>
          <w:color w:val="auto"/>
          <w:sz w:val="24"/>
          <w:szCs w:val="24"/>
        </w:rPr>
        <w:t>。并应当在本合同生效后7天内按照投标文件中所承诺的人员和配备的办公设施组建监理机构，并进驻现场展开工作</w:t>
      </w:r>
      <w:r>
        <w:rPr>
          <w:rFonts w:hint="eastAsia" w:hAnsi="宋体" w:cs="宋体"/>
          <w:color w:val="auto"/>
          <w:sz w:val="24"/>
          <w:szCs w:val="24"/>
        </w:rPr>
        <w:t>；</w:t>
      </w:r>
    </w:p>
    <w:p w14:paraId="647825FA">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（3）乙方自行解决本项目管理和监理人员的生活、办公场地和设施、交通工具及通讯设施。此项费用已计入本合同约定的监理服务酬金中。</w:t>
      </w:r>
    </w:p>
    <w:p w14:paraId="7E3F5D39">
      <w:pPr>
        <w:spacing w:line="500" w:lineRule="exact"/>
        <w:ind w:firstLine="476" w:firstLineChars="200"/>
        <w:rPr>
          <w:rFonts w:hAnsi="宋体" w:cs="宋体"/>
          <w:color w:val="auto"/>
          <w:spacing w:val="-1"/>
          <w:sz w:val="24"/>
          <w:szCs w:val="24"/>
        </w:rPr>
      </w:pPr>
      <w:r>
        <w:rPr>
          <w:rFonts w:hint="eastAsia" w:hAnsi="宋体" w:cs="宋体"/>
          <w:color w:val="auto"/>
          <w:spacing w:val="-1"/>
          <w:sz w:val="24"/>
          <w:szCs w:val="24"/>
        </w:rPr>
        <w:t>（4）负责本项目施工及收尾阶段的项目管理服务工作，严格控制项目投资和工期；</w:t>
      </w:r>
    </w:p>
    <w:p w14:paraId="4AF03CD3">
      <w:pPr>
        <w:spacing w:line="500" w:lineRule="exact"/>
        <w:ind w:firstLine="476" w:firstLineChars="200"/>
        <w:rPr>
          <w:rFonts w:hAnsi="宋体" w:cs="宋体"/>
          <w:color w:val="auto"/>
          <w:spacing w:val="-1"/>
          <w:sz w:val="24"/>
          <w:szCs w:val="24"/>
        </w:rPr>
      </w:pPr>
      <w:r>
        <w:rPr>
          <w:rFonts w:hint="eastAsia" w:hAnsi="宋体" w:cs="宋体"/>
          <w:color w:val="auto"/>
          <w:spacing w:val="-1"/>
          <w:sz w:val="24"/>
          <w:szCs w:val="24"/>
        </w:rPr>
        <w:t>（5）负责编制项目管理方案，落实项目管理服务机构的主要责任及其他主要专业责任人的配备和各项管理制度的建立；</w:t>
      </w:r>
    </w:p>
    <w:p w14:paraId="028CDDBC">
      <w:pPr>
        <w:spacing w:line="500" w:lineRule="exact"/>
        <w:ind w:firstLine="476" w:firstLineChars="200"/>
        <w:rPr>
          <w:rFonts w:hAnsi="宋体" w:cs="宋体"/>
          <w:color w:val="auto"/>
          <w:spacing w:val="-1"/>
          <w:sz w:val="24"/>
          <w:szCs w:val="24"/>
        </w:rPr>
      </w:pPr>
      <w:r>
        <w:rPr>
          <w:rFonts w:hint="eastAsia" w:hAnsi="宋体" w:cs="宋体"/>
          <w:color w:val="auto"/>
          <w:spacing w:val="-1"/>
          <w:sz w:val="24"/>
          <w:szCs w:val="24"/>
        </w:rPr>
        <w:t>（6）负责以</w:t>
      </w:r>
      <w:r>
        <w:rPr>
          <w:rFonts w:hint="eastAsia" w:hAnsi="宋体" w:cs="宋体"/>
          <w:color w:val="auto"/>
          <w:sz w:val="24"/>
          <w:szCs w:val="24"/>
        </w:rPr>
        <w:t>甲方</w:t>
      </w:r>
      <w:r>
        <w:rPr>
          <w:rFonts w:hint="eastAsia" w:hAnsi="宋体" w:cs="宋体"/>
          <w:color w:val="auto"/>
          <w:spacing w:val="-1"/>
          <w:sz w:val="24"/>
          <w:szCs w:val="24"/>
        </w:rPr>
        <w:t>名义具体办理项目管理项目有关规划、建设等报建手续；</w:t>
      </w:r>
    </w:p>
    <w:p w14:paraId="76E73EA4">
      <w:pPr>
        <w:spacing w:line="500" w:lineRule="exact"/>
        <w:ind w:firstLine="476" w:firstLineChars="200"/>
        <w:rPr>
          <w:rFonts w:hAnsi="宋体" w:cs="宋体"/>
          <w:color w:val="auto"/>
          <w:spacing w:val="-1"/>
          <w:sz w:val="24"/>
          <w:szCs w:val="24"/>
        </w:rPr>
      </w:pPr>
      <w:r>
        <w:rPr>
          <w:rFonts w:hint="eastAsia" w:hAnsi="宋体" w:cs="宋体"/>
          <w:color w:val="auto"/>
          <w:spacing w:val="-1"/>
          <w:sz w:val="24"/>
          <w:szCs w:val="24"/>
        </w:rPr>
        <w:t>（7）负责项目施工过程中的设计质量、施工质量、安全、工程进度及投资管理；负责核定工程签证和设计变更；</w:t>
      </w:r>
    </w:p>
    <w:p w14:paraId="62F15C0C">
      <w:pPr>
        <w:spacing w:line="500" w:lineRule="exact"/>
        <w:ind w:firstLine="476" w:firstLineChars="200"/>
        <w:rPr>
          <w:rFonts w:hAnsi="宋体" w:cs="宋体"/>
          <w:color w:val="auto"/>
          <w:spacing w:val="-1"/>
          <w:sz w:val="24"/>
          <w:szCs w:val="24"/>
        </w:rPr>
      </w:pPr>
      <w:r>
        <w:rPr>
          <w:rFonts w:hint="eastAsia" w:hAnsi="宋体" w:cs="宋体"/>
          <w:color w:val="auto"/>
          <w:spacing w:val="-1"/>
          <w:sz w:val="24"/>
          <w:szCs w:val="24"/>
        </w:rPr>
        <w:t>（8）负责按月向</w:t>
      </w:r>
      <w:r>
        <w:rPr>
          <w:rFonts w:hint="eastAsia" w:hAnsi="宋体" w:cs="宋体"/>
          <w:color w:val="auto"/>
          <w:sz w:val="24"/>
          <w:szCs w:val="24"/>
        </w:rPr>
        <w:t>甲方</w:t>
      </w:r>
      <w:r>
        <w:rPr>
          <w:rFonts w:hint="eastAsia" w:hAnsi="宋体" w:cs="宋体"/>
          <w:color w:val="auto"/>
          <w:spacing w:val="-1"/>
          <w:sz w:val="24"/>
          <w:szCs w:val="24"/>
        </w:rPr>
        <w:t>报送工程进度和资金使用计划，按合同约定审定参建方工程价款拨付；</w:t>
      </w:r>
    </w:p>
    <w:p w14:paraId="712E79F5">
      <w:pPr>
        <w:spacing w:line="500" w:lineRule="exact"/>
        <w:ind w:firstLine="476" w:firstLineChars="200"/>
        <w:rPr>
          <w:rFonts w:hAnsi="宋体" w:cs="宋体"/>
          <w:color w:val="auto"/>
          <w:spacing w:val="-1"/>
          <w:sz w:val="24"/>
          <w:szCs w:val="24"/>
        </w:rPr>
      </w:pPr>
      <w:r>
        <w:rPr>
          <w:rFonts w:hint="eastAsia" w:hAnsi="宋体" w:cs="宋体"/>
          <w:color w:val="auto"/>
          <w:spacing w:val="-1"/>
          <w:sz w:val="24"/>
          <w:szCs w:val="24"/>
        </w:rPr>
        <w:t>（9）负责组织项目建设过程的各类会议，收集整理、审核相关资料，协助</w:t>
      </w:r>
      <w:r>
        <w:rPr>
          <w:rFonts w:hint="eastAsia" w:hAnsi="宋体" w:cs="宋体"/>
          <w:color w:val="auto"/>
          <w:sz w:val="24"/>
          <w:szCs w:val="24"/>
        </w:rPr>
        <w:t>甲方</w:t>
      </w:r>
      <w:r>
        <w:rPr>
          <w:rFonts w:hint="eastAsia" w:hAnsi="宋体" w:cs="宋体"/>
          <w:color w:val="auto"/>
          <w:spacing w:val="-1"/>
          <w:sz w:val="24"/>
          <w:szCs w:val="24"/>
        </w:rPr>
        <w:t>组织参建各方对项目交工和竣工验收工作；</w:t>
      </w:r>
    </w:p>
    <w:p w14:paraId="6A122202">
      <w:pPr>
        <w:spacing w:line="500" w:lineRule="exact"/>
        <w:ind w:firstLine="476" w:firstLineChars="200"/>
        <w:rPr>
          <w:rFonts w:hAnsi="宋体" w:cs="宋体"/>
          <w:color w:val="auto"/>
          <w:spacing w:val="-1"/>
          <w:sz w:val="24"/>
          <w:szCs w:val="24"/>
        </w:rPr>
      </w:pPr>
      <w:r>
        <w:rPr>
          <w:rFonts w:hint="eastAsia" w:hAnsi="宋体" w:cs="宋体"/>
          <w:color w:val="auto"/>
          <w:spacing w:val="-1"/>
          <w:sz w:val="24"/>
          <w:szCs w:val="24"/>
        </w:rPr>
        <w:t>（10）负责组织编制竣工结算和竣工财务决算，并报</w:t>
      </w:r>
      <w:r>
        <w:rPr>
          <w:rFonts w:hint="eastAsia" w:hAnsi="宋体" w:cs="宋体"/>
          <w:color w:val="auto"/>
          <w:sz w:val="24"/>
          <w:szCs w:val="24"/>
        </w:rPr>
        <w:t>甲方</w:t>
      </w:r>
      <w:r>
        <w:rPr>
          <w:rFonts w:hint="eastAsia" w:hAnsi="宋体" w:cs="宋体"/>
          <w:color w:val="auto"/>
          <w:spacing w:val="-1"/>
          <w:sz w:val="24"/>
          <w:szCs w:val="24"/>
        </w:rPr>
        <w:t>；</w:t>
      </w:r>
    </w:p>
    <w:p w14:paraId="69F0924B">
      <w:pPr>
        <w:spacing w:line="500" w:lineRule="exact"/>
        <w:ind w:firstLine="476" w:firstLineChars="200"/>
        <w:rPr>
          <w:rFonts w:hAnsi="宋体" w:cs="宋体"/>
          <w:color w:val="auto"/>
          <w:spacing w:val="-1"/>
          <w:sz w:val="24"/>
          <w:szCs w:val="24"/>
        </w:rPr>
      </w:pPr>
      <w:r>
        <w:rPr>
          <w:rFonts w:hint="eastAsia" w:hAnsi="宋体" w:cs="宋体"/>
          <w:color w:val="auto"/>
          <w:spacing w:val="-1"/>
          <w:sz w:val="24"/>
          <w:szCs w:val="24"/>
        </w:rPr>
        <w:t>（11）负责做好项目信息传达、沟通管理，及时将重大事项报告</w:t>
      </w:r>
      <w:r>
        <w:rPr>
          <w:rFonts w:hint="eastAsia" w:hAnsi="宋体" w:cs="宋体"/>
          <w:color w:val="auto"/>
          <w:sz w:val="24"/>
          <w:szCs w:val="24"/>
        </w:rPr>
        <w:t>甲方</w:t>
      </w:r>
      <w:r>
        <w:rPr>
          <w:rFonts w:hint="eastAsia" w:hAnsi="宋体" w:cs="宋体"/>
          <w:color w:val="auto"/>
          <w:spacing w:val="-1"/>
          <w:sz w:val="24"/>
          <w:szCs w:val="24"/>
        </w:rPr>
        <w:t>并传达相关参建方；</w:t>
      </w:r>
    </w:p>
    <w:p w14:paraId="26A5208B">
      <w:pPr>
        <w:spacing w:line="500" w:lineRule="exact"/>
        <w:ind w:firstLine="476" w:firstLineChars="200"/>
        <w:rPr>
          <w:rFonts w:hAnsi="宋体" w:cs="宋体"/>
          <w:color w:val="auto"/>
          <w:spacing w:val="-1"/>
          <w:sz w:val="24"/>
          <w:szCs w:val="24"/>
        </w:rPr>
      </w:pPr>
      <w:r>
        <w:rPr>
          <w:rFonts w:hint="eastAsia" w:hAnsi="宋体" w:cs="宋体"/>
          <w:color w:val="auto"/>
          <w:spacing w:val="-1"/>
          <w:sz w:val="24"/>
          <w:szCs w:val="24"/>
        </w:rPr>
        <w:t>（12）负责在缺陷责任期内组织维修管理、索赔和追责等工作；</w:t>
      </w:r>
    </w:p>
    <w:p w14:paraId="2490B8B1">
      <w:pPr>
        <w:spacing w:line="500" w:lineRule="exact"/>
        <w:ind w:firstLine="476" w:firstLineChars="200"/>
        <w:rPr>
          <w:rFonts w:hAnsi="宋体" w:cs="宋体"/>
          <w:color w:val="auto"/>
          <w:spacing w:val="-1"/>
          <w:sz w:val="24"/>
          <w:szCs w:val="24"/>
        </w:rPr>
      </w:pPr>
      <w:r>
        <w:rPr>
          <w:rFonts w:hint="eastAsia" w:hAnsi="宋体" w:cs="宋体"/>
          <w:color w:val="auto"/>
          <w:spacing w:val="-1"/>
          <w:sz w:val="24"/>
          <w:szCs w:val="24"/>
        </w:rPr>
        <w:t>（13）项目管理和监理服务合同约定的其他事项。</w:t>
      </w:r>
    </w:p>
    <w:p w14:paraId="0D999597">
      <w:pPr>
        <w:spacing w:line="500" w:lineRule="exact"/>
        <w:rPr>
          <w:rFonts w:hAnsi="宋体" w:cs="宋体"/>
          <w:b/>
          <w:color w:val="auto"/>
          <w:sz w:val="24"/>
          <w:szCs w:val="24"/>
        </w:rPr>
      </w:pPr>
      <w:r>
        <w:rPr>
          <w:rFonts w:hint="eastAsia" w:hAnsi="宋体" w:cs="宋体"/>
          <w:b/>
          <w:color w:val="auto"/>
          <w:sz w:val="24"/>
          <w:szCs w:val="24"/>
        </w:rPr>
        <w:t>九、违约责任</w:t>
      </w:r>
    </w:p>
    <w:p w14:paraId="7C643EFE">
      <w:pPr>
        <w:tabs>
          <w:tab w:val="left" w:pos="840"/>
        </w:tabs>
        <w:spacing w:line="500" w:lineRule="exact"/>
        <w:ind w:firstLine="480" w:firstLineChars="200"/>
        <w:rPr>
          <w:rFonts w:hAnsi="宋体" w:cs="宋体"/>
          <w:color w:val="auto"/>
          <w:sz w:val="24"/>
          <w:szCs w:val="24"/>
        </w:rPr>
      </w:pPr>
      <w:r>
        <w:rPr>
          <w:rFonts w:hint="eastAsia" w:hAnsi="宋体" w:cs="宋体"/>
          <w:color w:val="auto"/>
          <w:sz w:val="24"/>
          <w:szCs w:val="24"/>
        </w:rPr>
        <w:t>（一）依据《中华人民共和国民法典》的相关条款和本合同约定，乙方未全面履行合同义务或者发生违约，</w:t>
      </w:r>
      <w:r>
        <w:rPr>
          <w:rFonts w:hAnsi="宋体" w:cs="宋体"/>
          <w:color w:val="auto"/>
          <w:sz w:val="24"/>
          <w:szCs w:val="24"/>
        </w:rPr>
        <w:t>甲方</w:t>
      </w:r>
      <w:r>
        <w:rPr>
          <w:rFonts w:hint="eastAsia" w:hAnsi="宋体" w:cs="宋体"/>
          <w:color w:val="auto"/>
          <w:sz w:val="24"/>
          <w:szCs w:val="24"/>
        </w:rPr>
        <w:t>有权单方解除本合同，依法向乙方进行经济索赔，并报请上一级监督管理机关进行相应的行政处罚。</w:t>
      </w:r>
    </w:p>
    <w:p w14:paraId="1C35E42F">
      <w:pPr>
        <w:tabs>
          <w:tab w:val="left" w:pos="840"/>
        </w:tabs>
        <w:spacing w:line="500" w:lineRule="exact"/>
        <w:ind w:firstLine="480" w:firstLineChars="200"/>
        <w:rPr>
          <w:rFonts w:hAnsi="宋体" w:cs="宋体"/>
          <w:color w:val="auto"/>
          <w:sz w:val="24"/>
          <w:szCs w:val="24"/>
        </w:rPr>
      </w:pPr>
      <w:r>
        <w:rPr>
          <w:rFonts w:hint="eastAsia" w:hAnsi="宋体" w:cs="宋体"/>
          <w:color w:val="auto"/>
          <w:sz w:val="24"/>
          <w:szCs w:val="24"/>
        </w:rPr>
        <w:t>（二）未经甲方书面同意，乙方不得转让或部分转让合同，否则，甲方有权单方解除合同，要求乙方承担合同总金额20%的违约责任，并赔偿由此给甲方造成的损失，包括但不限于直接损失、间接损失。</w:t>
      </w:r>
    </w:p>
    <w:p w14:paraId="72C88CAC">
      <w:pPr>
        <w:tabs>
          <w:tab w:val="left" w:pos="840"/>
        </w:tabs>
        <w:spacing w:line="500" w:lineRule="exact"/>
        <w:ind w:firstLine="480" w:firstLineChars="200"/>
        <w:rPr>
          <w:rFonts w:hAnsi="宋体" w:cs="宋体"/>
          <w:color w:val="auto"/>
          <w:sz w:val="24"/>
          <w:szCs w:val="24"/>
        </w:rPr>
      </w:pPr>
      <w:r>
        <w:rPr>
          <w:rFonts w:hint="eastAsia" w:hAnsi="宋体" w:cs="宋体"/>
          <w:color w:val="auto"/>
          <w:sz w:val="24"/>
          <w:szCs w:val="24"/>
        </w:rPr>
        <w:t>（三）乙方保证为本活动提供的服务团队的专业性和稳定性，乙方提供服务不符合本合同约定及甲方要求的，甲方有权要求乙方替换相应工作人员或采取补救措施。乙方拒绝更换人员、采取补救措施，或更换后仍不符合甲方要求的，甲方有权单方解除本合同，乙方应承担合同总价款20%的违约金，并赔偿由此给甲方造成的全部损失。</w:t>
      </w:r>
    </w:p>
    <w:p w14:paraId="12CA8B5B">
      <w:pPr>
        <w:tabs>
          <w:tab w:val="left" w:pos="840"/>
        </w:tabs>
        <w:spacing w:line="500" w:lineRule="exact"/>
        <w:ind w:firstLine="480" w:firstLineChars="200"/>
        <w:rPr>
          <w:rFonts w:hAnsi="宋体" w:cs="宋体"/>
          <w:color w:val="auto"/>
          <w:sz w:val="24"/>
          <w:szCs w:val="24"/>
        </w:rPr>
      </w:pPr>
      <w:r>
        <w:rPr>
          <w:rFonts w:hint="eastAsia" w:hAnsi="宋体" w:cs="宋体"/>
          <w:color w:val="auto"/>
          <w:sz w:val="24"/>
          <w:szCs w:val="24"/>
        </w:rPr>
        <w:t>（四）乙方履行本合同义务有其他不符合约定或甲方合理要求情形的，应及时采取补救措施，乙方拒绝补救或经采取补救措施仍不达标的，甲方有权单方解除本合同，甲方解除合同的，乙方除返还已收取的价款，向甲方支付本合同总价款20%的违约金，还应赔偿由此给甲方造成的全部损失。</w:t>
      </w:r>
    </w:p>
    <w:p w14:paraId="58C5E554">
      <w:pPr>
        <w:tabs>
          <w:tab w:val="left" w:pos="840"/>
        </w:tabs>
        <w:spacing w:line="500" w:lineRule="exact"/>
        <w:ind w:firstLine="480" w:firstLineChars="200"/>
        <w:rPr>
          <w:rFonts w:hAnsi="宋体" w:cs="宋体"/>
          <w:color w:val="auto"/>
          <w:sz w:val="24"/>
          <w:szCs w:val="24"/>
        </w:rPr>
      </w:pPr>
      <w:r>
        <w:rPr>
          <w:rFonts w:hint="eastAsia" w:hAnsi="宋体" w:cs="宋体"/>
          <w:color w:val="auto"/>
          <w:sz w:val="24"/>
          <w:szCs w:val="24"/>
        </w:rPr>
        <w:t>（五）乙方履行本合同完成工作成果的知识产权属甲方所有，非经甲方书面确认，乙方不得将其用作本合同外其他用途。否则，乙方因此获得的收益属甲方所有。由此导致甲方被第三方主张侵权、提出异议或其他权利主张的，乙方需出面协商解决，并承担由此给甲方造成的全部损失，包括但不限于直接损失、间接损失。</w:t>
      </w:r>
    </w:p>
    <w:p w14:paraId="5F7D6978">
      <w:pPr>
        <w:tabs>
          <w:tab w:val="left" w:pos="840"/>
        </w:tabs>
        <w:spacing w:line="500" w:lineRule="exact"/>
        <w:ind w:firstLine="480" w:firstLineChars="200"/>
        <w:rPr>
          <w:rFonts w:hAnsi="宋体" w:cs="宋体"/>
          <w:color w:val="auto"/>
          <w:sz w:val="24"/>
          <w:szCs w:val="24"/>
        </w:rPr>
      </w:pPr>
      <w:r>
        <w:rPr>
          <w:rFonts w:hint="eastAsia" w:hAnsi="宋体" w:cs="宋体"/>
          <w:color w:val="auto"/>
          <w:sz w:val="24"/>
          <w:szCs w:val="24"/>
        </w:rPr>
        <w:t>（六）乙方有上述违约情形的，甲方有权单方解除本合同。甲方行使单方解除权的，乙方需于三日内退还甲方已支付合同款，并向甲方支付本合同总价款20%的违约金，还应赔偿由此给甲方造成的全部损失，范围包括给甲方造成的实际损失、可预期利益，以及甲方因维权所产生的诉讼费、律师费、公证费、保全费、差旅费等全部相关费用。</w:t>
      </w:r>
    </w:p>
    <w:p w14:paraId="4536FDA3">
      <w:pPr>
        <w:tabs>
          <w:tab w:val="left" w:pos="840"/>
        </w:tabs>
        <w:spacing w:line="500" w:lineRule="exact"/>
        <w:ind w:firstLine="480" w:firstLineChars="200"/>
        <w:rPr>
          <w:color w:val="auto"/>
          <w:sz w:val="24"/>
          <w:szCs w:val="24"/>
        </w:rPr>
      </w:pPr>
      <w:r>
        <w:rPr>
          <w:rFonts w:hAnsi="宋体" w:cs="宋体"/>
          <w:color w:val="auto"/>
          <w:sz w:val="24"/>
          <w:szCs w:val="24"/>
        </w:rPr>
        <w:t>（七）</w:t>
      </w:r>
      <w:r>
        <w:rPr>
          <w:rFonts w:hint="eastAsia"/>
          <w:color w:val="auto"/>
          <w:sz w:val="24"/>
          <w:szCs w:val="24"/>
        </w:rPr>
        <w:t>在进场时，未经甲方书面同意，</w:t>
      </w:r>
      <w:r>
        <w:rPr>
          <w:color w:val="auto"/>
          <w:sz w:val="24"/>
          <w:szCs w:val="24"/>
        </w:rPr>
        <w:t>乙方</w:t>
      </w:r>
      <w:r>
        <w:rPr>
          <w:rFonts w:hint="eastAsia"/>
          <w:color w:val="auto"/>
          <w:sz w:val="24"/>
          <w:szCs w:val="24"/>
        </w:rPr>
        <w:t>擅自更换投标文件中项目负责人或总监理工程师人选或更换其它人员超过投标文件中监理人员总数的20％，向</w:t>
      </w:r>
      <w:r>
        <w:rPr>
          <w:color w:val="auto"/>
          <w:sz w:val="24"/>
          <w:szCs w:val="24"/>
        </w:rPr>
        <w:t>甲方</w:t>
      </w:r>
      <w:r>
        <w:rPr>
          <w:rFonts w:hint="eastAsia"/>
          <w:color w:val="auto"/>
          <w:sz w:val="24"/>
          <w:szCs w:val="24"/>
        </w:rPr>
        <w:t>支付违约金标准为项目负责人或总监理工程师2</w:t>
      </w:r>
      <w:r>
        <w:rPr>
          <w:color w:val="auto"/>
          <w:sz w:val="24"/>
          <w:szCs w:val="24"/>
        </w:rPr>
        <w:t>000</w:t>
      </w:r>
      <w:r>
        <w:rPr>
          <w:rFonts w:hint="eastAsia"/>
          <w:color w:val="auto"/>
          <w:sz w:val="24"/>
          <w:szCs w:val="24"/>
        </w:rPr>
        <w:t>元/人，专业管理和监理人员1</w:t>
      </w:r>
      <w:r>
        <w:rPr>
          <w:color w:val="auto"/>
          <w:sz w:val="24"/>
          <w:szCs w:val="24"/>
        </w:rPr>
        <w:t>000</w:t>
      </w:r>
      <w:r>
        <w:rPr>
          <w:rFonts w:hint="eastAsia"/>
          <w:color w:val="auto"/>
          <w:sz w:val="24"/>
          <w:szCs w:val="24"/>
        </w:rPr>
        <w:t>元/人。</w:t>
      </w:r>
    </w:p>
    <w:p w14:paraId="2928FC96">
      <w:pPr>
        <w:tabs>
          <w:tab w:val="left" w:pos="840"/>
        </w:tabs>
        <w:spacing w:line="500" w:lineRule="exact"/>
        <w:ind w:firstLine="480" w:firstLineChars="200"/>
        <w:rPr>
          <w:rFonts w:hAnsi="宋体" w:cs="宋体"/>
          <w:color w:val="auto"/>
          <w:sz w:val="24"/>
          <w:szCs w:val="24"/>
        </w:rPr>
      </w:pPr>
      <w:r>
        <w:rPr>
          <w:rFonts w:hAnsi="宋体" w:cs="宋体"/>
          <w:color w:val="auto"/>
          <w:sz w:val="24"/>
          <w:szCs w:val="24"/>
        </w:rPr>
        <w:t>（八）乙方</w:t>
      </w:r>
      <w:r>
        <w:rPr>
          <w:rFonts w:hint="eastAsia" w:hAnsi="宋体" w:cs="宋体"/>
          <w:color w:val="auto"/>
          <w:sz w:val="24"/>
          <w:szCs w:val="24"/>
        </w:rPr>
        <w:t>派往本项目的管理和监理人员必须常驻现场，管理和监理人员不到位</w:t>
      </w:r>
      <w:r>
        <w:rPr>
          <w:rFonts w:hAnsi="宋体" w:cs="宋体"/>
          <w:color w:val="auto"/>
          <w:sz w:val="24"/>
          <w:szCs w:val="24"/>
        </w:rPr>
        <w:t>乙方</w:t>
      </w:r>
      <w:r>
        <w:rPr>
          <w:rFonts w:hint="eastAsia" w:hAnsi="宋体" w:cs="宋体"/>
          <w:color w:val="auto"/>
          <w:sz w:val="24"/>
          <w:szCs w:val="24"/>
        </w:rPr>
        <w:t>向甲方支付违约金200元/天。</w:t>
      </w:r>
    </w:p>
    <w:p w14:paraId="1461B0A8">
      <w:pPr>
        <w:tabs>
          <w:tab w:val="left" w:pos="840"/>
        </w:tabs>
        <w:spacing w:line="500" w:lineRule="exact"/>
        <w:ind w:firstLine="480" w:firstLineChars="200"/>
        <w:rPr>
          <w:rFonts w:hAnsi="宋体" w:cs="宋体"/>
          <w:color w:val="auto"/>
          <w:sz w:val="24"/>
          <w:szCs w:val="24"/>
        </w:rPr>
      </w:pPr>
      <w:r>
        <w:rPr>
          <w:rFonts w:hAnsi="宋体" w:cs="宋体"/>
          <w:color w:val="auto"/>
          <w:sz w:val="24"/>
          <w:szCs w:val="24"/>
        </w:rPr>
        <w:t>（九）</w:t>
      </w:r>
      <w:r>
        <w:rPr>
          <w:rFonts w:hint="eastAsia" w:hAnsi="宋体" w:cs="宋体"/>
          <w:color w:val="auto"/>
          <w:sz w:val="24"/>
          <w:szCs w:val="24"/>
        </w:rPr>
        <w:t>若</w:t>
      </w:r>
      <w:r>
        <w:rPr>
          <w:rFonts w:hAnsi="宋体" w:cs="宋体"/>
          <w:color w:val="auto"/>
          <w:sz w:val="24"/>
          <w:szCs w:val="24"/>
        </w:rPr>
        <w:t>乙方</w:t>
      </w:r>
      <w:r>
        <w:rPr>
          <w:rFonts w:hint="eastAsia" w:hAnsi="宋体" w:cs="宋体"/>
          <w:color w:val="auto"/>
          <w:sz w:val="24"/>
          <w:szCs w:val="24"/>
        </w:rPr>
        <w:t>在履行管理和监理职责时未尽职尽责而致使工程施工中发生安全</w:t>
      </w:r>
      <w:r>
        <w:rPr>
          <w:rFonts w:hAnsi="宋体" w:cs="宋体"/>
          <w:color w:val="auto"/>
          <w:sz w:val="24"/>
          <w:szCs w:val="24"/>
        </w:rPr>
        <w:t>、质量</w:t>
      </w:r>
      <w:r>
        <w:rPr>
          <w:rFonts w:hint="eastAsia" w:hAnsi="宋体" w:cs="宋体"/>
          <w:color w:val="auto"/>
          <w:sz w:val="24"/>
          <w:szCs w:val="24"/>
        </w:rPr>
        <w:t>事故</w:t>
      </w:r>
      <w:r>
        <w:rPr>
          <w:rFonts w:hAnsi="宋体" w:cs="宋体"/>
          <w:color w:val="auto"/>
          <w:sz w:val="24"/>
          <w:szCs w:val="24"/>
        </w:rPr>
        <w:t>或严重环保问题</w:t>
      </w:r>
      <w:r>
        <w:rPr>
          <w:rFonts w:hint="eastAsia" w:hAnsi="宋体" w:cs="宋体"/>
          <w:color w:val="auto"/>
          <w:sz w:val="24"/>
          <w:szCs w:val="24"/>
        </w:rPr>
        <w:t>，</w:t>
      </w:r>
      <w:r>
        <w:rPr>
          <w:rFonts w:hAnsi="宋体" w:cs="宋体"/>
          <w:color w:val="auto"/>
          <w:sz w:val="24"/>
          <w:szCs w:val="24"/>
        </w:rPr>
        <w:t>乙方</w:t>
      </w:r>
      <w:r>
        <w:rPr>
          <w:rFonts w:hint="eastAsia" w:hAnsi="宋体" w:cs="宋体"/>
          <w:color w:val="auto"/>
          <w:sz w:val="24"/>
          <w:szCs w:val="24"/>
        </w:rPr>
        <w:t>除承担</w:t>
      </w:r>
      <w:r>
        <w:rPr>
          <w:rFonts w:hAnsi="宋体" w:cs="宋体"/>
          <w:color w:val="auto"/>
          <w:sz w:val="24"/>
          <w:szCs w:val="24"/>
        </w:rPr>
        <w:t>合同总价款20%</w:t>
      </w:r>
      <w:r>
        <w:rPr>
          <w:rFonts w:hint="eastAsia" w:hAnsi="宋体" w:cs="宋体"/>
          <w:color w:val="auto"/>
          <w:sz w:val="24"/>
          <w:szCs w:val="24"/>
        </w:rPr>
        <w:t>的违约金外，还应承担相应的法律责任。监理人员未按规定对主要工程或关键工序进行旁站、巡视或抽检，</w:t>
      </w:r>
      <w:r>
        <w:rPr>
          <w:rFonts w:hAnsi="宋体" w:cs="宋体"/>
          <w:color w:val="auto"/>
          <w:sz w:val="24"/>
          <w:szCs w:val="24"/>
        </w:rPr>
        <w:t>乙方</w:t>
      </w:r>
      <w:r>
        <w:rPr>
          <w:rFonts w:hint="eastAsia" w:hAnsi="宋体" w:cs="宋体"/>
          <w:color w:val="auto"/>
          <w:sz w:val="24"/>
          <w:szCs w:val="24"/>
        </w:rPr>
        <w:t>向</w:t>
      </w:r>
      <w:r>
        <w:rPr>
          <w:rFonts w:hAnsi="宋体" w:cs="宋体"/>
          <w:color w:val="auto"/>
          <w:sz w:val="24"/>
          <w:szCs w:val="24"/>
        </w:rPr>
        <w:t>甲方</w:t>
      </w:r>
      <w:r>
        <w:rPr>
          <w:rFonts w:hint="eastAsia" w:hAnsi="宋体" w:cs="宋体"/>
          <w:color w:val="auto"/>
          <w:sz w:val="24"/>
          <w:szCs w:val="24"/>
        </w:rPr>
        <w:t>按照2</w:t>
      </w:r>
      <w:r>
        <w:rPr>
          <w:rFonts w:hAnsi="宋体" w:cs="宋体"/>
          <w:color w:val="auto"/>
          <w:sz w:val="24"/>
          <w:szCs w:val="24"/>
        </w:rPr>
        <w:t>00</w:t>
      </w:r>
      <w:r>
        <w:rPr>
          <w:rFonts w:hint="eastAsia" w:hAnsi="宋体" w:cs="宋体"/>
          <w:color w:val="auto"/>
          <w:sz w:val="24"/>
          <w:szCs w:val="24"/>
        </w:rPr>
        <w:t xml:space="preserve"> 元/次的标准支付违约金。管理人员未按要求对项目管理过程进行监督管理，导致项目安全、质量、环保或进度等问题被甲方上级主管部门督办的，乙方向甲方按照200元/次的标准支付违约金。</w:t>
      </w:r>
    </w:p>
    <w:p w14:paraId="19B7CBE5">
      <w:pPr>
        <w:spacing w:line="500" w:lineRule="exact"/>
        <w:rPr>
          <w:rFonts w:hAnsi="宋体" w:cs="宋体"/>
          <w:b/>
          <w:color w:val="auto"/>
          <w:sz w:val="24"/>
          <w:szCs w:val="24"/>
        </w:rPr>
      </w:pPr>
      <w:r>
        <w:rPr>
          <w:rFonts w:hint="eastAsia" w:hAnsi="宋体" w:cs="宋体"/>
          <w:b/>
          <w:color w:val="auto"/>
          <w:sz w:val="24"/>
          <w:szCs w:val="24"/>
        </w:rPr>
        <w:t>十、保密要求</w:t>
      </w:r>
    </w:p>
    <w:p w14:paraId="3EDC6470">
      <w:pPr>
        <w:tabs>
          <w:tab w:val="left" w:pos="1080"/>
        </w:tabs>
        <w:spacing w:line="500" w:lineRule="exact"/>
        <w:ind w:firstLine="360" w:firstLineChars="150"/>
        <w:rPr>
          <w:rFonts w:hAnsi="宋体" w:cs="宋体"/>
          <w:color w:val="auto"/>
          <w:sz w:val="24"/>
          <w:szCs w:val="24"/>
        </w:rPr>
      </w:pPr>
      <w:r>
        <w:rPr>
          <w:rFonts w:hint="eastAsia" w:hAnsi="宋体" w:cs="宋体"/>
          <w:color w:val="auto"/>
          <w:sz w:val="24"/>
          <w:szCs w:val="24"/>
        </w:rPr>
        <w:t xml:space="preserve"> 乙方应妥善保管甲方所提供的有关资料，对工作中了解到的甲方的信息等进行保密，未经甲方书面同意，不得泄露、发布、用于本合同以外的他用或转让第三方。本合同的解除或终止不免除乙方应承担的保密义务。</w:t>
      </w:r>
    </w:p>
    <w:p w14:paraId="0E8EFA1C">
      <w:pPr>
        <w:tabs>
          <w:tab w:val="left" w:pos="1080"/>
        </w:tabs>
        <w:spacing w:line="500" w:lineRule="exact"/>
        <w:ind w:firstLine="480" w:firstLineChars="200"/>
        <w:rPr>
          <w:color w:val="auto"/>
          <w:sz w:val="24"/>
          <w:szCs w:val="24"/>
        </w:rPr>
      </w:pPr>
      <w:r>
        <w:rPr>
          <w:rFonts w:hAnsi="宋体" w:cs="宋体"/>
          <w:color w:val="auto"/>
          <w:sz w:val="24"/>
          <w:szCs w:val="24"/>
        </w:rPr>
        <w:t>本条效力不因本合同的解除、终止、撤销而受影响。双方保密期限至上述资料及信息向社会不特定公众公开日止。</w:t>
      </w:r>
    </w:p>
    <w:p w14:paraId="705A84DC">
      <w:pPr>
        <w:spacing w:line="500" w:lineRule="exact"/>
        <w:rPr>
          <w:rFonts w:hAnsi="宋体" w:cs="宋体"/>
          <w:b/>
          <w:color w:val="auto"/>
          <w:sz w:val="24"/>
          <w:szCs w:val="24"/>
        </w:rPr>
      </w:pPr>
      <w:r>
        <w:rPr>
          <w:rFonts w:hint="eastAsia" w:hAnsi="宋体" w:cs="宋体"/>
          <w:b/>
          <w:color w:val="auto"/>
          <w:sz w:val="24"/>
          <w:szCs w:val="24"/>
        </w:rPr>
        <w:t>十一、不可抗力</w:t>
      </w:r>
    </w:p>
    <w:p w14:paraId="50D11CEE">
      <w:pPr>
        <w:spacing w:line="500" w:lineRule="exact"/>
        <w:ind w:firstLine="480" w:firstLineChars="200"/>
        <w:rPr>
          <w:rFonts w:hAnsi="宋体" w:cs="宋体"/>
          <w:color w:val="auto"/>
          <w:sz w:val="24"/>
          <w:szCs w:val="24"/>
        </w:rPr>
      </w:pPr>
      <w:r>
        <w:rPr>
          <w:rFonts w:hint="eastAsia" w:hAnsi="宋体" w:cs="宋体"/>
          <w:color w:val="auto"/>
          <w:sz w:val="24"/>
          <w:szCs w:val="24"/>
        </w:rPr>
        <w:t>如果因不可抗力影响合同正常履行，遭受不可抗力一方应及时书面通知对方，双方认可后协商终止合同或暂时延迟合同的履行，因合同一方延迟履行发生不可抗力的，不能免除延迟履行方的相应责任。</w:t>
      </w:r>
    </w:p>
    <w:p w14:paraId="34514432">
      <w:pPr>
        <w:spacing w:line="500" w:lineRule="exact"/>
        <w:rPr>
          <w:rFonts w:hAnsi="宋体" w:cs="宋体"/>
          <w:b/>
          <w:color w:val="auto"/>
          <w:sz w:val="24"/>
          <w:szCs w:val="24"/>
        </w:rPr>
      </w:pPr>
      <w:r>
        <w:rPr>
          <w:rFonts w:hint="eastAsia" w:hAnsi="宋体" w:cs="宋体"/>
          <w:b/>
          <w:color w:val="auto"/>
          <w:sz w:val="24"/>
          <w:szCs w:val="24"/>
        </w:rPr>
        <w:t>十二、争议解决</w:t>
      </w:r>
    </w:p>
    <w:p w14:paraId="163A8570">
      <w:pPr>
        <w:spacing w:line="500" w:lineRule="exact"/>
        <w:ind w:firstLine="480" w:firstLineChars="200"/>
        <w:rPr>
          <w:rFonts w:hAnsi="宋体" w:cs="宋体"/>
          <w:color w:val="auto"/>
          <w:sz w:val="24"/>
          <w:szCs w:val="24"/>
        </w:rPr>
      </w:pPr>
      <w:r>
        <w:rPr>
          <w:rFonts w:hint="eastAsia" w:hAnsi="宋体" w:cs="宋体"/>
          <w:color w:val="auto"/>
          <w:sz w:val="24"/>
          <w:szCs w:val="24"/>
        </w:rPr>
        <w:t>本合同相关争议，双方应协商解决，协商不成的，任意一方有权向工程所在地有管辖权的人民法院提起诉讼。</w:t>
      </w:r>
    </w:p>
    <w:p w14:paraId="7F5F5938">
      <w:pPr>
        <w:spacing w:line="500" w:lineRule="exact"/>
        <w:rPr>
          <w:rFonts w:hAnsi="宋体" w:cs="宋体"/>
          <w:b/>
          <w:color w:val="auto"/>
          <w:sz w:val="24"/>
          <w:szCs w:val="24"/>
        </w:rPr>
      </w:pPr>
      <w:r>
        <w:rPr>
          <w:rFonts w:hint="eastAsia" w:hAnsi="宋体" w:cs="宋体"/>
          <w:b/>
          <w:color w:val="auto"/>
          <w:sz w:val="24"/>
          <w:szCs w:val="24"/>
        </w:rPr>
        <w:t>十三、送达条款</w:t>
      </w:r>
    </w:p>
    <w:p w14:paraId="09824F83">
      <w:pPr>
        <w:snapToGrid w:val="0"/>
        <w:spacing w:line="500" w:lineRule="exact"/>
        <w:ind w:firstLine="475" w:firstLineChars="198"/>
        <w:rPr>
          <w:rFonts w:hAnsi="宋体" w:cs="宋体"/>
          <w:color w:val="auto"/>
          <w:sz w:val="24"/>
          <w:szCs w:val="24"/>
        </w:rPr>
      </w:pPr>
      <w:bookmarkStart w:id="2" w:name="_Hlk138923348"/>
      <w:r>
        <w:rPr>
          <w:rFonts w:hint="eastAsia" w:hAnsi="宋体" w:cs="宋体"/>
          <w:color w:val="auto"/>
          <w:sz w:val="24"/>
          <w:szCs w:val="24"/>
        </w:rPr>
        <w:t>本合同所记载的地址和联系方式适用于双方往来联系、书面文件送达以及争议解决时法律文书的送达。因地址和联系方式错误而无法直接送达或妥投的，自交邮后的第三日视为送达。一方拟变更地址或联系方式的，应提前书面通知对方，且在对方实际收到变更通知后才发生变更效果，否则一方应按照原信息进行的送达一经送出即视为送达成功。</w:t>
      </w:r>
      <w:bookmarkEnd w:id="2"/>
    </w:p>
    <w:p w14:paraId="291C5ECF">
      <w:pPr>
        <w:spacing w:line="500" w:lineRule="exact"/>
        <w:rPr>
          <w:rFonts w:hAnsi="宋体" w:cs="宋体"/>
          <w:b/>
          <w:color w:val="auto"/>
          <w:sz w:val="24"/>
          <w:szCs w:val="24"/>
        </w:rPr>
      </w:pPr>
      <w:r>
        <w:rPr>
          <w:rFonts w:hint="eastAsia" w:hAnsi="宋体" w:cs="宋体"/>
          <w:b/>
          <w:color w:val="auto"/>
          <w:sz w:val="24"/>
          <w:szCs w:val="24"/>
        </w:rPr>
        <w:t>十四、合同订立</w:t>
      </w:r>
    </w:p>
    <w:p w14:paraId="7D9062D9">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1.订立时间：</w:t>
      </w:r>
      <w:r>
        <w:rPr>
          <w:rFonts w:hint="eastAsia" w:hAnsi="宋体" w:cs="宋体"/>
          <w:color w:val="auto"/>
          <w:sz w:val="24"/>
          <w:szCs w:val="24"/>
          <w:u w:val="single"/>
        </w:rPr>
        <w:t xml:space="preserve">     </w:t>
      </w:r>
      <w:r>
        <w:rPr>
          <w:rFonts w:hint="eastAsia" w:hAnsi="宋体" w:cs="宋体"/>
          <w:color w:val="auto"/>
          <w:sz w:val="24"/>
          <w:szCs w:val="24"/>
        </w:rPr>
        <w:t>年</w:t>
      </w:r>
      <w:r>
        <w:rPr>
          <w:rFonts w:hint="eastAsia" w:hAnsi="宋体" w:cs="宋体"/>
          <w:color w:val="auto"/>
          <w:sz w:val="24"/>
          <w:szCs w:val="24"/>
          <w:u w:val="single"/>
        </w:rPr>
        <w:t xml:space="preserve">     </w:t>
      </w:r>
      <w:r>
        <w:rPr>
          <w:rFonts w:hint="eastAsia" w:hAnsi="宋体" w:cs="宋体"/>
          <w:color w:val="auto"/>
          <w:sz w:val="24"/>
          <w:szCs w:val="24"/>
        </w:rPr>
        <w:t>月</w:t>
      </w:r>
      <w:r>
        <w:rPr>
          <w:rFonts w:hint="eastAsia" w:hAnsi="宋体" w:cs="宋体"/>
          <w:color w:val="auto"/>
          <w:sz w:val="24"/>
          <w:szCs w:val="24"/>
          <w:u w:val="single"/>
        </w:rPr>
        <w:t xml:space="preserve">     </w:t>
      </w:r>
      <w:r>
        <w:rPr>
          <w:rFonts w:hint="eastAsia" w:hAnsi="宋体" w:cs="宋体"/>
          <w:color w:val="auto"/>
          <w:sz w:val="24"/>
          <w:szCs w:val="24"/>
        </w:rPr>
        <w:t>日。</w:t>
      </w:r>
    </w:p>
    <w:p w14:paraId="33A46E1C">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2.订立地点：</w:t>
      </w:r>
      <w:r>
        <w:rPr>
          <w:rFonts w:hint="eastAsia" w:hAnsi="宋体" w:cs="宋体"/>
          <w:color w:val="auto"/>
          <w:sz w:val="24"/>
          <w:szCs w:val="24"/>
          <w:u w:val="single"/>
        </w:rPr>
        <w:t xml:space="preserve">                     </w:t>
      </w:r>
      <w:r>
        <w:rPr>
          <w:rFonts w:hint="eastAsia" w:hAnsi="宋体" w:cs="宋体"/>
          <w:color w:val="auto"/>
          <w:sz w:val="24"/>
          <w:szCs w:val="24"/>
        </w:rPr>
        <w:t>。</w:t>
      </w:r>
    </w:p>
    <w:p w14:paraId="119999D7">
      <w:pPr>
        <w:tabs>
          <w:tab w:val="left" w:pos="980"/>
        </w:tabs>
        <w:kinsoku w:val="0"/>
        <w:spacing w:line="500" w:lineRule="exact"/>
        <w:ind w:firstLine="480" w:firstLineChars="200"/>
        <w:rPr>
          <w:rFonts w:hAnsi="宋体" w:cs="宋体"/>
          <w:color w:val="auto"/>
          <w:sz w:val="24"/>
          <w:szCs w:val="24"/>
        </w:rPr>
      </w:pPr>
      <w:r>
        <w:rPr>
          <w:rFonts w:hint="eastAsia" w:hAnsi="宋体" w:cs="宋体"/>
          <w:color w:val="auto"/>
          <w:sz w:val="24"/>
          <w:szCs w:val="24"/>
        </w:rPr>
        <w:t>3. 本合同一式</w:t>
      </w:r>
      <w:r>
        <w:rPr>
          <w:rFonts w:hint="eastAsia" w:hAnsi="宋体" w:cs="宋体"/>
          <w:color w:val="auto"/>
          <w:sz w:val="24"/>
          <w:szCs w:val="24"/>
          <w:u w:val="single"/>
        </w:rPr>
        <w:t xml:space="preserve"> </w:t>
      </w:r>
      <w:r>
        <w:rPr>
          <w:rFonts w:hint="eastAsia" w:hAnsi="宋体" w:cs="宋体"/>
          <w:color w:val="auto"/>
          <w:sz w:val="24"/>
          <w:szCs w:val="24"/>
          <w:u w:val="single"/>
          <w:lang w:val="en-US" w:eastAsia="zh-CN"/>
        </w:rPr>
        <w:t xml:space="preserve">  </w:t>
      </w:r>
      <w:r>
        <w:rPr>
          <w:rFonts w:hint="eastAsia" w:hAnsi="宋体" w:cs="宋体"/>
          <w:color w:val="auto"/>
          <w:sz w:val="24"/>
          <w:szCs w:val="24"/>
          <w:u w:val="single"/>
        </w:rPr>
        <w:t xml:space="preserve"> </w:t>
      </w:r>
      <w:r>
        <w:rPr>
          <w:rFonts w:hint="eastAsia" w:hAnsi="宋体" w:cs="宋体"/>
          <w:color w:val="auto"/>
          <w:sz w:val="24"/>
          <w:szCs w:val="24"/>
        </w:rPr>
        <w:t>份，甲方</w:t>
      </w:r>
      <w:r>
        <w:rPr>
          <w:rFonts w:hint="eastAsia" w:hAnsi="宋体" w:cs="宋体"/>
          <w:color w:val="auto"/>
          <w:sz w:val="24"/>
          <w:szCs w:val="24"/>
          <w:u w:val="single"/>
          <w:lang w:val="en-US" w:eastAsia="zh-CN"/>
        </w:rPr>
        <w:t xml:space="preserve">    </w:t>
      </w:r>
      <w:r>
        <w:rPr>
          <w:rFonts w:hint="eastAsia" w:hAnsi="宋体" w:cs="宋体"/>
          <w:color w:val="auto"/>
          <w:sz w:val="24"/>
          <w:szCs w:val="24"/>
          <w:u w:val="single"/>
        </w:rPr>
        <w:t xml:space="preserve"> </w:t>
      </w:r>
      <w:r>
        <w:rPr>
          <w:rFonts w:hint="eastAsia" w:hAnsi="宋体" w:cs="宋体"/>
          <w:color w:val="auto"/>
          <w:sz w:val="24"/>
          <w:szCs w:val="24"/>
        </w:rPr>
        <w:t>份、乙方</w:t>
      </w:r>
      <w:r>
        <w:rPr>
          <w:rFonts w:hint="eastAsia" w:hAnsi="宋体" w:cs="宋体"/>
          <w:color w:val="auto"/>
          <w:sz w:val="24"/>
          <w:szCs w:val="24"/>
          <w:u w:val="single"/>
        </w:rPr>
        <w:t xml:space="preserve"> </w:t>
      </w:r>
      <w:r>
        <w:rPr>
          <w:rFonts w:hint="eastAsia" w:hAnsi="宋体" w:cs="宋体"/>
          <w:color w:val="auto"/>
          <w:sz w:val="24"/>
          <w:szCs w:val="24"/>
          <w:u w:val="single"/>
          <w:lang w:val="en-US" w:eastAsia="zh-CN"/>
        </w:rPr>
        <w:t xml:space="preserve">   </w:t>
      </w:r>
      <w:r>
        <w:rPr>
          <w:rFonts w:hint="eastAsia" w:hAnsi="宋体" w:cs="宋体"/>
          <w:color w:val="auto"/>
          <w:sz w:val="24"/>
          <w:szCs w:val="24"/>
          <w:u w:val="single"/>
        </w:rPr>
        <w:t xml:space="preserve"> </w:t>
      </w:r>
      <w:r>
        <w:rPr>
          <w:rFonts w:hint="eastAsia" w:hAnsi="宋体" w:cs="宋体"/>
          <w:color w:val="auto"/>
          <w:sz w:val="24"/>
          <w:szCs w:val="24"/>
        </w:rPr>
        <w:t>份，每份具有同等法律效力。双方法定代表人或授权代表签字并加盖双方公章或合同专用章后生效。</w:t>
      </w:r>
    </w:p>
    <w:p w14:paraId="62EDE596">
      <w:pPr>
        <w:snapToGrid w:val="0"/>
        <w:spacing w:line="500" w:lineRule="exact"/>
        <w:ind w:firstLine="475" w:firstLineChars="198"/>
        <w:rPr>
          <w:rFonts w:hAnsi="宋体" w:cs="宋体"/>
          <w:color w:val="auto"/>
          <w:sz w:val="24"/>
          <w:szCs w:val="24"/>
        </w:rPr>
      </w:pPr>
      <w:r>
        <w:rPr>
          <w:rFonts w:hint="eastAsia" w:hAnsi="宋体" w:cs="宋体"/>
          <w:color w:val="auto"/>
          <w:sz w:val="24"/>
          <w:szCs w:val="24"/>
        </w:rPr>
        <w:t>（以下无正文，双方签字盖章）</w:t>
      </w:r>
    </w:p>
    <w:p w14:paraId="5162EE76">
      <w:pPr>
        <w:tabs>
          <w:tab w:val="left" w:pos="980"/>
        </w:tabs>
        <w:kinsoku w:val="0"/>
        <w:spacing w:line="500" w:lineRule="exact"/>
        <w:ind w:firstLine="480" w:firstLineChars="200"/>
        <w:rPr>
          <w:rFonts w:hAnsi="宋体" w:cs="宋体"/>
          <w:color w:val="auto"/>
          <w:sz w:val="24"/>
          <w:szCs w:val="24"/>
        </w:rPr>
      </w:pPr>
    </w:p>
    <w:p w14:paraId="6C53DBF5">
      <w:pPr>
        <w:tabs>
          <w:tab w:val="left" w:pos="980"/>
        </w:tabs>
        <w:kinsoku w:val="0"/>
        <w:spacing w:line="500" w:lineRule="exact"/>
        <w:rPr>
          <w:rFonts w:hint="eastAsia" w:hAnsi="宋体" w:cs="宋体"/>
          <w:color w:val="auto"/>
          <w:sz w:val="24"/>
          <w:szCs w:val="24"/>
        </w:rPr>
      </w:pPr>
    </w:p>
    <w:p w14:paraId="6B0FA348">
      <w:pPr>
        <w:tabs>
          <w:tab w:val="left" w:pos="980"/>
        </w:tabs>
        <w:kinsoku w:val="0"/>
        <w:spacing w:line="500" w:lineRule="exact"/>
        <w:rPr>
          <w:rFonts w:hAnsi="宋体" w:cs="宋体"/>
          <w:color w:val="auto"/>
          <w:sz w:val="24"/>
          <w:szCs w:val="24"/>
        </w:rPr>
      </w:pPr>
      <w:r>
        <w:rPr>
          <w:rFonts w:hint="eastAsia" w:hAnsi="宋体" w:cs="宋体"/>
          <w:color w:val="auto"/>
          <w:sz w:val="24"/>
          <w:szCs w:val="24"/>
        </w:rPr>
        <w:br w:type="page"/>
      </w:r>
      <w:r>
        <w:rPr>
          <w:rFonts w:hint="eastAsia" w:hAnsi="宋体" w:cs="宋体"/>
          <w:color w:val="auto"/>
          <w:sz w:val="24"/>
          <w:szCs w:val="24"/>
        </w:rPr>
        <w:t>发包人：                          承包人：</w:t>
      </w:r>
    </w:p>
    <w:p w14:paraId="3E5FAD1B">
      <w:pPr>
        <w:tabs>
          <w:tab w:val="left" w:pos="980"/>
        </w:tabs>
        <w:kinsoku w:val="0"/>
        <w:spacing w:line="500" w:lineRule="exact"/>
        <w:ind w:firstLine="960" w:firstLineChars="400"/>
        <w:rPr>
          <w:rFonts w:hAnsi="宋体" w:cs="宋体"/>
          <w:color w:val="auto"/>
          <w:sz w:val="24"/>
          <w:szCs w:val="24"/>
        </w:rPr>
      </w:pPr>
      <w:r>
        <w:rPr>
          <w:rFonts w:hint="eastAsia" w:hAnsi="宋体" w:cs="宋体"/>
          <w:color w:val="auto"/>
          <w:sz w:val="24"/>
          <w:szCs w:val="24"/>
        </w:rPr>
        <w:t xml:space="preserve">              （公章）                                （公章）</w:t>
      </w:r>
    </w:p>
    <w:p w14:paraId="7EE7ED56">
      <w:pPr>
        <w:widowControl/>
        <w:tabs>
          <w:tab w:val="left" w:pos="980"/>
        </w:tabs>
        <w:kinsoku w:val="0"/>
        <w:spacing w:line="500" w:lineRule="exact"/>
        <w:rPr>
          <w:rFonts w:hAnsi="宋体" w:cs="宋体"/>
          <w:color w:val="auto"/>
          <w:sz w:val="24"/>
          <w:szCs w:val="24"/>
        </w:rPr>
      </w:pPr>
      <w:r>
        <w:rPr>
          <w:rFonts w:hint="eastAsia" w:hAnsi="宋体" w:cs="宋体"/>
          <w:color w:val="auto"/>
          <w:sz w:val="24"/>
          <w:szCs w:val="24"/>
        </w:rPr>
        <w:t>地  址：                          地  址：</w:t>
      </w:r>
    </w:p>
    <w:p w14:paraId="0466A21B">
      <w:pPr>
        <w:spacing w:line="500" w:lineRule="exact"/>
        <w:rPr>
          <w:rFonts w:hAnsi="宋体" w:cs="宋体"/>
          <w:bCs/>
          <w:color w:val="auto"/>
          <w:sz w:val="24"/>
          <w:szCs w:val="24"/>
        </w:rPr>
      </w:pPr>
      <w:r>
        <w:rPr>
          <w:rFonts w:hint="eastAsia" w:hAnsi="宋体" w:cs="宋体"/>
          <w:bCs/>
          <w:color w:val="auto"/>
          <w:sz w:val="24"/>
          <w:szCs w:val="24"/>
        </w:rPr>
        <w:t xml:space="preserve">法定代表人或其授权代表：          法定代表人或其授权代表：                       </w:t>
      </w:r>
    </w:p>
    <w:p w14:paraId="56AD92CD">
      <w:pPr>
        <w:tabs>
          <w:tab w:val="left" w:pos="5040"/>
        </w:tabs>
        <w:spacing w:line="500" w:lineRule="exact"/>
        <w:rPr>
          <w:rFonts w:hAnsi="宋体" w:cs="宋体"/>
          <w:bCs/>
          <w:color w:val="auto"/>
          <w:sz w:val="24"/>
          <w:szCs w:val="24"/>
        </w:rPr>
      </w:pPr>
      <w:r>
        <w:rPr>
          <w:rFonts w:hint="eastAsia" w:hAnsi="宋体" w:cs="宋体"/>
          <w:bCs/>
          <w:color w:val="auto"/>
          <w:sz w:val="24"/>
          <w:szCs w:val="24"/>
        </w:rPr>
        <w:t xml:space="preserve">电    话：                        电  话： </w:t>
      </w:r>
    </w:p>
    <w:p w14:paraId="51A41FBD">
      <w:pPr>
        <w:spacing w:line="500" w:lineRule="exact"/>
        <w:ind w:right="-298" w:rightChars="-142"/>
        <w:rPr>
          <w:rFonts w:hAnsi="宋体" w:cs="宋体"/>
          <w:bCs/>
          <w:color w:val="auto"/>
          <w:sz w:val="24"/>
          <w:szCs w:val="24"/>
        </w:rPr>
      </w:pPr>
      <w:r>
        <w:rPr>
          <w:rFonts w:hint="eastAsia" w:hAnsi="宋体" w:cs="宋体"/>
          <w:bCs/>
          <w:color w:val="auto"/>
          <w:sz w:val="24"/>
          <w:szCs w:val="24"/>
        </w:rPr>
        <w:t xml:space="preserve">开户银行：                        开户银行：  </w:t>
      </w:r>
    </w:p>
    <w:p w14:paraId="1ED0BCE5">
      <w:pPr>
        <w:spacing w:line="500" w:lineRule="exact"/>
        <w:rPr>
          <w:rFonts w:hAnsi="宋体" w:cs="宋体"/>
          <w:bCs/>
          <w:color w:val="auto"/>
          <w:sz w:val="24"/>
          <w:szCs w:val="24"/>
        </w:rPr>
      </w:pPr>
      <w:r>
        <w:rPr>
          <w:rFonts w:hint="eastAsia" w:hAnsi="宋体" w:cs="宋体"/>
          <w:bCs/>
          <w:color w:val="auto"/>
          <w:sz w:val="24"/>
          <w:szCs w:val="24"/>
        </w:rPr>
        <w:t xml:space="preserve">帐    号：                        帐  号： </w:t>
      </w:r>
    </w:p>
    <w:p w14:paraId="4424E791">
      <w:pPr>
        <w:spacing w:line="500" w:lineRule="exact"/>
        <w:rPr>
          <w:rFonts w:hAnsi="宋体" w:cs="宋体"/>
          <w:bCs/>
          <w:color w:val="auto"/>
          <w:sz w:val="24"/>
          <w:szCs w:val="24"/>
        </w:rPr>
      </w:pPr>
      <w:r>
        <w:rPr>
          <w:rFonts w:hint="eastAsia" w:hAnsi="宋体" w:cs="宋体"/>
          <w:bCs/>
          <w:color w:val="auto"/>
          <w:sz w:val="24"/>
          <w:szCs w:val="24"/>
        </w:rPr>
        <w:t xml:space="preserve">邮政编码：                        邮政编码： </w:t>
      </w:r>
    </w:p>
    <w:p w14:paraId="6E754C26">
      <w:pPr>
        <w:spacing w:line="500" w:lineRule="exact"/>
        <w:rPr>
          <w:rFonts w:hAnsi="宋体" w:cs="宋体"/>
          <w:bCs/>
          <w:color w:val="auto"/>
          <w:sz w:val="24"/>
          <w:szCs w:val="24"/>
        </w:rPr>
      </w:pPr>
      <w:r>
        <w:rPr>
          <w:rFonts w:hint="eastAsia" w:hAnsi="宋体" w:cs="宋体"/>
          <w:bCs/>
          <w:color w:val="auto"/>
          <w:sz w:val="24"/>
          <w:szCs w:val="24"/>
        </w:rPr>
        <w:t>签订时间：     年   月   日       签订时间：    年   月   日</w:t>
      </w:r>
    </w:p>
    <w:p w14:paraId="432EBC70">
      <w:pPr>
        <w:pStyle w:val="4"/>
        <w:widowControl/>
        <w:kinsoku w:val="0"/>
        <w:snapToGrid w:val="0"/>
        <w:spacing w:line="360" w:lineRule="auto"/>
        <w:jc w:val="center"/>
        <w:rPr>
          <w:rFonts w:cs="宋体"/>
          <w:b/>
          <w:bCs/>
          <w:snapToGrid w:val="0"/>
          <w:color w:val="auto"/>
          <w:spacing w:val="-4"/>
          <w:sz w:val="32"/>
          <w:szCs w:val="32"/>
        </w:rPr>
      </w:pPr>
    </w:p>
    <w:p w14:paraId="0FE53B06">
      <w:pPr>
        <w:pStyle w:val="4"/>
        <w:widowControl/>
        <w:kinsoku w:val="0"/>
        <w:snapToGrid w:val="0"/>
        <w:spacing w:line="360" w:lineRule="auto"/>
        <w:jc w:val="center"/>
        <w:rPr>
          <w:rFonts w:cs="宋体"/>
          <w:b/>
          <w:bCs/>
          <w:snapToGrid w:val="0"/>
          <w:color w:val="auto"/>
          <w:spacing w:val="-4"/>
          <w:sz w:val="32"/>
          <w:szCs w:val="32"/>
        </w:rPr>
      </w:pPr>
    </w:p>
    <w:p w14:paraId="5DD0DF85">
      <w:pPr>
        <w:pStyle w:val="4"/>
        <w:widowControl/>
        <w:kinsoku w:val="0"/>
        <w:snapToGrid w:val="0"/>
        <w:spacing w:line="360" w:lineRule="auto"/>
        <w:jc w:val="center"/>
        <w:rPr>
          <w:rFonts w:cs="宋体"/>
          <w:b/>
          <w:bCs/>
          <w:snapToGrid w:val="0"/>
          <w:color w:val="auto"/>
          <w:spacing w:val="-4"/>
          <w:sz w:val="32"/>
          <w:szCs w:val="32"/>
        </w:rPr>
      </w:pPr>
    </w:p>
    <w:p w14:paraId="5C4CC4C8">
      <w:pPr>
        <w:widowControl/>
        <w:kinsoku w:val="0"/>
        <w:snapToGrid w:val="0"/>
        <w:spacing w:line="400" w:lineRule="exact"/>
        <w:jc w:val="center"/>
        <w:rPr>
          <w:rFonts w:cs="宋体"/>
          <w:b/>
          <w:bCs/>
          <w:snapToGrid w:val="0"/>
          <w:color w:val="auto"/>
          <w:spacing w:val="-4"/>
          <w:kern w:val="0"/>
          <w:sz w:val="32"/>
          <w:szCs w:val="32"/>
        </w:rPr>
      </w:pPr>
      <w:r>
        <w:rPr>
          <w:rFonts w:hint="eastAsia" w:cs="宋体"/>
          <w:b/>
          <w:bCs/>
          <w:snapToGrid w:val="0"/>
          <w:color w:val="auto"/>
          <w:spacing w:val="-4"/>
          <w:sz w:val="32"/>
          <w:szCs w:val="32"/>
        </w:rPr>
        <w:br w:type="page"/>
      </w:r>
      <w:r>
        <w:rPr>
          <w:rFonts w:hint="eastAsia" w:cs="宋体"/>
          <w:b/>
          <w:bCs/>
          <w:snapToGrid w:val="0"/>
          <w:color w:val="auto"/>
          <w:spacing w:val="-4"/>
          <w:kern w:val="0"/>
          <w:sz w:val="32"/>
          <w:szCs w:val="32"/>
        </w:rPr>
        <w:t>廉  政  合  同</w:t>
      </w:r>
    </w:p>
    <w:p w14:paraId="2EBBBA6D">
      <w:pPr>
        <w:widowControl/>
        <w:kinsoku w:val="0"/>
        <w:snapToGrid w:val="0"/>
        <w:spacing w:line="400" w:lineRule="exact"/>
        <w:rPr>
          <w:rFonts w:hAnsi="宋体" w:cs="宋体"/>
          <w:snapToGrid w:val="0"/>
          <w:color w:val="auto"/>
          <w:sz w:val="24"/>
          <w:szCs w:val="24"/>
        </w:rPr>
      </w:pPr>
      <w:r>
        <w:rPr>
          <w:rFonts w:hint="eastAsia" w:hAnsi="宋体" w:cs="宋体"/>
          <w:snapToGrid w:val="0"/>
          <w:color w:val="auto"/>
          <w:szCs w:val="24"/>
        </w:rPr>
        <w:t xml:space="preserve"> </w:t>
      </w:r>
      <w:r>
        <w:rPr>
          <w:rFonts w:hint="eastAsia" w:hAnsi="宋体" w:cs="宋体"/>
          <w:snapToGrid w:val="0"/>
          <w:color w:val="auto"/>
          <w:sz w:val="24"/>
          <w:szCs w:val="24"/>
        </w:rPr>
        <w:t xml:space="preserve">   根据交通部《关于在交通基础设施建设加强廉政建设的若干意见》以及有关工程建设、廉政建设的规定，为做好工程建设中的党风廉政建设，保证工程建设高效优质，保证建设资金的安全和有效使用以及投资效益，</w:t>
      </w:r>
      <w:r>
        <w:rPr>
          <w:rFonts w:hint="eastAsia" w:hAnsi="宋体" w:cs="宋体"/>
          <w:snapToGrid w:val="0"/>
          <w:color w:val="auto"/>
          <w:sz w:val="24"/>
          <w:szCs w:val="24"/>
          <w:u w:val="single"/>
          <w:lang w:eastAsia="zh-CN"/>
        </w:rPr>
        <w:t>长安区X105半引路县乡公路改建工程监理及全过程管理咨询服务</w:t>
      </w:r>
      <w:r>
        <w:rPr>
          <w:rFonts w:hint="eastAsia" w:hAnsi="宋体" w:cs="宋体"/>
          <w:snapToGrid w:val="0"/>
          <w:color w:val="auto"/>
          <w:sz w:val="24"/>
          <w:szCs w:val="24"/>
        </w:rPr>
        <w:t>项目法人</w:t>
      </w:r>
      <w:r>
        <w:rPr>
          <w:rFonts w:hint="eastAsia" w:hAnsi="宋体" w:cs="宋体"/>
          <w:snapToGrid w:val="0"/>
          <w:color w:val="auto"/>
          <w:sz w:val="24"/>
          <w:szCs w:val="24"/>
          <w:u w:val="single"/>
        </w:rPr>
        <w:t>西安市长安区交通运输局</w:t>
      </w:r>
      <w:r>
        <w:rPr>
          <w:rFonts w:hint="eastAsia" w:hAnsi="宋体" w:cs="宋体"/>
          <w:snapToGrid w:val="0"/>
          <w:color w:val="auto"/>
          <w:sz w:val="24"/>
          <w:szCs w:val="24"/>
        </w:rPr>
        <w:t>（以下称“甲方”）与项目管理单位</w:t>
      </w:r>
      <w:r>
        <w:rPr>
          <w:rFonts w:hint="eastAsia" w:hAnsi="宋体" w:cs="宋体"/>
          <w:color w:val="auto"/>
          <w:sz w:val="24"/>
          <w:szCs w:val="24"/>
          <w:u w:val="single"/>
        </w:rPr>
        <w:t xml:space="preserve">          </w:t>
      </w:r>
      <w:r>
        <w:rPr>
          <w:rFonts w:hint="eastAsia" w:hAnsi="宋体" w:cs="宋体"/>
          <w:snapToGrid w:val="0"/>
          <w:color w:val="auto"/>
          <w:sz w:val="24"/>
          <w:szCs w:val="24"/>
        </w:rPr>
        <w:t>（以下称“受托方”），特订立如下合同。</w:t>
      </w:r>
    </w:p>
    <w:p w14:paraId="35E91F88">
      <w:pPr>
        <w:widowControl/>
        <w:kinsoku w:val="0"/>
        <w:snapToGrid w:val="0"/>
        <w:spacing w:line="400" w:lineRule="exact"/>
        <w:ind w:firstLine="480" w:firstLineChars="200"/>
        <w:rPr>
          <w:rFonts w:hAnsi="宋体" w:cs="宋体"/>
          <w:snapToGrid w:val="0"/>
          <w:color w:val="auto"/>
          <w:sz w:val="24"/>
          <w:szCs w:val="24"/>
        </w:rPr>
      </w:pPr>
      <w:r>
        <w:rPr>
          <w:rFonts w:hint="eastAsia" w:hAnsi="宋体" w:cs="宋体"/>
          <w:snapToGrid w:val="0"/>
          <w:color w:val="auto"/>
          <w:sz w:val="24"/>
          <w:szCs w:val="24"/>
        </w:rPr>
        <w:t>第一条 双方的权利和义务</w:t>
      </w:r>
    </w:p>
    <w:p w14:paraId="31A2430A">
      <w:pPr>
        <w:widowControl/>
        <w:kinsoku w:val="0"/>
        <w:snapToGrid w:val="0"/>
        <w:spacing w:line="400" w:lineRule="exact"/>
        <w:rPr>
          <w:rFonts w:hAnsi="宋体" w:cs="宋体"/>
          <w:snapToGrid w:val="0"/>
          <w:color w:val="auto"/>
          <w:sz w:val="24"/>
          <w:szCs w:val="24"/>
        </w:rPr>
      </w:pPr>
      <w:r>
        <w:rPr>
          <w:rFonts w:hint="eastAsia" w:hAnsi="宋体" w:cs="宋体"/>
          <w:snapToGrid w:val="0"/>
          <w:color w:val="auto"/>
          <w:sz w:val="24"/>
          <w:szCs w:val="24"/>
        </w:rPr>
        <w:t xml:space="preserve">   （一）严格遵守党和国家有关法律法规及交通部的有关规定。</w:t>
      </w:r>
    </w:p>
    <w:p w14:paraId="2EE9F3D5">
      <w:pPr>
        <w:spacing w:line="400" w:lineRule="exact"/>
        <w:rPr>
          <w:rFonts w:hAnsi="宋体" w:cs="宋体"/>
          <w:snapToGrid w:val="0"/>
          <w:color w:val="auto"/>
          <w:sz w:val="24"/>
          <w:szCs w:val="24"/>
        </w:rPr>
      </w:pPr>
      <w:r>
        <w:rPr>
          <w:rFonts w:hint="eastAsia" w:hAnsi="宋体" w:cs="宋体"/>
          <w:snapToGrid w:val="0"/>
          <w:color w:val="auto"/>
          <w:sz w:val="24"/>
          <w:szCs w:val="24"/>
        </w:rPr>
        <w:t xml:space="preserve">   （二）严格执行</w:t>
      </w:r>
      <w:r>
        <w:rPr>
          <w:rFonts w:hint="eastAsia" w:hAnsi="宋体" w:cs="宋体"/>
          <w:snapToGrid w:val="0"/>
          <w:color w:val="auto"/>
          <w:sz w:val="24"/>
          <w:szCs w:val="24"/>
          <w:lang w:eastAsia="zh-CN"/>
        </w:rPr>
        <w:t>长安区X105半引路县乡公路改建工程监理及全过程管理咨询服务</w:t>
      </w:r>
      <w:r>
        <w:rPr>
          <w:rFonts w:hint="eastAsia" w:hAnsi="宋体" w:cs="宋体"/>
          <w:snapToGrid w:val="0"/>
          <w:color w:val="auto"/>
          <w:sz w:val="24"/>
          <w:szCs w:val="24"/>
        </w:rPr>
        <w:t>文件，自觉按合同办事。</w:t>
      </w:r>
    </w:p>
    <w:p w14:paraId="1EFEEC53">
      <w:pPr>
        <w:widowControl/>
        <w:kinsoku w:val="0"/>
        <w:snapToGrid w:val="0"/>
        <w:spacing w:line="400" w:lineRule="exact"/>
        <w:rPr>
          <w:rFonts w:hAnsi="宋体" w:cs="宋体"/>
          <w:snapToGrid w:val="0"/>
          <w:color w:val="auto"/>
          <w:sz w:val="24"/>
          <w:szCs w:val="24"/>
        </w:rPr>
      </w:pPr>
      <w:r>
        <w:rPr>
          <w:rFonts w:hint="eastAsia" w:hAnsi="宋体" w:cs="宋体"/>
          <w:snapToGrid w:val="0"/>
          <w:color w:val="auto"/>
          <w:sz w:val="24"/>
          <w:szCs w:val="24"/>
        </w:rPr>
        <w:t xml:space="preserve">   （三）双方的业务活动坚持公开、公正、诚信、透明的原则（除法律认定的商业秘密和合同文件另有规定之外），不得损害国家和集体利益、违反工程建设管理规章制度。</w:t>
      </w:r>
    </w:p>
    <w:p w14:paraId="6DA34DB2">
      <w:pPr>
        <w:widowControl/>
        <w:kinsoku w:val="0"/>
        <w:snapToGrid w:val="0"/>
        <w:spacing w:line="400" w:lineRule="exact"/>
        <w:rPr>
          <w:rFonts w:hAnsi="宋体" w:cs="宋体"/>
          <w:snapToGrid w:val="0"/>
          <w:color w:val="auto"/>
          <w:sz w:val="24"/>
          <w:szCs w:val="24"/>
        </w:rPr>
      </w:pPr>
      <w:r>
        <w:rPr>
          <w:rFonts w:hint="eastAsia" w:hAnsi="宋体" w:cs="宋体"/>
          <w:snapToGrid w:val="0"/>
          <w:color w:val="auto"/>
          <w:sz w:val="24"/>
          <w:szCs w:val="24"/>
        </w:rPr>
        <w:t xml:space="preserve">   （四）建立健全廉政制度，开展廉政教育，设立廉政告示牌，公布举报电话，监督并认真查处违法违纪行为。</w:t>
      </w:r>
    </w:p>
    <w:p w14:paraId="3E67000C">
      <w:pPr>
        <w:widowControl/>
        <w:kinsoku w:val="0"/>
        <w:snapToGrid w:val="0"/>
        <w:spacing w:line="400" w:lineRule="exact"/>
        <w:rPr>
          <w:rFonts w:hAnsi="宋体" w:cs="宋体"/>
          <w:snapToGrid w:val="0"/>
          <w:color w:val="auto"/>
          <w:sz w:val="24"/>
          <w:szCs w:val="24"/>
        </w:rPr>
      </w:pPr>
      <w:r>
        <w:rPr>
          <w:rFonts w:hint="eastAsia" w:hAnsi="宋体" w:cs="宋体"/>
          <w:snapToGrid w:val="0"/>
          <w:color w:val="auto"/>
          <w:sz w:val="24"/>
          <w:szCs w:val="24"/>
        </w:rPr>
        <w:t xml:space="preserve">   （五）发现对方在业务活动中有违反廉政规定的行为，有及时提醒对方纠正的权利和义务。</w:t>
      </w:r>
    </w:p>
    <w:p w14:paraId="3DFC734C">
      <w:pPr>
        <w:widowControl/>
        <w:kinsoku w:val="0"/>
        <w:snapToGrid w:val="0"/>
        <w:spacing w:line="400" w:lineRule="exact"/>
        <w:rPr>
          <w:rFonts w:hAnsi="宋体" w:cs="宋体"/>
          <w:snapToGrid w:val="0"/>
          <w:color w:val="auto"/>
          <w:sz w:val="24"/>
          <w:szCs w:val="24"/>
        </w:rPr>
      </w:pPr>
      <w:r>
        <w:rPr>
          <w:rFonts w:hint="eastAsia" w:hAnsi="宋体" w:cs="宋体"/>
          <w:snapToGrid w:val="0"/>
          <w:color w:val="auto"/>
          <w:sz w:val="24"/>
          <w:szCs w:val="24"/>
        </w:rPr>
        <w:t xml:space="preserve">   （六）发现对方严重违反本合同义务条款的行为，有向其上级有关部门举报、建议给予处理并要求告知处理结果的权利。</w:t>
      </w:r>
    </w:p>
    <w:p w14:paraId="6B6383E2">
      <w:pPr>
        <w:widowControl/>
        <w:kinsoku w:val="0"/>
        <w:snapToGrid w:val="0"/>
        <w:spacing w:line="400" w:lineRule="exact"/>
        <w:ind w:left="420"/>
        <w:rPr>
          <w:rFonts w:hAnsi="宋体" w:cs="宋体"/>
          <w:snapToGrid w:val="0"/>
          <w:color w:val="auto"/>
          <w:sz w:val="24"/>
          <w:szCs w:val="24"/>
        </w:rPr>
      </w:pPr>
      <w:r>
        <w:rPr>
          <w:rFonts w:hint="eastAsia" w:hAnsi="宋体" w:cs="宋体"/>
          <w:snapToGrid w:val="0"/>
          <w:color w:val="auto"/>
          <w:sz w:val="24"/>
          <w:szCs w:val="24"/>
        </w:rPr>
        <w:t>第二条 甲方的义务</w:t>
      </w:r>
    </w:p>
    <w:p w14:paraId="4B51AB95">
      <w:pPr>
        <w:widowControl/>
        <w:kinsoku w:val="0"/>
        <w:snapToGrid w:val="0"/>
        <w:spacing w:line="400" w:lineRule="exact"/>
        <w:rPr>
          <w:rFonts w:hAnsi="宋体" w:cs="宋体"/>
          <w:snapToGrid w:val="0"/>
          <w:color w:val="auto"/>
          <w:sz w:val="24"/>
          <w:szCs w:val="24"/>
        </w:rPr>
      </w:pPr>
      <w:r>
        <w:rPr>
          <w:rFonts w:hint="eastAsia" w:hAnsi="宋体" w:cs="宋体"/>
          <w:snapToGrid w:val="0"/>
          <w:color w:val="auto"/>
          <w:sz w:val="24"/>
          <w:szCs w:val="24"/>
        </w:rPr>
        <w:t xml:space="preserve">  （一）甲方及其工作人员不得索要或接受乙方的礼金、有价证券和贵重物品，不得在乙方报销任何应由甲方或个人支付的费用等。</w:t>
      </w:r>
    </w:p>
    <w:p w14:paraId="50017417">
      <w:pPr>
        <w:widowControl/>
        <w:kinsoku w:val="0"/>
        <w:snapToGrid w:val="0"/>
        <w:spacing w:line="400" w:lineRule="exact"/>
        <w:rPr>
          <w:rFonts w:hAnsi="宋体" w:cs="宋体"/>
          <w:snapToGrid w:val="0"/>
          <w:color w:val="auto"/>
          <w:sz w:val="24"/>
          <w:szCs w:val="24"/>
        </w:rPr>
      </w:pPr>
      <w:r>
        <w:rPr>
          <w:rFonts w:hint="eastAsia" w:hAnsi="宋体" w:cs="宋体"/>
          <w:snapToGrid w:val="0"/>
          <w:color w:val="auto"/>
          <w:sz w:val="24"/>
          <w:szCs w:val="24"/>
        </w:rPr>
        <w:t xml:space="preserve">  （二）甲方工作人员不得参加乙方安排的超标准宴请和娱乐活动；不得接受乙方提供的通讯工具、交通工具和高档办公用品等。</w:t>
      </w:r>
    </w:p>
    <w:p w14:paraId="262274DE">
      <w:pPr>
        <w:widowControl/>
        <w:kinsoku w:val="0"/>
        <w:snapToGrid w:val="0"/>
        <w:spacing w:line="400" w:lineRule="exact"/>
        <w:rPr>
          <w:rFonts w:hAnsi="宋体" w:cs="宋体"/>
          <w:snapToGrid w:val="0"/>
          <w:color w:val="auto"/>
          <w:sz w:val="24"/>
          <w:szCs w:val="24"/>
        </w:rPr>
      </w:pPr>
      <w:r>
        <w:rPr>
          <w:rFonts w:hint="eastAsia" w:hAnsi="宋体" w:cs="宋体"/>
          <w:snapToGrid w:val="0"/>
          <w:color w:val="auto"/>
          <w:sz w:val="24"/>
          <w:szCs w:val="24"/>
        </w:rPr>
        <w:t xml:space="preserve">  （三）甲方及其工作人员不得要求或者接受乙方为其住房装修、婚丧娶活动、配偶子女的工作安排以及出国出境、旅游等提供方便等。</w:t>
      </w:r>
    </w:p>
    <w:p w14:paraId="6126B51C">
      <w:pPr>
        <w:widowControl/>
        <w:kinsoku w:val="0"/>
        <w:snapToGrid w:val="0"/>
        <w:spacing w:line="400" w:lineRule="exact"/>
        <w:rPr>
          <w:rFonts w:hAnsi="宋体" w:cs="宋体"/>
          <w:snapToGrid w:val="0"/>
          <w:color w:val="auto"/>
          <w:sz w:val="24"/>
          <w:szCs w:val="24"/>
        </w:rPr>
      </w:pPr>
      <w:r>
        <w:rPr>
          <w:rFonts w:hint="eastAsia" w:hAnsi="宋体" w:cs="宋体"/>
          <w:snapToGrid w:val="0"/>
          <w:color w:val="auto"/>
          <w:sz w:val="24"/>
          <w:szCs w:val="24"/>
        </w:rPr>
        <w:t xml:space="preserve">  （四）甲方工作人员的配偶、子女不得从事与甲方工程有关的材料设备供应、工程分包、劳务等经济活动等。</w:t>
      </w:r>
    </w:p>
    <w:p w14:paraId="425FFF65">
      <w:pPr>
        <w:widowControl/>
        <w:kinsoku w:val="0"/>
        <w:snapToGrid w:val="0"/>
        <w:spacing w:line="400" w:lineRule="exact"/>
        <w:rPr>
          <w:rFonts w:hAnsi="宋体" w:cs="宋体"/>
          <w:snapToGrid w:val="0"/>
          <w:color w:val="auto"/>
          <w:sz w:val="24"/>
          <w:szCs w:val="24"/>
        </w:rPr>
      </w:pPr>
      <w:r>
        <w:rPr>
          <w:rFonts w:hint="eastAsia" w:hAnsi="宋体" w:cs="宋体"/>
          <w:snapToGrid w:val="0"/>
          <w:color w:val="auto"/>
          <w:sz w:val="24"/>
          <w:szCs w:val="24"/>
        </w:rPr>
        <w:t xml:space="preserve">  （五）甲方及其工作人员不得以任何理由向乙方推荐分包单位，不得要求乙方购买合同规定外的材料和设备。</w:t>
      </w:r>
    </w:p>
    <w:p w14:paraId="00216487">
      <w:pPr>
        <w:widowControl/>
        <w:kinsoku w:val="0"/>
        <w:snapToGrid w:val="0"/>
        <w:spacing w:line="400" w:lineRule="exact"/>
        <w:rPr>
          <w:rFonts w:hAnsi="宋体" w:cs="宋体"/>
          <w:snapToGrid w:val="0"/>
          <w:color w:val="auto"/>
          <w:sz w:val="24"/>
          <w:szCs w:val="24"/>
        </w:rPr>
      </w:pPr>
      <w:r>
        <w:rPr>
          <w:rFonts w:hint="eastAsia" w:hAnsi="宋体" w:cs="宋体"/>
          <w:snapToGrid w:val="0"/>
          <w:color w:val="auto"/>
          <w:sz w:val="24"/>
          <w:szCs w:val="24"/>
        </w:rPr>
        <w:t xml:space="preserve">  （六）甲方工作人员要秉公办事，不准营私舞弊，不准利用职权从事各种个人有偿中介活动和安排个人施工队伍。</w:t>
      </w:r>
    </w:p>
    <w:p w14:paraId="1AA2CA0B">
      <w:pPr>
        <w:widowControl/>
        <w:kinsoku w:val="0"/>
        <w:snapToGrid w:val="0"/>
        <w:spacing w:line="400" w:lineRule="exact"/>
        <w:ind w:firstLine="480" w:firstLineChars="200"/>
        <w:rPr>
          <w:rFonts w:hAnsi="宋体" w:cs="宋体"/>
          <w:snapToGrid w:val="0"/>
          <w:color w:val="auto"/>
          <w:sz w:val="24"/>
          <w:szCs w:val="24"/>
        </w:rPr>
      </w:pPr>
      <w:r>
        <w:rPr>
          <w:rFonts w:hint="eastAsia" w:hAnsi="宋体" w:cs="宋体"/>
          <w:snapToGrid w:val="0"/>
          <w:color w:val="auto"/>
          <w:sz w:val="24"/>
          <w:szCs w:val="24"/>
        </w:rPr>
        <w:t>第三条 乙方义务</w:t>
      </w:r>
    </w:p>
    <w:p w14:paraId="777B89FD">
      <w:pPr>
        <w:widowControl/>
        <w:kinsoku w:val="0"/>
        <w:snapToGrid w:val="0"/>
        <w:spacing w:line="400" w:lineRule="exact"/>
        <w:rPr>
          <w:rFonts w:hAnsi="宋体" w:cs="宋体"/>
          <w:snapToGrid w:val="0"/>
          <w:color w:val="auto"/>
          <w:sz w:val="24"/>
          <w:szCs w:val="24"/>
        </w:rPr>
      </w:pPr>
      <w:r>
        <w:rPr>
          <w:rFonts w:hint="eastAsia" w:hAnsi="宋体" w:cs="宋体"/>
          <w:snapToGrid w:val="0"/>
          <w:color w:val="auto"/>
          <w:sz w:val="24"/>
          <w:szCs w:val="24"/>
        </w:rPr>
        <w:t xml:space="preserve">   （一）乙方不得以任何理由向甲方及其工作人员行贿或馈赠礼金、有价证券、贵重礼品等。</w:t>
      </w:r>
    </w:p>
    <w:p w14:paraId="1CFF64B3">
      <w:pPr>
        <w:widowControl/>
        <w:kinsoku w:val="0"/>
        <w:snapToGrid w:val="0"/>
        <w:spacing w:line="400" w:lineRule="exact"/>
        <w:rPr>
          <w:rFonts w:hAnsi="宋体" w:cs="宋体"/>
          <w:snapToGrid w:val="0"/>
          <w:color w:val="auto"/>
          <w:sz w:val="24"/>
          <w:szCs w:val="24"/>
        </w:rPr>
      </w:pPr>
      <w:r>
        <w:rPr>
          <w:rFonts w:hint="eastAsia" w:hAnsi="宋体" w:cs="宋体"/>
          <w:snapToGrid w:val="0"/>
          <w:color w:val="auto"/>
          <w:sz w:val="24"/>
          <w:szCs w:val="24"/>
        </w:rPr>
        <w:t xml:space="preserve">   （二）乙方不得以任何名义为甲方及其工作人员报销应由甲方单位或个人支付的任何费用。</w:t>
      </w:r>
    </w:p>
    <w:p w14:paraId="5585E24C">
      <w:pPr>
        <w:widowControl/>
        <w:kinsoku w:val="0"/>
        <w:snapToGrid w:val="0"/>
        <w:spacing w:line="400" w:lineRule="exact"/>
        <w:rPr>
          <w:rFonts w:hAnsi="宋体" w:cs="宋体"/>
          <w:snapToGrid w:val="0"/>
          <w:color w:val="auto"/>
          <w:sz w:val="24"/>
          <w:szCs w:val="24"/>
        </w:rPr>
      </w:pPr>
      <w:r>
        <w:rPr>
          <w:rFonts w:hint="eastAsia" w:hAnsi="宋体" w:cs="宋体"/>
          <w:snapToGrid w:val="0"/>
          <w:color w:val="auto"/>
          <w:sz w:val="24"/>
          <w:szCs w:val="24"/>
        </w:rPr>
        <w:t xml:space="preserve">   （三）乙方不得以任何理由安排甲方工作人员参加超标准宴请及娱乐活动。</w:t>
      </w:r>
    </w:p>
    <w:p w14:paraId="0DDBA7C0">
      <w:pPr>
        <w:widowControl/>
        <w:kinsoku w:val="0"/>
        <w:snapToGrid w:val="0"/>
        <w:spacing w:line="400" w:lineRule="exact"/>
        <w:rPr>
          <w:rFonts w:hAnsi="宋体" w:cs="宋体"/>
          <w:snapToGrid w:val="0"/>
          <w:color w:val="auto"/>
          <w:sz w:val="24"/>
          <w:szCs w:val="24"/>
        </w:rPr>
      </w:pPr>
      <w:r>
        <w:rPr>
          <w:rFonts w:hint="eastAsia" w:hAnsi="宋体" w:cs="宋体"/>
          <w:snapToGrid w:val="0"/>
          <w:color w:val="auto"/>
          <w:sz w:val="24"/>
          <w:szCs w:val="24"/>
        </w:rPr>
        <w:t xml:space="preserve">   （四）乙方不得为甲方单位和个人购置或提供通讯工具、交通工具和高档办公用品等。</w:t>
      </w:r>
    </w:p>
    <w:p w14:paraId="21A41971">
      <w:pPr>
        <w:widowControl/>
        <w:kinsoku w:val="0"/>
        <w:snapToGrid w:val="0"/>
        <w:spacing w:line="400" w:lineRule="exact"/>
        <w:ind w:firstLine="480" w:firstLineChars="200"/>
        <w:rPr>
          <w:rFonts w:hAnsi="宋体" w:cs="宋体"/>
          <w:snapToGrid w:val="0"/>
          <w:color w:val="auto"/>
          <w:sz w:val="24"/>
          <w:szCs w:val="24"/>
        </w:rPr>
      </w:pPr>
      <w:r>
        <w:rPr>
          <w:rFonts w:hint="eastAsia" w:hAnsi="宋体" w:cs="宋体"/>
          <w:snapToGrid w:val="0"/>
          <w:color w:val="auto"/>
          <w:sz w:val="24"/>
          <w:szCs w:val="24"/>
        </w:rPr>
        <w:t>（五）乙方不得为甲方工作人员及配偶、子女住房装修，婚丧嫁娶、工作安排及出国出境、旅游提供方便。</w:t>
      </w:r>
    </w:p>
    <w:p w14:paraId="78230985">
      <w:pPr>
        <w:widowControl/>
        <w:kinsoku w:val="0"/>
        <w:snapToGrid w:val="0"/>
        <w:spacing w:line="400" w:lineRule="exact"/>
        <w:rPr>
          <w:rFonts w:hAnsi="宋体" w:cs="宋体"/>
          <w:snapToGrid w:val="0"/>
          <w:color w:val="auto"/>
          <w:sz w:val="24"/>
          <w:szCs w:val="24"/>
        </w:rPr>
      </w:pPr>
      <w:r>
        <w:rPr>
          <w:rFonts w:hint="eastAsia" w:hAnsi="宋体" w:cs="宋体"/>
          <w:snapToGrid w:val="0"/>
          <w:color w:val="auto"/>
          <w:sz w:val="24"/>
          <w:szCs w:val="24"/>
        </w:rPr>
        <w:t xml:space="preserve">   第四条 违约责任</w:t>
      </w:r>
    </w:p>
    <w:p w14:paraId="69ABCA6D">
      <w:pPr>
        <w:widowControl/>
        <w:kinsoku w:val="0"/>
        <w:snapToGrid w:val="0"/>
        <w:spacing w:line="400" w:lineRule="exact"/>
        <w:rPr>
          <w:rFonts w:hAnsi="宋体" w:cs="宋体"/>
          <w:snapToGrid w:val="0"/>
          <w:color w:val="auto"/>
          <w:sz w:val="24"/>
          <w:szCs w:val="24"/>
        </w:rPr>
      </w:pPr>
      <w:r>
        <w:rPr>
          <w:rFonts w:hint="eastAsia" w:hAnsi="宋体" w:cs="宋体"/>
          <w:snapToGrid w:val="0"/>
          <w:color w:val="auto"/>
          <w:sz w:val="24"/>
          <w:szCs w:val="24"/>
        </w:rPr>
        <w:t xml:space="preserve">   （一）甲方及其工作人员违反本合同第一、二条，按管理权限，依据有关规定给予党纪、政纪或组织处理；涉嫌犯罪的，移交司法机关追究刑事责任；给乙方单位造成经济损失的，应予以赔偿。</w:t>
      </w:r>
    </w:p>
    <w:p w14:paraId="5A3B6C07">
      <w:pPr>
        <w:widowControl/>
        <w:kinsoku w:val="0"/>
        <w:snapToGrid w:val="0"/>
        <w:spacing w:line="400" w:lineRule="exact"/>
        <w:rPr>
          <w:rFonts w:hAnsi="宋体" w:cs="宋体"/>
          <w:snapToGrid w:val="0"/>
          <w:color w:val="auto"/>
          <w:sz w:val="24"/>
          <w:szCs w:val="24"/>
        </w:rPr>
      </w:pPr>
      <w:r>
        <w:rPr>
          <w:rFonts w:hint="eastAsia" w:hAnsi="宋体" w:cs="宋体"/>
          <w:snapToGrid w:val="0"/>
          <w:color w:val="auto"/>
          <w:sz w:val="24"/>
          <w:szCs w:val="24"/>
        </w:rPr>
        <w:t xml:space="preserve">   （二）乙方及其工作人员违反本合同第一、三条，按管理权限，依据有关规定，给予党纪、政纪或组织处理；给甲方单位造成经济损失的，应予以赔偿；情节严重的，甲方建议交通工程建设主管部门给予乙方一至三年或永久不得进入其主管的交通工程建设市场的处罚。</w:t>
      </w:r>
    </w:p>
    <w:p w14:paraId="44BAECB2">
      <w:pPr>
        <w:widowControl/>
        <w:kinsoku w:val="0"/>
        <w:snapToGrid w:val="0"/>
        <w:spacing w:line="400" w:lineRule="exact"/>
        <w:ind w:firstLine="480" w:firstLineChars="200"/>
        <w:rPr>
          <w:rFonts w:hAnsi="宋体" w:cs="宋体"/>
          <w:snapToGrid w:val="0"/>
          <w:color w:val="auto"/>
          <w:sz w:val="24"/>
          <w:szCs w:val="24"/>
        </w:rPr>
      </w:pPr>
      <w:r>
        <w:rPr>
          <w:rFonts w:hint="eastAsia" w:hAnsi="宋体" w:cs="宋体"/>
          <w:snapToGrid w:val="0"/>
          <w:color w:val="auto"/>
          <w:sz w:val="24"/>
          <w:szCs w:val="24"/>
        </w:rPr>
        <w:t>第五条 双方约定：本合同由双方或双方上级单位的纪检监察机关负责监督。由甲方或甲方上级单位的纪检监察机关约请乙方或乙方上级单位纪检监察机关对本合同执行情况进行检查；提出在本合同规定范围内的裁定意见。</w:t>
      </w:r>
    </w:p>
    <w:p w14:paraId="72FC0C35">
      <w:pPr>
        <w:widowControl/>
        <w:kinsoku w:val="0"/>
        <w:snapToGrid w:val="0"/>
        <w:spacing w:line="400" w:lineRule="exact"/>
        <w:ind w:firstLine="480" w:firstLineChars="200"/>
        <w:rPr>
          <w:rFonts w:hAnsi="宋体" w:cs="宋体"/>
          <w:snapToGrid w:val="0"/>
          <w:color w:val="auto"/>
          <w:sz w:val="24"/>
          <w:szCs w:val="24"/>
        </w:rPr>
      </w:pPr>
      <w:r>
        <w:rPr>
          <w:rFonts w:hint="eastAsia" w:hAnsi="宋体" w:cs="宋体"/>
          <w:snapToGrid w:val="0"/>
          <w:color w:val="auto"/>
          <w:sz w:val="24"/>
          <w:szCs w:val="24"/>
        </w:rPr>
        <w:t>第六条  本合同有效期为双方签署之日起至该工程结束后止。</w:t>
      </w:r>
    </w:p>
    <w:p w14:paraId="7EDDA3B6">
      <w:pPr>
        <w:widowControl/>
        <w:kinsoku w:val="0"/>
        <w:snapToGrid w:val="0"/>
        <w:spacing w:line="400" w:lineRule="exact"/>
        <w:ind w:firstLine="480" w:firstLineChars="200"/>
        <w:rPr>
          <w:color w:val="auto"/>
          <w:sz w:val="24"/>
          <w:szCs w:val="24"/>
        </w:rPr>
      </w:pPr>
      <w:r>
        <w:rPr>
          <w:rFonts w:hint="eastAsia" w:hAnsi="宋体" w:cs="宋体"/>
          <w:snapToGrid w:val="0"/>
          <w:color w:val="auto"/>
          <w:sz w:val="24"/>
          <w:szCs w:val="24"/>
        </w:rPr>
        <w:t>第七条  本合同作为项目管理服务合同的附件，与项目管理服务合同具有同等的法律效力，经合同双方签署后立即生效。</w:t>
      </w:r>
    </w:p>
    <w:p w14:paraId="6E0D658F">
      <w:pPr>
        <w:widowControl/>
        <w:kinsoku w:val="0"/>
        <w:snapToGrid w:val="0"/>
        <w:spacing w:line="400" w:lineRule="exact"/>
        <w:ind w:firstLine="480" w:firstLineChars="200"/>
        <w:rPr>
          <w:rFonts w:hAnsi="宋体" w:cs="宋体"/>
          <w:snapToGrid w:val="0"/>
          <w:color w:val="auto"/>
          <w:sz w:val="24"/>
          <w:szCs w:val="24"/>
        </w:rPr>
      </w:pPr>
      <w:r>
        <w:rPr>
          <w:rFonts w:hint="eastAsia" w:hAnsi="宋体" w:cs="宋体"/>
          <w:snapToGrid w:val="0"/>
          <w:color w:val="auto"/>
          <w:sz w:val="24"/>
          <w:szCs w:val="24"/>
        </w:rPr>
        <w:t>第八条  本协议一式</w:t>
      </w:r>
      <w:r>
        <w:rPr>
          <w:rFonts w:hint="eastAsia" w:hAnsi="宋体" w:cs="宋体"/>
          <w:snapToGrid w:val="0"/>
          <w:color w:val="auto"/>
          <w:sz w:val="24"/>
          <w:szCs w:val="24"/>
          <w:u w:val="single"/>
        </w:rPr>
        <w:t>陆</w:t>
      </w:r>
      <w:r>
        <w:rPr>
          <w:rFonts w:hint="eastAsia" w:hAnsi="宋体" w:cs="宋体"/>
          <w:snapToGrid w:val="0"/>
          <w:color w:val="auto"/>
          <w:sz w:val="24"/>
          <w:szCs w:val="24"/>
        </w:rPr>
        <w:t>份，甲方</w:t>
      </w:r>
      <w:r>
        <w:rPr>
          <w:rFonts w:hint="eastAsia" w:hAnsi="宋体" w:cs="宋体"/>
          <w:snapToGrid w:val="0"/>
          <w:color w:val="auto"/>
          <w:sz w:val="24"/>
          <w:szCs w:val="24"/>
          <w:u w:val="single"/>
        </w:rPr>
        <w:t>肆</w:t>
      </w:r>
      <w:r>
        <w:rPr>
          <w:rFonts w:hint="eastAsia" w:hAnsi="宋体" w:cs="宋体"/>
          <w:snapToGrid w:val="0"/>
          <w:color w:val="auto"/>
          <w:sz w:val="24"/>
          <w:szCs w:val="24"/>
        </w:rPr>
        <w:t>份，乙方</w:t>
      </w:r>
      <w:r>
        <w:rPr>
          <w:rFonts w:hint="eastAsia" w:hAnsi="宋体" w:cs="宋体"/>
          <w:snapToGrid w:val="0"/>
          <w:color w:val="auto"/>
          <w:sz w:val="24"/>
          <w:szCs w:val="24"/>
          <w:u w:val="single"/>
        </w:rPr>
        <w:t>贰</w:t>
      </w:r>
      <w:r>
        <w:rPr>
          <w:rFonts w:hint="eastAsia" w:hAnsi="宋体" w:cs="宋体"/>
          <w:snapToGrid w:val="0"/>
          <w:color w:val="auto"/>
          <w:sz w:val="24"/>
          <w:szCs w:val="24"/>
        </w:rPr>
        <w:t>份。</w:t>
      </w:r>
    </w:p>
    <w:p w14:paraId="3E1820ED">
      <w:pPr>
        <w:rPr>
          <w:color w:val="auto"/>
          <w:sz w:val="24"/>
          <w:szCs w:val="24"/>
        </w:rPr>
      </w:pPr>
    </w:p>
    <w:tbl>
      <w:tblPr>
        <w:tblStyle w:val="6"/>
        <w:tblpPr w:leftFromText="180" w:rightFromText="180" w:vertAnchor="text" w:horzAnchor="page" w:tblpX="1589" w:tblpY="247"/>
        <w:tblOverlap w:val="never"/>
        <w:tblW w:w="9688" w:type="dxa"/>
        <w:tblInd w:w="0" w:type="dxa"/>
        <w:tblLayout w:type="fixed"/>
        <w:tblCellMar>
          <w:top w:w="0" w:type="dxa"/>
          <w:left w:w="108" w:type="dxa"/>
          <w:bottom w:w="0" w:type="dxa"/>
          <w:right w:w="108" w:type="dxa"/>
        </w:tblCellMar>
      </w:tblPr>
      <w:tblGrid>
        <w:gridCol w:w="4618"/>
        <w:gridCol w:w="5070"/>
      </w:tblGrid>
      <w:tr w14:paraId="290E052E">
        <w:tblPrEx>
          <w:tblCellMar>
            <w:top w:w="0" w:type="dxa"/>
            <w:left w:w="108" w:type="dxa"/>
            <w:bottom w:w="0" w:type="dxa"/>
            <w:right w:w="108" w:type="dxa"/>
          </w:tblCellMar>
        </w:tblPrEx>
        <w:trPr>
          <w:trHeight w:val="747" w:hRule="atLeast"/>
        </w:trPr>
        <w:tc>
          <w:tcPr>
            <w:tcW w:w="4618" w:type="dxa"/>
            <w:noWrap w:val="0"/>
            <w:vAlign w:val="top"/>
          </w:tcPr>
          <w:p w14:paraId="61390D3A">
            <w:pPr>
              <w:widowControl/>
              <w:kinsoku w:val="0"/>
              <w:snapToGrid w:val="0"/>
              <w:spacing w:line="360" w:lineRule="auto"/>
              <w:ind w:left="965" w:hanging="964" w:hangingChars="402"/>
              <w:rPr>
                <w:rFonts w:hAnsi="宋体" w:cs="宋体"/>
                <w:snapToGrid w:val="0"/>
                <w:color w:val="auto"/>
                <w:sz w:val="24"/>
                <w:szCs w:val="24"/>
              </w:rPr>
            </w:pPr>
            <w:r>
              <w:rPr>
                <w:rFonts w:hint="eastAsia" w:hAnsi="宋体" w:cs="宋体"/>
                <w:snapToGrid w:val="0"/>
                <w:color w:val="auto"/>
                <w:sz w:val="24"/>
                <w:szCs w:val="24"/>
              </w:rPr>
              <w:t>甲方：</w:t>
            </w:r>
            <w:r>
              <w:rPr>
                <w:rFonts w:hint="eastAsia" w:hAnsi="宋体" w:cs="宋体"/>
                <w:color w:val="auto"/>
                <w:sz w:val="24"/>
                <w:szCs w:val="24"/>
                <w:u w:val="single"/>
              </w:rPr>
              <w:t xml:space="preserve">                   </w:t>
            </w:r>
            <w:r>
              <w:rPr>
                <w:rFonts w:hint="eastAsia" w:hAnsi="宋体" w:cs="宋体"/>
                <w:snapToGrid w:val="0"/>
                <w:color w:val="auto"/>
                <w:sz w:val="24"/>
                <w:szCs w:val="24"/>
              </w:rPr>
              <w:t>（盖单位章）</w:t>
            </w:r>
          </w:p>
        </w:tc>
        <w:tc>
          <w:tcPr>
            <w:tcW w:w="5070" w:type="dxa"/>
            <w:noWrap w:val="0"/>
            <w:vAlign w:val="top"/>
          </w:tcPr>
          <w:p w14:paraId="6B1D1DC9">
            <w:pPr>
              <w:widowControl/>
              <w:kinsoku w:val="0"/>
              <w:snapToGrid w:val="0"/>
              <w:spacing w:line="360" w:lineRule="auto"/>
              <w:ind w:left="1440" w:hanging="1440" w:hangingChars="600"/>
              <w:rPr>
                <w:rFonts w:hAnsi="宋体" w:cs="宋体"/>
                <w:snapToGrid w:val="0"/>
                <w:color w:val="auto"/>
                <w:sz w:val="24"/>
                <w:szCs w:val="24"/>
              </w:rPr>
            </w:pPr>
            <w:r>
              <w:rPr>
                <w:rFonts w:hint="eastAsia" w:hAnsi="宋体" w:cs="宋体"/>
                <w:snapToGrid w:val="0"/>
                <w:color w:val="auto"/>
                <w:sz w:val="24"/>
                <w:szCs w:val="24"/>
              </w:rPr>
              <w:t xml:space="preserve">乙方： </w:t>
            </w:r>
            <w:r>
              <w:rPr>
                <w:rFonts w:hint="eastAsia" w:hAnsi="宋体" w:cs="宋体"/>
                <w:snapToGrid w:val="0"/>
                <w:color w:val="auto"/>
                <w:sz w:val="24"/>
                <w:szCs w:val="24"/>
                <w:u w:val="single"/>
              </w:rPr>
              <w:t xml:space="preserve">                      </w:t>
            </w:r>
            <w:r>
              <w:rPr>
                <w:rFonts w:hint="eastAsia" w:hAnsi="宋体" w:cs="宋体"/>
                <w:snapToGrid w:val="0"/>
                <w:color w:val="auto"/>
                <w:sz w:val="24"/>
                <w:szCs w:val="24"/>
              </w:rPr>
              <w:t>（盖单位章）</w:t>
            </w:r>
          </w:p>
        </w:tc>
      </w:tr>
      <w:tr w14:paraId="2DA3E796">
        <w:tblPrEx>
          <w:tblCellMar>
            <w:top w:w="0" w:type="dxa"/>
            <w:left w:w="108" w:type="dxa"/>
            <w:bottom w:w="0" w:type="dxa"/>
            <w:right w:w="108" w:type="dxa"/>
          </w:tblCellMar>
        </w:tblPrEx>
        <w:trPr>
          <w:trHeight w:val="1753" w:hRule="atLeast"/>
        </w:trPr>
        <w:tc>
          <w:tcPr>
            <w:tcW w:w="4618" w:type="dxa"/>
            <w:noWrap w:val="0"/>
            <w:vAlign w:val="top"/>
          </w:tcPr>
          <w:p w14:paraId="2D57DF74">
            <w:pPr>
              <w:widowControl/>
              <w:kinsoku w:val="0"/>
              <w:snapToGrid w:val="0"/>
              <w:spacing w:line="360" w:lineRule="auto"/>
              <w:rPr>
                <w:rFonts w:hAnsi="宋体" w:cs="宋体"/>
                <w:snapToGrid w:val="0"/>
                <w:color w:val="auto"/>
                <w:sz w:val="24"/>
                <w:szCs w:val="24"/>
              </w:rPr>
            </w:pPr>
          </w:p>
          <w:p w14:paraId="1EF3AB62">
            <w:pPr>
              <w:widowControl/>
              <w:kinsoku w:val="0"/>
              <w:snapToGrid w:val="0"/>
              <w:spacing w:line="360" w:lineRule="auto"/>
              <w:rPr>
                <w:rFonts w:hAnsi="宋体" w:cs="宋体"/>
                <w:snapToGrid w:val="0"/>
                <w:color w:val="auto"/>
                <w:sz w:val="24"/>
                <w:szCs w:val="24"/>
              </w:rPr>
            </w:pPr>
            <w:r>
              <w:rPr>
                <w:rFonts w:hint="eastAsia" w:hAnsi="宋体" w:cs="宋体"/>
                <w:snapToGrid w:val="0"/>
                <w:color w:val="auto"/>
                <w:sz w:val="24"/>
                <w:szCs w:val="24"/>
              </w:rPr>
              <w:t>法定代表人</w:t>
            </w:r>
          </w:p>
          <w:p w14:paraId="38251124">
            <w:pPr>
              <w:widowControl/>
              <w:kinsoku w:val="0"/>
              <w:snapToGrid w:val="0"/>
              <w:spacing w:line="360" w:lineRule="auto"/>
              <w:ind w:firstLine="480" w:firstLineChars="200"/>
              <w:rPr>
                <w:rFonts w:hAnsi="宋体" w:cs="宋体"/>
                <w:snapToGrid w:val="0"/>
                <w:color w:val="auto"/>
                <w:sz w:val="24"/>
                <w:szCs w:val="24"/>
              </w:rPr>
            </w:pPr>
            <w:r>
              <w:rPr>
                <w:rFonts w:hint="eastAsia" w:hAnsi="宋体" w:cs="宋体"/>
                <w:snapToGrid w:val="0"/>
                <w:color w:val="auto"/>
                <w:sz w:val="24"/>
                <w:szCs w:val="24"/>
              </w:rPr>
              <w:t>或</w:t>
            </w:r>
          </w:p>
          <w:p w14:paraId="50F4A15D">
            <w:pPr>
              <w:widowControl/>
              <w:kinsoku w:val="0"/>
              <w:snapToGrid w:val="0"/>
              <w:spacing w:line="360" w:lineRule="auto"/>
              <w:rPr>
                <w:rFonts w:hAnsi="宋体" w:cs="宋体"/>
                <w:snapToGrid w:val="0"/>
                <w:color w:val="auto"/>
                <w:sz w:val="24"/>
                <w:szCs w:val="24"/>
              </w:rPr>
            </w:pPr>
            <w:r>
              <w:rPr>
                <w:rFonts w:hint="eastAsia" w:hAnsi="宋体" w:cs="宋体"/>
                <w:snapToGrid w:val="0"/>
                <w:color w:val="auto"/>
                <w:sz w:val="24"/>
                <w:szCs w:val="24"/>
              </w:rPr>
              <w:t xml:space="preserve">其授权代表：               </w:t>
            </w:r>
          </w:p>
        </w:tc>
        <w:tc>
          <w:tcPr>
            <w:tcW w:w="5070" w:type="dxa"/>
            <w:noWrap w:val="0"/>
            <w:vAlign w:val="top"/>
          </w:tcPr>
          <w:p w14:paraId="3B1B8C40">
            <w:pPr>
              <w:widowControl/>
              <w:kinsoku w:val="0"/>
              <w:snapToGrid w:val="0"/>
              <w:spacing w:line="360" w:lineRule="auto"/>
              <w:rPr>
                <w:rFonts w:hAnsi="宋体" w:cs="宋体"/>
                <w:snapToGrid w:val="0"/>
                <w:color w:val="auto"/>
                <w:sz w:val="24"/>
                <w:szCs w:val="24"/>
              </w:rPr>
            </w:pPr>
          </w:p>
          <w:p w14:paraId="1C79195B">
            <w:pPr>
              <w:widowControl/>
              <w:kinsoku w:val="0"/>
              <w:snapToGrid w:val="0"/>
              <w:spacing w:line="360" w:lineRule="auto"/>
              <w:rPr>
                <w:rFonts w:hAnsi="宋体" w:cs="宋体"/>
                <w:snapToGrid w:val="0"/>
                <w:color w:val="auto"/>
                <w:sz w:val="24"/>
                <w:szCs w:val="24"/>
              </w:rPr>
            </w:pPr>
            <w:r>
              <w:rPr>
                <w:rFonts w:hint="eastAsia" w:hAnsi="宋体" w:cs="宋体"/>
                <w:snapToGrid w:val="0"/>
                <w:color w:val="auto"/>
                <w:sz w:val="24"/>
                <w:szCs w:val="24"/>
              </w:rPr>
              <w:t>法定代表人</w:t>
            </w:r>
          </w:p>
          <w:p w14:paraId="21878D11">
            <w:pPr>
              <w:widowControl/>
              <w:kinsoku w:val="0"/>
              <w:snapToGrid w:val="0"/>
              <w:spacing w:line="360" w:lineRule="auto"/>
              <w:ind w:firstLine="480" w:firstLineChars="200"/>
              <w:rPr>
                <w:rFonts w:hAnsi="宋体" w:cs="宋体"/>
                <w:snapToGrid w:val="0"/>
                <w:color w:val="auto"/>
                <w:sz w:val="24"/>
                <w:szCs w:val="24"/>
              </w:rPr>
            </w:pPr>
            <w:r>
              <w:rPr>
                <w:rFonts w:hint="eastAsia" w:hAnsi="宋体" w:cs="宋体"/>
                <w:snapToGrid w:val="0"/>
                <w:color w:val="auto"/>
                <w:sz w:val="24"/>
                <w:szCs w:val="24"/>
              </w:rPr>
              <w:t>或</w:t>
            </w:r>
          </w:p>
          <w:p w14:paraId="75C75DD7">
            <w:pPr>
              <w:widowControl/>
              <w:kinsoku w:val="0"/>
              <w:snapToGrid w:val="0"/>
              <w:spacing w:line="360" w:lineRule="auto"/>
              <w:rPr>
                <w:rFonts w:hAnsi="宋体" w:cs="宋体"/>
                <w:snapToGrid w:val="0"/>
                <w:color w:val="auto"/>
                <w:sz w:val="24"/>
                <w:szCs w:val="24"/>
              </w:rPr>
            </w:pPr>
            <w:r>
              <w:rPr>
                <w:rFonts w:hint="eastAsia" w:hAnsi="宋体" w:cs="宋体"/>
                <w:snapToGrid w:val="0"/>
                <w:color w:val="auto"/>
                <w:sz w:val="24"/>
                <w:szCs w:val="24"/>
              </w:rPr>
              <w:t xml:space="preserve">其授权代表：               </w:t>
            </w:r>
          </w:p>
        </w:tc>
      </w:tr>
      <w:tr w14:paraId="1B99AE63">
        <w:tblPrEx>
          <w:tblCellMar>
            <w:top w:w="0" w:type="dxa"/>
            <w:left w:w="108" w:type="dxa"/>
            <w:bottom w:w="0" w:type="dxa"/>
            <w:right w:w="108" w:type="dxa"/>
          </w:tblCellMar>
        </w:tblPrEx>
        <w:trPr>
          <w:trHeight w:val="875" w:hRule="atLeast"/>
        </w:trPr>
        <w:tc>
          <w:tcPr>
            <w:tcW w:w="4618" w:type="dxa"/>
            <w:noWrap w:val="0"/>
            <w:vAlign w:val="top"/>
          </w:tcPr>
          <w:p w14:paraId="624310B7">
            <w:pPr>
              <w:widowControl/>
              <w:tabs>
                <w:tab w:val="left" w:pos="842"/>
                <w:tab w:val="center" w:pos="2068"/>
              </w:tabs>
              <w:kinsoku w:val="0"/>
              <w:snapToGrid w:val="0"/>
              <w:spacing w:line="360" w:lineRule="auto"/>
              <w:ind w:firstLine="720" w:firstLineChars="300"/>
              <w:jc w:val="center"/>
              <w:rPr>
                <w:rFonts w:hAnsi="宋体" w:cs="宋体"/>
                <w:snapToGrid w:val="0"/>
                <w:color w:val="auto"/>
                <w:sz w:val="24"/>
                <w:szCs w:val="24"/>
              </w:rPr>
            </w:pPr>
            <w:r>
              <w:rPr>
                <w:rFonts w:hint="eastAsia" w:hAnsi="宋体" w:cs="宋体"/>
                <w:snapToGrid w:val="0"/>
                <w:color w:val="auto"/>
                <w:sz w:val="24"/>
                <w:szCs w:val="24"/>
              </w:rPr>
              <w:t xml:space="preserve">   年    月    日</w:t>
            </w:r>
          </w:p>
        </w:tc>
        <w:tc>
          <w:tcPr>
            <w:tcW w:w="5070" w:type="dxa"/>
            <w:noWrap w:val="0"/>
            <w:vAlign w:val="top"/>
          </w:tcPr>
          <w:p w14:paraId="5DF46469">
            <w:pPr>
              <w:widowControl/>
              <w:kinsoku w:val="0"/>
              <w:snapToGrid w:val="0"/>
              <w:spacing w:line="360" w:lineRule="auto"/>
              <w:jc w:val="center"/>
              <w:rPr>
                <w:rFonts w:hAnsi="宋体" w:cs="宋体"/>
                <w:snapToGrid w:val="0"/>
                <w:color w:val="auto"/>
                <w:sz w:val="24"/>
                <w:szCs w:val="24"/>
              </w:rPr>
            </w:pPr>
            <w:r>
              <w:rPr>
                <w:rFonts w:hint="eastAsia" w:hAnsi="宋体" w:cs="宋体"/>
                <w:snapToGrid w:val="0"/>
                <w:color w:val="auto"/>
                <w:sz w:val="24"/>
                <w:szCs w:val="24"/>
              </w:rPr>
              <w:t xml:space="preserve">    年    月    日</w:t>
            </w:r>
          </w:p>
        </w:tc>
      </w:tr>
    </w:tbl>
    <w:p w14:paraId="471018FA">
      <w:pPr>
        <w:pStyle w:val="4"/>
        <w:widowControl/>
        <w:kinsoku w:val="0"/>
        <w:snapToGrid w:val="0"/>
        <w:spacing w:line="360" w:lineRule="auto"/>
        <w:jc w:val="center"/>
        <w:rPr>
          <w:rFonts w:cs="宋体"/>
          <w:b/>
          <w:bCs/>
          <w:snapToGrid w:val="0"/>
          <w:color w:val="auto"/>
          <w:spacing w:val="-4"/>
          <w:sz w:val="24"/>
          <w:szCs w:val="24"/>
        </w:rPr>
        <w:sectPr>
          <w:footerReference r:id="rId3" w:type="default"/>
          <w:pgSz w:w="11910" w:h="16840"/>
          <w:pgMar w:top="1440" w:right="1361" w:bottom="1440" w:left="1361" w:header="707" w:footer="850" w:gutter="0"/>
          <w:cols w:space="720" w:num="1"/>
        </w:sectPr>
      </w:pPr>
    </w:p>
    <w:p w14:paraId="4033CE50">
      <w:pPr>
        <w:pStyle w:val="4"/>
        <w:widowControl/>
        <w:kinsoku w:val="0"/>
        <w:snapToGrid w:val="0"/>
        <w:spacing w:line="360" w:lineRule="auto"/>
        <w:jc w:val="center"/>
        <w:rPr>
          <w:rFonts w:ascii="宋体" w:hAnsi="宋体" w:cs="宋体"/>
          <w:b/>
          <w:bCs/>
          <w:snapToGrid w:val="0"/>
          <w:color w:val="auto"/>
          <w:spacing w:val="-4"/>
          <w:sz w:val="32"/>
          <w:szCs w:val="32"/>
        </w:rPr>
      </w:pPr>
      <w:r>
        <w:rPr>
          <w:rFonts w:hint="eastAsia" w:cs="宋体"/>
          <w:b/>
          <w:bCs/>
          <w:snapToGrid w:val="0"/>
          <w:color w:val="auto"/>
          <w:spacing w:val="-4"/>
          <w:sz w:val="32"/>
          <w:szCs w:val="32"/>
        </w:rPr>
        <w:t>安 全 生 产 合 同</w:t>
      </w:r>
    </w:p>
    <w:p w14:paraId="50B55CEB">
      <w:pPr>
        <w:widowControl/>
        <w:kinsoku w:val="0"/>
        <w:snapToGrid w:val="0"/>
        <w:spacing w:line="360" w:lineRule="auto"/>
        <w:ind w:firstLine="480" w:firstLineChars="200"/>
        <w:rPr>
          <w:rFonts w:hAnsi="宋体" w:cs="宋体"/>
          <w:snapToGrid w:val="0"/>
          <w:color w:val="auto"/>
          <w:sz w:val="24"/>
          <w:szCs w:val="24"/>
        </w:rPr>
      </w:pPr>
      <w:r>
        <w:rPr>
          <w:rFonts w:hint="eastAsia" w:hAnsi="宋体" w:cs="宋体"/>
          <w:snapToGrid w:val="0"/>
          <w:color w:val="auto"/>
          <w:sz w:val="24"/>
          <w:szCs w:val="24"/>
        </w:rPr>
        <w:t>为在</w:t>
      </w:r>
      <w:r>
        <w:rPr>
          <w:rFonts w:hint="eastAsia" w:hAnsi="宋体" w:cs="宋体"/>
          <w:snapToGrid w:val="0"/>
          <w:color w:val="auto"/>
          <w:sz w:val="24"/>
          <w:szCs w:val="24"/>
          <w:lang w:eastAsia="zh-CN"/>
        </w:rPr>
        <w:t>长安区X105半引路县乡公路改建工程监理及全过程管理咨询服务</w:t>
      </w:r>
      <w:r>
        <w:rPr>
          <w:rFonts w:hint="eastAsia" w:hAnsi="宋体" w:cs="宋体"/>
          <w:snapToGrid w:val="0"/>
          <w:color w:val="auto"/>
          <w:sz w:val="24"/>
          <w:szCs w:val="24"/>
        </w:rPr>
        <w:t>的实施过程中创造安全、高效的施工环境，切实搞好本项目的安全管理工作</w:t>
      </w:r>
      <w:r>
        <w:rPr>
          <w:rFonts w:hint="eastAsia" w:hAnsi="宋体" w:cs="宋体"/>
          <w:snapToGrid w:val="0"/>
          <w:color w:val="auto"/>
          <w:sz w:val="24"/>
          <w:szCs w:val="24"/>
          <w:u w:val="single"/>
        </w:rPr>
        <w:t>西安市长安区交通运输局</w:t>
      </w:r>
      <w:r>
        <w:rPr>
          <w:rFonts w:hint="eastAsia" w:hAnsi="宋体" w:cs="宋体"/>
          <w:snapToGrid w:val="0"/>
          <w:color w:val="auto"/>
          <w:sz w:val="24"/>
          <w:szCs w:val="24"/>
        </w:rPr>
        <w:t>(以下简称“甲方”)与</w:t>
      </w:r>
      <w:r>
        <w:rPr>
          <w:rFonts w:hint="eastAsia" w:hAnsi="宋体" w:cs="宋体"/>
          <w:color w:val="auto"/>
          <w:sz w:val="24"/>
          <w:szCs w:val="24"/>
          <w:u w:val="single"/>
        </w:rPr>
        <w:t xml:space="preserve">           </w:t>
      </w:r>
      <w:r>
        <w:rPr>
          <w:rFonts w:hint="eastAsia" w:hAnsi="宋体" w:cs="宋体"/>
          <w:snapToGrid w:val="0"/>
          <w:color w:val="auto"/>
          <w:sz w:val="24"/>
          <w:szCs w:val="24"/>
        </w:rPr>
        <w:t>(以下简称“乙方”）特签定此合同：</w:t>
      </w:r>
    </w:p>
    <w:p w14:paraId="04236D7C">
      <w:pPr>
        <w:widowControl/>
        <w:kinsoku w:val="0"/>
        <w:snapToGrid w:val="0"/>
        <w:spacing w:line="360" w:lineRule="auto"/>
        <w:rPr>
          <w:rFonts w:hAnsi="宋体" w:cs="宋体"/>
          <w:snapToGrid w:val="0"/>
          <w:color w:val="auto"/>
          <w:sz w:val="24"/>
          <w:szCs w:val="24"/>
        </w:rPr>
      </w:pPr>
      <w:r>
        <w:rPr>
          <w:rFonts w:hint="eastAsia" w:hAnsi="宋体" w:cs="宋体"/>
          <w:snapToGrid w:val="0"/>
          <w:color w:val="auto"/>
          <w:sz w:val="24"/>
          <w:szCs w:val="24"/>
        </w:rPr>
        <w:t xml:space="preserve">    一、甲方职责</w:t>
      </w:r>
    </w:p>
    <w:p w14:paraId="7F57AC60">
      <w:pPr>
        <w:widowControl/>
        <w:kinsoku w:val="0"/>
        <w:snapToGrid w:val="0"/>
        <w:spacing w:line="360" w:lineRule="auto"/>
        <w:rPr>
          <w:rFonts w:hAnsi="宋体" w:cs="宋体"/>
          <w:snapToGrid w:val="0"/>
          <w:color w:val="auto"/>
          <w:sz w:val="24"/>
          <w:szCs w:val="24"/>
        </w:rPr>
      </w:pPr>
      <w:r>
        <w:rPr>
          <w:rFonts w:hint="eastAsia" w:hAnsi="宋体" w:cs="宋体"/>
          <w:snapToGrid w:val="0"/>
          <w:color w:val="auto"/>
          <w:sz w:val="24"/>
          <w:szCs w:val="24"/>
        </w:rPr>
        <w:t xml:space="preserve">    1.严格遵守国家有关安全生产的法律法规，认真执行</w:t>
      </w:r>
      <w:r>
        <w:rPr>
          <w:rFonts w:hint="eastAsia" w:hAnsi="宋体" w:cs="宋体"/>
          <w:snapToGrid w:val="0"/>
          <w:color w:val="auto"/>
          <w:sz w:val="24"/>
          <w:szCs w:val="24"/>
          <w:lang w:eastAsia="zh-CN"/>
        </w:rPr>
        <w:t>长安区X105半引路县乡公路改建工程监理及全过程管理咨询服务</w:t>
      </w:r>
      <w:r>
        <w:rPr>
          <w:rFonts w:hint="eastAsia" w:hAnsi="宋体" w:cs="宋体"/>
          <w:snapToGrid w:val="0"/>
          <w:color w:val="auto"/>
          <w:sz w:val="24"/>
          <w:szCs w:val="24"/>
        </w:rPr>
        <w:t>合同中的有关安全要求。</w:t>
      </w:r>
    </w:p>
    <w:p w14:paraId="444D2284">
      <w:pPr>
        <w:widowControl/>
        <w:kinsoku w:val="0"/>
        <w:snapToGrid w:val="0"/>
        <w:spacing w:line="360" w:lineRule="auto"/>
        <w:rPr>
          <w:rFonts w:hAnsi="宋体" w:cs="宋体"/>
          <w:snapToGrid w:val="0"/>
          <w:color w:val="auto"/>
          <w:sz w:val="24"/>
          <w:szCs w:val="24"/>
        </w:rPr>
      </w:pPr>
      <w:r>
        <w:rPr>
          <w:rFonts w:hint="eastAsia" w:hAnsi="宋体" w:cs="宋体"/>
          <w:snapToGrid w:val="0"/>
          <w:color w:val="auto"/>
          <w:sz w:val="24"/>
          <w:szCs w:val="24"/>
        </w:rPr>
        <w:t xml:space="preserve">    2.按照“安全第一、预防为主”和坚持“管生产必须管安全”的原则进行安全生产管理，做到生产与安全工作同时计划、布置、检查、总结和评比。</w:t>
      </w:r>
    </w:p>
    <w:p w14:paraId="164B37CD">
      <w:pPr>
        <w:widowControl/>
        <w:kinsoku w:val="0"/>
        <w:snapToGrid w:val="0"/>
        <w:spacing w:line="360" w:lineRule="auto"/>
        <w:rPr>
          <w:rFonts w:hAnsi="宋体" w:cs="宋体"/>
          <w:snapToGrid w:val="0"/>
          <w:color w:val="auto"/>
          <w:sz w:val="24"/>
          <w:szCs w:val="24"/>
        </w:rPr>
      </w:pPr>
      <w:r>
        <w:rPr>
          <w:rFonts w:hint="eastAsia" w:hAnsi="宋体" w:cs="宋体"/>
          <w:snapToGrid w:val="0"/>
          <w:color w:val="auto"/>
          <w:sz w:val="24"/>
          <w:szCs w:val="24"/>
        </w:rPr>
        <w:t xml:space="preserve">    3.重要的安全设施必须坚持与主体工程“三同时”的原则，即：同时设计、审批，同时施工，同时验收、投入使用。</w:t>
      </w:r>
    </w:p>
    <w:p w14:paraId="0C49F3D7">
      <w:pPr>
        <w:widowControl/>
        <w:kinsoku w:val="0"/>
        <w:snapToGrid w:val="0"/>
        <w:spacing w:line="360" w:lineRule="auto"/>
        <w:rPr>
          <w:rFonts w:hAnsi="宋体" w:cs="宋体"/>
          <w:snapToGrid w:val="0"/>
          <w:color w:val="auto"/>
          <w:sz w:val="24"/>
          <w:szCs w:val="24"/>
        </w:rPr>
      </w:pPr>
      <w:r>
        <w:rPr>
          <w:rFonts w:hint="eastAsia" w:hAnsi="宋体" w:cs="宋体"/>
          <w:snapToGrid w:val="0"/>
          <w:color w:val="auto"/>
          <w:sz w:val="24"/>
          <w:szCs w:val="24"/>
        </w:rPr>
        <w:t xml:space="preserve">    4.定期召开安全生产调度会，及时传达中央及地方有关安全生产的精神。</w:t>
      </w:r>
    </w:p>
    <w:p w14:paraId="6E0EF9EC">
      <w:pPr>
        <w:widowControl/>
        <w:kinsoku w:val="0"/>
        <w:snapToGrid w:val="0"/>
        <w:spacing w:line="360" w:lineRule="auto"/>
        <w:rPr>
          <w:rFonts w:hAnsi="宋体" w:cs="宋体"/>
          <w:snapToGrid w:val="0"/>
          <w:color w:val="auto"/>
          <w:sz w:val="24"/>
          <w:szCs w:val="24"/>
        </w:rPr>
      </w:pPr>
      <w:r>
        <w:rPr>
          <w:rFonts w:hint="eastAsia" w:hAnsi="宋体" w:cs="宋体"/>
          <w:snapToGrid w:val="0"/>
          <w:color w:val="auto"/>
          <w:sz w:val="24"/>
          <w:szCs w:val="24"/>
        </w:rPr>
        <w:t xml:space="preserve">    5.组织对乙方施工现场安全生产检查，监督乙方及时处理发现的各种安全隐患。</w:t>
      </w:r>
    </w:p>
    <w:p w14:paraId="38F4ABE4">
      <w:pPr>
        <w:widowControl/>
        <w:kinsoku w:val="0"/>
        <w:snapToGrid w:val="0"/>
        <w:spacing w:line="360" w:lineRule="auto"/>
        <w:rPr>
          <w:rFonts w:hAnsi="宋体" w:cs="宋体"/>
          <w:snapToGrid w:val="0"/>
          <w:color w:val="auto"/>
          <w:sz w:val="24"/>
          <w:szCs w:val="24"/>
        </w:rPr>
      </w:pPr>
      <w:r>
        <w:rPr>
          <w:rFonts w:hint="eastAsia" w:hAnsi="宋体" w:cs="宋体"/>
          <w:snapToGrid w:val="0"/>
          <w:color w:val="auto"/>
          <w:sz w:val="24"/>
          <w:szCs w:val="24"/>
        </w:rPr>
        <w:t xml:space="preserve">    二、乙方职责</w:t>
      </w:r>
    </w:p>
    <w:p w14:paraId="2820024F">
      <w:pPr>
        <w:widowControl/>
        <w:kinsoku w:val="0"/>
        <w:snapToGrid w:val="0"/>
        <w:spacing w:line="360" w:lineRule="auto"/>
        <w:rPr>
          <w:rFonts w:hAnsi="宋体" w:cs="宋体"/>
          <w:snapToGrid w:val="0"/>
          <w:color w:val="auto"/>
          <w:sz w:val="24"/>
          <w:szCs w:val="24"/>
        </w:rPr>
      </w:pPr>
      <w:r>
        <w:rPr>
          <w:rFonts w:hint="eastAsia" w:hAnsi="宋体" w:cs="宋体"/>
          <w:snapToGrid w:val="0"/>
          <w:color w:val="auto"/>
          <w:sz w:val="24"/>
          <w:szCs w:val="24"/>
        </w:rPr>
        <w:t xml:space="preserve">    1.严格遵守国家有关安全生产的法律法规、相关安全生产的规定，认真执行</w:t>
      </w:r>
      <w:r>
        <w:rPr>
          <w:rFonts w:hint="eastAsia" w:hAnsi="宋体" w:cs="宋体"/>
          <w:snapToGrid w:val="0"/>
          <w:color w:val="auto"/>
          <w:sz w:val="24"/>
          <w:szCs w:val="24"/>
          <w:lang w:eastAsia="zh-CN"/>
        </w:rPr>
        <w:t>长安区X105半引路县乡公路改建工程监理及全过程管理咨询服务</w:t>
      </w:r>
      <w:r>
        <w:rPr>
          <w:rFonts w:hint="eastAsia" w:hAnsi="宋体" w:cs="宋体"/>
          <w:snapToGrid w:val="0"/>
          <w:color w:val="auto"/>
          <w:sz w:val="24"/>
          <w:szCs w:val="24"/>
        </w:rPr>
        <w:t>合同中的有关安全要求。</w:t>
      </w:r>
    </w:p>
    <w:p w14:paraId="0A9D9C8E">
      <w:pPr>
        <w:widowControl/>
        <w:kinsoku w:val="0"/>
        <w:snapToGrid w:val="0"/>
        <w:spacing w:line="360" w:lineRule="auto"/>
        <w:ind w:firstLine="630"/>
        <w:rPr>
          <w:rFonts w:hAnsi="宋体" w:cs="宋体"/>
          <w:snapToGrid w:val="0"/>
          <w:color w:val="auto"/>
          <w:sz w:val="24"/>
          <w:szCs w:val="24"/>
        </w:rPr>
      </w:pPr>
      <w:r>
        <w:rPr>
          <w:rFonts w:hint="eastAsia" w:hAnsi="宋体" w:cs="宋体"/>
          <w:snapToGrid w:val="0"/>
          <w:color w:val="auto"/>
          <w:sz w:val="24"/>
          <w:szCs w:val="24"/>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41707FCD">
      <w:pPr>
        <w:widowControl/>
        <w:kinsoku w:val="0"/>
        <w:snapToGrid w:val="0"/>
        <w:spacing w:line="360" w:lineRule="auto"/>
        <w:ind w:firstLine="630"/>
        <w:rPr>
          <w:rFonts w:hAnsi="宋体" w:cs="宋体"/>
          <w:snapToGrid w:val="0"/>
          <w:color w:val="auto"/>
          <w:sz w:val="24"/>
          <w:szCs w:val="24"/>
        </w:rPr>
      </w:pPr>
      <w:r>
        <w:rPr>
          <w:rFonts w:hint="eastAsia" w:hAnsi="宋体" w:cs="宋体"/>
          <w:snapToGrid w:val="0"/>
          <w:color w:val="auto"/>
          <w:sz w:val="24"/>
          <w:szCs w:val="24"/>
        </w:rPr>
        <w:t>3.建立健全安全生产责任制。各职能部门、人员的安全生产责任制，做到横向到边，人人有责。项目负责人是安全生产的第一责任人。安全机构人员，有权按有关规定发布指令，并采取保护性措施防止事故发生。</w:t>
      </w:r>
    </w:p>
    <w:p w14:paraId="1F8A585C">
      <w:pPr>
        <w:widowControl/>
        <w:kinsoku w:val="0"/>
        <w:snapToGrid w:val="0"/>
        <w:spacing w:line="360" w:lineRule="auto"/>
        <w:ind w:firstLine="630"/>
        <w:rPr>
          <w:rFonts w:hAnsi="宋体" w:cs="宋体"/>
          <w:snapToGrid w:val="0"/>
          <w:color w:val="auto"/>
          <w:sz w:val="24"/>
          <w:szCs w:val="24"/>
        </w:rPr>
      </w:pPr>
      <w:r>
        <w:rPr>
          <w:rFonts w:hint="eastAsia" w:hAnsi="宋体" w:cs="宋体"/>
          <w:snapToGrid w:val="0"/>
          <w:color w:val="auto"/>
          <w:sz w:val="24"/>
          <w:szCs w:val="24"/>
        </w:rPr>
        <w:t>4.乙方在任何时候都应采取各种合理的预防措施，防止其员工发生任何违法、违禁、暴力或妨碍治安的行为。</w:t>
      </w:r>
    </w:p>
    <w:p w14:paraId="6F4EE4CD">
      <w:pPr>
        <w:widowControl/>
        <w:kinsoku w:val="0"/>
        <w:snapToGrid w:val="0"/>
        <w:spacing w:line="360" w:lineRule="auto"/>
        <w:ind w:firstLine="630"/>
        <w:rPr>
          <w:rFonts w:hAnsi="宋体" w:cs="宋体"/>
          <w:snapToGrid w:val="0"/>
          <w:color w:val="auto"/>
          <w:sz w:val="24"/>
          <w:szCs w:val="24"/>
        </w:rPr>
      </w:pPr>
      <w:r>
        <w:rPr>
          <w:rFonts w:hint="eastAsia" w:hAnsi="宋体" w:cs="宋体"/>
          <w:snapToGrid w:val="0"/>
          <w:color w:val="auto"/>
          <w:sz w:val="24"/>
          <w:szCs w:val="24"/>
        </w:rPr>
        <w:t>5.对于易燃易爆的材料除应专门妥善保管之外，还应配备有足够的消防设施，所有人员都应熟悉消防设备的性能和使用方法；不得将任何种类的爆炸物给予、易货或以其他方式转让给任何其他人，或允许、容忍上述同样行为。</w:t>
      </w:r>
    </w:p>
    <w:p w14:paraId="281C2513">
      <w:pPr>
        <w:widowControl/>
        <w:kinsoku w:val="0"/>
        <w:snapToGrid w:val="0"/>
        <w:spacing w:line="360" w:lineRule="auto"/>
        <w:ind w:firstLine="630"/>
        <w:rPr>
          <w:rFonts w:hAnsi="宋体" w:cs="宋体"/>
          <w:snapToGrid w:val="0"/>
          <w:color w:val="auto"/>
          <w:sz w:val="24"/>
          <w:szCs w:val="24"/>
        </w:rPr>
      </w:pPr>
      <w:r>
        <w:rPr>
          <w:rFonts w:hint="eastAsia" w:hAnsi="宋体" w:cs="宋体"/>
          <w:snapToGrid w:val="0"/>
          <w:color w:val="auto"/>
          <w:sz w:val="24"/>
          <w:szCs w:val="24"/>
        </w:rPr>
        <w:t>7.操作人员上岗，必须按规定穿戴防护用品。施工负责人和安全检查员应随时检查劳动防护用品的穿戴情况，不按规定穿戴防护用品的人员不得上岗。</w:t>
      </w:r>
    </w:p>
    <w:p w14:paraId="13285646">
      <w:pPr>
        <w:widowControl/>
        <w:kinsoku w:val="0"/>
        <w:snapToGrid w:val="0"/>
        <w:spacing w:line="360" w:lineRule="auto"/>
        <w:ind w:firstLine="630"/>
        <w:rPr>
          <w:rFonts w:hAnsi="宋体" w:cs="宋体"/>
          <w:snapToGrid w:val="0"/>
          <w:color w:val="auto"/>
          <w:sz w:val="24"/>
          <w:szCs w:val="24"/>
        </w:rPr>
      </w:pPr>
      <w:r>
        <w:rPr>
          <w:rFonts w:hint="eastAsia" w:hAnsi="宋体" w:cs="宋体"/>
          <w:snapToGrid w:val="0"/>
          <w:color w:val="auto"/>
          <w:sz w:val="24"/>
          <w:szCs w:val="24"/>
        </w:rPr>
        <w:t>8.所有施工机具设备和高空作业的设备均应定期检查，并有安全员的签字记录，保证其经常处于完好状态；不合格的机具、设备和劳动保护用品严禁使用</w:t>
      </w:r>
    </w:p>
    <w:p w14:paraId="727BA59C">
      <w:pPr>
        <w:widowControl/>
        <w:kinsoku w:val="0"/>
        <w:snapToGrid w:val="0"/>
        <w:spacing w:line="360" w:lineRule="auto"/>
        <w:ind w:firstLine="630"/>
        <w:rPr>
          <w:rFonts w:hAnsi="宋体" w:cs="宋体"/>
          <w:snapToGrid w:val="0"/>
          <w:color w:val="auto"/>
          <w:sz w:val="24"/>
          <w:szCs w:val="24"/>
        </w:rPr>
      </w:pPr>
      <w:r>
        <w:rPr>
          <w:rFonts w:hint="eastAsia" w:hAnsi="宋体" w:cs="宋体"/>
          <w:snapToGrid w:val="0"/>
          <w:color w:val="auto"/>
          <w:sz w:val="24"/>
          <w:szCs w:val="24"/>
        </w:rPr>
        <w:t>9.施工中采用新技术、新工艺、新设备、新材料时，必须制定相应的安全技术措施，施工现场必须具有相关的安全标志牌。</w:t>
      </w:r>
    </w:p>
    <w:p w14:paraId="1E51FB01">
      <w:pPr>
        <w:widowControl/>
        <w:kinsoku w:val="0"/>
        <w:snapToGrid w:val="0"/>
        <w:spacing w:line="360" w:lineRule="auto"/>
        <w:ind w:firstLine="630"/>
        <w:rPr>
          <w:rFonts w:hAnsi="宋体" w:cs="宋体"/>
          <w:snapToGrid w:val="0"/>
          <w:color w:val="auto"/>
          <w:sz w:val="24"/>
          <w:szCs w:val="24"/>
        </w:rPr>
      </w:pPr>
      <w:r>
        <w:rPr>
          <w:rFonts w:hint="eastAsia" w:hAnsi="宋体" w:cs="宋体"/>
          <w:snapToGrid w:val="0"/>
          <w:color w:val="auto"/>
          <w:sz w:val="24"/>
          <w:szCs w:val="24"/>
        </w:rPr>
        <w:t>10.乙方必须按照本工程项目特点，组织制定本工程实施中的生产安全事故应急救援预案；如果发生安全事故，应按照《国务院关于特大安全事故行政责任追究的规定》以及其它有关规定，及时上报有关部门，坚持“三不放过”的原则，严肃处理相关责任人。</w:t>
      </w:r>
    </w:p>
    <w:p w14:paraId="5AAE8BD6">
      <w:pPr>
        <w:widowControl/>
        <w:kinsoku w:val="0"/>
        <w:snapToGrid w:val="0"/>
        <w:spacing w:line="360" w:lineRule="auto"/>
        <w:ind w:firstLine="630"/>
        <w:rPr>
          <w:rFonts w:hAnsi="宋体" w:cs="宋体"/>
          <w:snapToGrid w:val="0"/>
          <w:color w:val="auto"/>
          <w:sz w:val="24"/>
          <w:szCs w:val="24"/>
        </w:rPr>
      </w:pPr>
      <w:r>
        <w:rPr>
          <w:rFonts w:hint="eastAsia" w:hAnsi="宋体" w:cs="宋体"/>
          <w:snapToGrid w:val="0"/>
          <w:color w:val="auto"/>
          <w:sz w:val="24"/>
          <w:szCs w:val="24"/>
        </w:rPr>
        <w:t>三、违约责任</w:t>
      </w:r>
    </w:p>
    <w:p w14:paraId="2DE2DD2A">
      <w:pPr>
        <w:widowControl/>
        <w:kinsoku w:val="0"/>
        <w:snapToGrid w:val="0"/>
        <w:spacing w:line="360" w:lineRule="auto"/>
        <w:ind w:firstLine="630"/>
        <w:rPr>
          <w:rFonts w:hAnsi="宋体" w:cs="宋体"/>
          <w:snapToGrid w:val="0"/>
          <w:color w:val="auto"/>
          <w:sz w:val="24"/>
          <w:szCs w:val="24"/>
        </w:rPr>
      </w:pPr>
      <w:r>
        <w:rPr>
          <w:rFonts w:hint="eastAsia" w:hAnsi="宋体" w:cs="宋体"/>
          <w:snapToGrid w:val="0"/>
          <w:color w:val="auto"/>
          <w:sz w:val="24"/>
          <w:szCs w:val="24"/>
        </w:rPr>
        <w:t>如因甲方或乙方违约造成安全事故，将依法追究责任。</w:t>
      </w:r>
    </w:p>
    <w:p w14:paraId="31E9EA69">
      <w:pPr>
        <w:widowControl/>
        <w:kinsoku w:val="0"/>
        <w:snapToGrid w:val="0"/>
        <w:spacing w:line="360" w:lineRule="auto"/>
        <w:ind w:firstLine="630"/>
        <w:rPr>
          <w:rFonts w:hAnsi="宋体" w:cs="宋体"/>
          <w:snapToGrid w:val="0"/>
          <w:color w:val="auto"/>
          <w:sz w:val="24"/>
          <w:szCs w:val="24"/>
        </w:rPr>
      </w:pPr>
      <w:r>
        <w:rPr>
          <w:rFonts w:hint="eastAsia" w:hAnsi="宋体" w:cs="宋体"/>
          <w:snapToGrid w:val="0"/>
          <w:color w:val="auto"/>
          <w:sz w:val="24"/>
          <w:szCs w:val="24"/>
        </w:rPr>
        <w:t>本协议一式</w:t>
      </w:r>
      <w:r>
        <w:rPr>
          <w:rFonts w:hint="eastAsia" w:hAnsi="宋体" w:cs="宋体"/>
          <w:snapToGrid w:val="0"/>
          <w:color w:val="auto"/>
          <w:sz w:val="24"/>
          <w:szCs w:val="24"/>
          <w:u w:val="single"/>
          <w:lang w:val="en-US" w:eastAsia="zh-CN"/>
        </w:rPr>
        <w:t xml:space="preserve">   </w:t>
      </w:r>
      <w:r>
        <w:rPr>
          <w:rFonts w:hint="eastAsia" w:hAnsi="宋体" w:cs="宋体"/>
          <w:snapToGrid w:val="0"/>
          <w:color w:val="auto"/>
          <w:sz w:val="24"/>
          <w:szCs w:val="24"/>
        </w:rPr>
        <w:t>份，甲方</w:t>
      </w:r>
      <w:r>
        <w:rPr>
          <w:rFonts w:hint="eastAsia" w:hAnsi="宋体" w:cs="宋体"/>
          <w:snapToGrid w:val="0"/>
          <w:color w:val="auto"/>
          <w:sz w:val="24"/>
          <w:szCs w:val="24"/>
          <w:u w:val="single"/>
          <w:lang w:val="en-US" w:eastAsia="zh-CN"/>
        </w:rPr>
        <w:t xml:space="preserve">    </w:t>
      </w:r>
      <w:r>
        <w:rPr>
          <w:rFonts w:hint="eastAsia" w:hAnsi="宋体" w:cs="宋体"/>
          <w:snapToGrid w:val="0"/>
          <w:color w:val="auto"/>
          <w:sz w:val="24"/>
          <w:szCs w:val="24"/>
        </w:rPr>
        <w:t>份，乙方</w:t>
      </w:r>
      <w:r>
        <w:rPr>
          <w:rFonts w:hint="eastAsia" w:hAnsi="宋体" w:cs="宋体"/>
          <w:snapToGrid w:val="0"/>
          <w:color w:val="auto"/>
          <w:sz w:val="24"/>
          <w:szCs w:val="24"/>
          <w:u w:val="single"/>
          <w:lang w:val="en-US" w:eastAsia="zh-CN"/>
        </w:rPr>
        <w:t xml:space="preserve">    </w:t>
      </w:r>
      <w:r>
        <w:rPr>
          <w:rFonts w:hint="eastAsia" w:hAnsi="宋体" w:cs="宋体"/>
          <w:snapToGrid w:val="0"/>
          <w:color w:val="auto"/>
          <w:sz w:val="24"/>
          <w:szCs w:val="24"/>
        </w:rPr>
        <w:t>份</w:t>
      </w:r>
    </w:p>
    <w:p w14:paraId="514B0C60">
      <w:pPr>
        <w:widowControl/>
        <w:kinsoku w:val="0"/>
        <w:snapToGrid w:val="0"/>
        <w:spacing w:line="240" w:lineRule="exact"/>
        <w:jc w:val="left"/>
        <w:rPr>
          <w:rFonts w:hAnsi="宋体" w:cs="宋体"/>
          <w:snapToGrid w:val="0"/>
          <w:color w:val="auto"/>
          <w:sz w:val="24"/>
          <w:szCs w:val="24"/>
        </w:rPr>
      </w:pPr>
    </w:p>
    <w:p w14:paraId="492B09E9">
      <w:pPr>
        <w:widowControl/>
        <w:kinsoku w:val="0"/>
        <w:snapToGrid w:val="0"/>
        <w:spacing w:line="240" w:lineRule="exact"/>
        <w:jc w:val="left"/>
        <w:rPr>
          <w:rFonts w:hAnsi="宋体" w:cs="宋体"/>
          <w:snapToGrid w:val="0"/>
          <w:color w:val="auto"/>
          <w:sz w:val="24"/>
          <w:szCs w:val="24"/>
        </w:rPr>
      </w:pPr>
    </w:p>
    <w:tbl>
      <w:tblPr>
        <w:tblStyle w:val="6"/>
        <w:tblpPr w:leftFromText="180" w:rightFromText="180" w:vertAnchor="text" w:horzAnchor="page" w:tblpX="1553" w:tblpY="69"/>
        <w:tblOverlap w:val="never"/>
        <w:tblW w:w="9779" w:type="dxa"/>
        <w:tblInd w:w="0" w:type="dxa"/>
        <w:tblLayout w:type="fixed"/>
        <w:tblCellMar>
          <w:top w:w="0" w:type="dxa"/>
          <w:left w:w="108" w:type="dxa"/>
          <w:bottom w:w="0" w:type="dxa"/>
          <w:right w:w="108" w:type="dxa"/>
        </w:tblCellMar>
      </w:tblPr>
      <w:tblGrid>
        <w:gridCol w:w="4744"/>
        <w:gridCol w:w="5035"/>
      </w:tblGrid>
      <w:tr w14:paraId="514C0E03">
        <w:tblPrEx>
          <w:tblCellMar>
            <w:top w:w="0" w:type="dxa"/>
            <w:left w:w="108" w:type="dxa"/>
            <w:bottom w:w="0" w:type="dxa"/>
            <w:right w:w="108" w:type="dxa"/>
          </w:tblCellMar>
        </w:tblPrEx>
        <w:trPr>
          <w:trHeight w:val="1048" w:hRule="atLeast"/>
        </w:trPr>
        <w:tc>
          <w:tcPr>
            <w:tcW w:w="4744" w:type="dxa"/>
            <w:noWrap w:val="0"/>
            <w:vAlign w:val="top"/>
          </w:tcPr>
          <w:p w14:paraId="1F733532">
            <w:pPr>
              <w:widowControl/>
              <w:kinsoku w:val="0"/>
              <w:snapToGrid w:val="0"/>
              <w:spacing w:line="360" w:lineRule="auto"/>
              <w:ind w:left="965" w:hanging="964" w:hangingChars="402"/>
              <w:rPr>
                <w:rFonts w:hAnsi="宋体" w:cs="宋体"/>
                <w:snapToGrid w:val="0"/>
                <w:color w:val="auto"/>
                <w:sz w:val="24"/>
                <w:szCs w:val="24"/>
              </w:rPr>
            </w:pPr>
            <w:r>
              <w:rPr>
                <w:rFonts w:hint="eastAsia" w:hAnsi="宋体" w:cs="宋体"/>
                <w:snapToGrid w:val="0"/>
                <w:color w:val="auto"/>
                <w:sz w:val="24"/>
                <w:szCs w:val="24"/>
              </w:rPr>
              <w:t>甲方：</w:t>
            </w:r>
            <w:r>
              <w:rPr>
                <w:rFonts w:hint="eastAsia" w:hAnsi="宋体" w:cs="宋体"/>
                <w:color w:val="auto"/>
                <w:sz w:val="24"/>
                <w:szCs w:val="24"/>
                <w:u w:val="single"/>
              </w:rPr>
              <w:t xml:space="preserve">                   </w:t>
            </w:r>
            <w:r>
              <w:rPr>
                <w:rFonts w:hint="eastAsia" w:hAnsi="宋体" w:cs="宋体"/>
                <w:snapToGrid w:val="0"/>
                <w:color w:val="auto"/>
                <w:sz w:val="24"/>
                <w:szCs w:val="24"/>
              </w:rPr>
              <w:t>（盖单位章）</w:t>
            </w:r>
          </w:p>
        </w:tc>
        <w:tc>
          <w:tcPr>
            <w:tcW w:w="5035" w:type="dxa"/>
            <w:noWrap w:val="0"/>
            <w:vAlign w:val="top"/>
          </w:tcPr>
          <w:p w14:paraId="7400A2A4">
            <w:pPr>
              <w:widowControl/>
              <w:rPr>
                <w:rFonts w:hAnsi="宋体" w:cs="宋体"/>
                <w:snapToGrid w:val="0"/>
                <w:color w:val="auto"/>
                <w:sz w:val="24"/>
                <w:szCs w:val="24"/>
              </w:rPr>
            </w:pPr>
            <w:r>
              <w:rPr>
                <w:rFonts w:hint="eastAsia" w:hAnsi="宋体" w:cs="宋体"/>
                <w:snapToGrid w:val="0"/>
                <w:color w:val="auto"/>
                <w:sz w:val="24"/>
                <w:szCs w:val="24"/>
              </w:rPr>
              <w:t xml:space="preserve">乙方： </w:t>
            </w:r>
            <w:r>
              <w:rPr>
                <w:rFonts w:hint="eastAsia" w:hAnsi="宋体" w:cs="宋体"/>
                <w:snapToGrid w:val="0"/>
                <w:color w:val="auto"/>
                <w:sz w:val="24"/>
                <w:szCs w:val="24"/>
                <w:u w:val="single"/>
              </w:rPr>
              <w:t xml:space="preserve">                     </w:t>
            </w:r>
            <w:r>
              <w:rPr>
                <w:rFonts w:hint="eastAsia" w:hAnsi="宋体" w:cs="宋体"/>
                <w:snapToGrid w:val="0"/>
                <w:color w:val="auto"/>
                <w:sz w:val="24"/>
                <w:szCs w:val="24"/>
              </w:rPr>
              <w:t>（盖单位章）</w:t>
            </w:r>
          </w:p>
        </w:tc>
      </w:tr>
      <w:tr w14:paraId="20542FEF">
        <w:tblPrEx>
          <w:tblCellMar>
            <w:top w:w="0" w:type="dxa"/>
            <w:left w:w="108" w:type="dxa"/>
            <w:bottom w:w="0" w:type="dxa"/>
            <w:right w:w="108" w:type="dxa"/>
          </w:tblCellMar>
        </w:tblPrEx>
        <w:trPr>
          <w:trHeight w:val="2099" w:hRule="atLeast"/>
        </w:trPr>
        <w:tc>
          <w:tcPr>
            <w:tcW w:w="4744" w:type="dxa"/>
            <w:noWrap w:val="0"/>
            <w:vAlign w:val="top"/>
          </w:tcPr>
          <w:p w14:paraId="763D937A">
            <w:pPr>
              <w:widowControl/>
              <w:kinsoku w:val="0"/>
              <w:snapToGrid w:val="0"/>
              <w:spacing w:line="360" w:lineRule="auto"/>
              <w:rPr>
                <w:rFonts w:hAnsi="宋体" w:cs="宋体"/>
                <w:snapToGrid w:val="0"/>
                <w:color w:val="auto"/>
                <w:sz w:val="24"/>
                <w:szCs w:val="24"/>
              </w:rPr>
            </w:pPr>
          </w:p>
          <w:p w14:paraId="47EC8072">
            <w:pPr>
              <w:widowControl/>
              <w:kinsoku w:val="0"/>
              <w:snapToGrid w:val="0"/>
              <w:spacing w:line="360" w:lineRule="auto"/>
              <w:rPr>
                <w:rFonts w:hAnsi="宋体" w:cs="宋体"/>
                <w:snapToGrid w:val="0"/>
                <w:color w:val="auto"/>
                <w:sz w:val="24"/>
                <w:szCs w:val="24"/>
              </w:rPr>
            </w:pPr>
            <w:r>
              <w:rPr>
                <w:rFonts w:hint="eastAsia" w:hAnsi="宋体" w:cs="宋体"/>
                <w:snapToGrid w:val="0"/>
                <w:color w:val="auto"/>
                <w:sz w:val="24"/>
                <w:szCs w:val="24"/>
              </w:rPr>
              <w:t>法定代表人</w:t>
            </w:r>
          </w:p>
          <w:p w14:paraId="1B0289AC">
            <w:pPr>
              <w:widowControl/>
              <w:kinsoku w:val="0"/>
              <w:snapToGrid w:val="0"/>
              <w:spacing w:line="360" w:lineRule="auto"/>
              <w:ind w:firstLine="480" w:firstLineChars="200"/>
              <w:rPr>
                <w:rFonts w:hAnsi="宋体" w:cs="宋体"/>
                <w:snapToGrid w:val="0"/>
                <w:color w:val="auto"/>
                <w:sz w:val="24"/>
                <w:szCs w:val="24"/>
              </w:rPr>
            </w:pPr>
            <w:r>
              <w:rPr>
                <w:rFonts w:hint="eastAsia" w:hAnsi="宋体" w:cs="宋体"/>
                <w:snapToGrid w:val="0"/>
                <w:color w:val="auto"/>
                <w:sz w:val="24"/>
                <w:szCs w:val="24"/>
              </w:rPr>
              <w:t>或</w:t>
            </w:r>
          </w:p>
          <w:p w14:paraId="2749CF4B">
            <w:pPr>
              <w:widowControl/>
              <w:kinsoku w:val="0"/>
              <w:snapToGrid w:val="0"/>
              <w:spacing w:line="360" w:lineRule="auto"/>
              <w:rPr>
                <w:rFonts w:hAnsi="宋体" w:cs="宋体"/>
                <w:snapToGrid w:val="0"/>
                <w:color w:val="auto"/>
                <w:sz w:val="24"/>
                <w:szCs w:val="24"/>
              </w:rPr>
            </w:pPr>
            <w:r>
              <w:rPr>
                <w:rFonts w:hint="eastAsia" w:hAnsi="宋体" w:cs="宋体"/>
                <w:snapToGrid w:val="0"/>
                <w:color w:val="auto"/>
                <w:sz w:val="24"/>
                <w:szCs w:val="24"/>
              </w:rPr>
              <w:t xml:space="preserve">其授权代表：               </w:t>
            </w:r>
          </w:p>
        </w:tc>
        <w:tc>
          <w:tcPr>
            <w:tcW w:w="5035" w:type="dxa"/>
            <w:noWrap w:val="0"/>
            <w:vAlign w:val="top"/>
          </w:tcPr>
          <w:p w14:paraId="1E855852">
            <w:pPr>
              <w:widowControl/>
              <w:kinsoku w:val="0"/>
              <w:snapToGrid w:val="0"/>
              <w:spacing w:line="360" w:lineRule="auto"/>
              <w:rPr>
                <w:rFonts w:hAnsi="宋体" w:cs="宋体"/>
                <w:snapToGrid w:val="0"/>
                <w:color w:val="auto"/>
                <w:sz w:val="24"/>
                <w:szCs w:val="24"/>
              </w:rPr>
            </w:pPr>
          </w:p>
          <w:p w14:paraId="066B8917">
            <w:pPr>
              <w:widowControl/>
              <w:kinsoku w:val="0"/>
              <w:snapToGrid w:val="0"/>
              <w:spacing w:line="360" w:lineRule="auto"/>
              <w:rPr>
                <w:rFonts w:hAnsi="宋体" w:cs="宋体"/>
                <w:snapToGrid w:val="0"/>
                <w:color w:val="auto"/>
                <w:sz w:val="24"/>
                <w:szCs w:val="24"/>
              </w:rPr>
            </w:pPr>
            <w:r>
              <w:rPr>
                <w:rFonts w:hint="eastAsia" w:hAnsi="宋体" w:cs="宋体"/>
                <w:snapToGrid w:val="0"/>
                <w:color w:val="auto"/>
                <w:sz w:val="24"/>
                <w:szCs w:val="24"/>
              </w:rPr>
              <w:t>法定代表人</w:t>
            </w:r>
          </w:p>
          <w:p w14:paraId="1D5B4ACF">
            <w:pPr>
              <w:widowControl/>
              <w:kinsoku w:val="0"/>
              <w:snapToGrid w:val="0"/>
              <w:spacing w:line="360" w:lineRule="auto"/>
              <w:ind w:firstLine="480" w:firstLineChars="200"/>
              <w:rPr>
                <w:rFonts w:hAnsi="宋体" w:cs="宋体"/>
                <w:snapToGrid w:val="0"/>
                <w:color w:val="auto"/>
                <w:sz w:val="24"/>
                <w:szCs w:val="24"/>
              </w:rPr>
            </w:pPr>
            <w:r>
              <w:rPr>
                <w:rFonts w:hint="eastAsia" w:hAnsi="宋体" w:cs="宋体"/>
                <w:snapToGrid w:val="0"/>
                <w:color w:val="auto"/>
                <w:sz w:val="24"/>
                <w:szCs w:val="24"/>
              </w:rPr>
              <w:t>或</w:t>
            </w:r>
          </w:p>
          <w:p w14:paraId="6FA07BFB">
            <w:pPr>
              <w:widowControl/>
              <w:kinsoku w:val="0"/>
              <w:snapToGrid w:val="0"/>
              <w:spacing w:line="360" w:lineRule="auto"/>
              <w:rPr>
                <w:rFonts w:hAnsi="宋体" w:cs="宋体"/>
                <w:snapToGrid w:val="0"/>
                <w:color w:val="auto"/>
                <w:sz w:val="24"/>
                <w:szCs w:val="24"/>
              </w:rPr>
            </w:pPr>
            <w:r>
              <w:rPr>
                <w:rFonts w:hint="eastAsia" w:hAnsi="宋体" w:cs="宋体"/>
                <w:snapToGrid w:val="0"/>
                <w:color w:val="auto"/>
                <w:sz w:val="24"/>
                <w:szCs w:val="24"/>
              </w:rPr>
              <w:t xml:space="preserve">其授权代表：               </w:t>
            </w:r>
          </w:p>
        </w:tc>
      </w:tr>
      <w:tr w14:paraId="6A6780A2">
        <w:tblPrEx>
          <w:tblCellMar>
            <w:top w:w="0" w:type="dxa"/>
            <w:left w:w="108" w:type="dxa"/>
            <w:bottom w:w="0" w:type="dxa"/>
            <w:right w:w="108" w:type="dxa"/>
          </w:tblCellMar>
        </w:tblPrEx>
        <w:trPr>
          <w:trHeight w:val="1048" w:hRule="atLeast"/>
        </w:trPr>
        <w:tc>
          <w:tcPr>
            <w:tcW w:w="4744" w:type="dxa"/>
            <w:noWrap w:val="0"/>
            <w:vAlign w:val="top"/>
          </w:tcPr>
          <w:p w14:paraId="3BCB3053">
            <w:pPr>
              <w:widowControl/>
              <w:tabs>
                <w:tab w:val="left" w:pos="842"/>
                <w:tab w:val="center" w:pos="2068"/>
              </w:tabs>
              <w:kinsoku w:val="0"/>
              <w:snapToGrid w:val="0"/>
              <w:spacing w:line="360" w:lineRule="auto"/>
              <w:ind w:firstLine="720" w:firstLineChars="300"/>
              <w:jc w:val="center"/>
              <w:rPr>
                <w:rFonts w:hAnsi="宋体" w:cs="宋体"/>
                <w:snapToGrid w:val="0"/>
                <w:color w:val="auto"/>
                <w:sz w:val="24"/>
                <w:szCs w:val="24"/>
              </w:rPr>
            </w:pPr>
            <w:r>
              <w:rPr>
                <w:rFonts w:hint="eastAsia" w:hAnsi="宋体" w:cs="宋体"/>
                <w:snapToGrid w:val="0"/>
                <w:color w:val="auto"/>
                <w:sz w:val="24"/>
                <w:szCs w:val="24"/>
              </w:rPr>
              <w:t xml:space="preserve">            </w:t>
            </w:r>
          </w:p>
          <w:p w14:paraId="26747929">
            <w:pPr>
              <w:widowControl/>
              <w:tabs>
                <w:tab w:val="left" w:pos="842"/>
                <w:tab w:val="center" w:pos="2068"/>
              </w:tabs>
              <w:kinsoku w:val="0"/>
              <w:snapToGrid w:val="0"/>
              <w:spacing w:line="360" w:lineRule="auto"/>
              <w:ind w:firstLine="720" w:firstLineChars="300"/>
              <w:jc w:val="center"/>
              <w:rPr>
                <w:rFonts w:hAnsi="宋体" w:cs="宋体"/>
                <w:snapToGrid w:val="0"/>
                <w:color w:val="auto"/>
                <w:sz w:val="24"/>
                <w:szCs w:val="24"/>
              </w:rPr>
            </w:pPr>
            <w:r>
              <w:rPr>
                <w:rFonts w:hint="eastAsia" w:hAnsi="宋体" w:cs="宋体"/>
                <w:snapToGrid w:val="0"/>
                <w:color w:val="auto"/>
                <w:sz w:val="24"/>
                <w:szCs w:val="24"/>
              </w:rPr>
              <w:t xml:space="preserve"> 年    月    日</w:t>
            </w:r>
          </w:p>
        </w:tc>
        <w:tc>
          <w:tcPr>
            <w:tcW w:w="5035" w:type="dxa"/>
            <w:noWrap w:val="0"/>
            <w:vAlign w:val="top"/>
          </w:tcPr>
          <w:p w14:paraId="2A9E9388">
            <w:pPr>
              <w:widowControl/>
              <w:kinsoku w:val="0"/>
              <w:snapToGrid w:val="0"/>
              <w:spacing w:line="360" w:lineRule="auto"/>
              <w:jc w:val="center"/>
              <w:rPr>
                <w:rFonts w:hAnsi="宋体" w:cs="宋体"/>
                <w:snapToGrid w:val="0"/>
                <w:color w:val="auto"/>
                <w:sz w:val="24"/>
                <w:szCs w:val="24"/>
              </w:rPr>
            </w:pPr>
            <w:r>
              <w:rPr>
                <w:rFonts w:hint="eastAsia" w:hAnsi="宋体" w:cs="宋体"/>
                <w:snapToGrid w:val="0"/>
                <w:color w:val="auto"/>
                <w:sz w:val="24"/>
                <w:szCs w:val="24"/>
              </w:rPr>
              <w:t xml:space="preserve">                  </w:t>
            </w:r>
          </w:p>
          <w:p w14:paraId="7C379E72">
            <w:pPr>
              <w:widowControl/>
              <w:kinsoku w:val="0"/>
              <w:snapToGrid w:val="0"/>
              <w:spacing w:line="360" w:lineRule="auto"/>
              <w:jc w:val="center"/>
              <w:rPr>
                <w:rFonts w:hAnsi="宋体" w:cs="宋体"/>
                <w:snapToGrid w:val="0"/>
                <w:color w:val="auto"/>
                <w:sz w:val="24"/>
                <w:szCs w:val="24"/>
              </w:rPr>
            </w:pPr>
            <w:r>
              <w:rPr>
                <w:rFonts w:hint="eastAsia" w:hAnsi="宋体" w:cs="宋体"/>
                <w:snapToGrid w:val="0"/>
                <w:color w:val="auto"/>
                <w:sz w:val="24"/>
                <w:szCs w:val="24"/>
              </w:rPr>
              <w:t>年    月    日</w:t>
            </w:r>
          </w:p>
        </w:tc>
      </w:tr>
    </w:tbl>
    <w:p w14:paraId="13F62D11">
      <w:pPr>
        <w:widowControl/>
        <w:kinsoku w:val="0"/>
        <w:snapToGrid w:val="0"/>
        <w:spacing w:line="240" w:lineRule="exact"/>
        <w:jc w:val="left"/>
        <w:rPr>
          <w:rFonts w:hAnsi="宋体" w:cs="宋体"/>
          <w:snapToGrid w:val="0"/>
          <w:color w:val="auto"/>
          <w:sz w:val="24"/>
          <w:szCs w:val="24"/>
        </w:rPr>
      </w:pPr>
    </w:p>
    <w:p w14:paraId="41C87F81">
      <w:pPr>
        <w:jc w:val="left"/>
        <w:rPr>
          <w:rFonts w:hAnsi="宋体" w:cs="宋体"/>
          <w:bCs/>
          <w:color w:val="auto"/>
          <w:sz w:val="24"/>
          <w:szCs w:val="24"/>
        </w:rPr>
      </w:pPr>
      <w:r>
        <w:rPr>
          <w:rFonts w:hint="eastAsia" w:hAnsi="宋体" w:cs="宋体"/>
          <w:bCs/>
          <w:color w:val="auto"/>
          <w:sz w:val="24"/>
          <w:szCs w:val="24"/>
        </w:rPr>
        <w:br w:type="page"/>
      </w:r>
    </w:p>
    <w:p w14:paraId="6EB6F3E6">
      <w:pPr>
        <w:spacing w:line="360" w:lineRule="auto"/>
        <w:rPr>
          <w:color w:val="auto"/>
          <w:sz w:val="24"/>
          <w:szCs w:val="24"/>
        </w:rPr>
      </w:pPr>
      <w:r>
        <w:rPr>
          <w:rFonts w:hint="eastAsia"/>
          <w:color w:val="auto"/>
          <w:sz w:val="24"/>
          <w:szCs w:val="24"/>
        </w:rPr>
        <w:t>附件一：中标通知书</w:t>
      </w:r>
    </w:p>
    <w:p w14:paraId="4E8A3C26">
      <w:pPr>
        <w:spacing w:line="360" w:lineRule="auto"/>
        <w:rPr>
          <w:color w:val="auto"/>
          <w:sz w:val="24"/>
          <w:szCs w:val="24"/>
        </w:rPr>
      </w:pPr>
    </w:p>
    <w:p w14:paraId="051013EF">
      <w:pPr>
        <w:rPr>
          <w:color w:val="auto"/>
          <w:sz w:val="28"/>
          <w:szCs w:val="28"/>
        </w:rPr>
      </w:pPr>
      <w:r>
        <w:rPr>
          <w:rFonts w:hint="eastAsia"/>
          <w:color w:val="auto"/>
          <w:sz w:val="24"/>
          <w:szCs w:val="24"/>
        </w:rPr>
        <w:br w:type="page"/>
      </w:r>
    </w:p>
    <w:p w14:paraId="283101D5">
      <w:pPr>
        <w:spacing w:line="360" w:lineRule="auto"/>
        <w:rPr>
          <w:color w:val="auto"/>
          <w:sz w:val="24"/>
          <w:szCs w:val="24"/>
        </w:rPr>
      </w:pPr>
      <w:r>
        <w:rPr>
          <w:rFonts w:hint="eastAsia"/>
          <w:color w:val="auto"/>
          <w:sz w:val="24"/>
          <w:szCs w:val="24"/>
        </w:rPr>
        <w:t>附件二：投入本项目人员汇总表</w:t>
      </w:r>
    </w:p>
    <w:p w14:paraId="36AC785D">
      <w:pPr>
        <w:jc w:val="center"/>
        <w:rPr>
          <w:b/>
          <w:bCs/>
          <w:color w:val="auto"/>
          <w:sz w:val="24"/>
          <w:szCs w:val="24"/>
        </w:rPr>
      </w:pPr>
      <w:r>
        <w:rPr>
          <w:rFonts w:hint="eastAsia"/>
          <w:b/>
          <w:bCs/>
          <w:color w:val="auto"/>
          <w:sz w:val="24"/>
          <w:szCs w:val="24"/>
        </w:rPr>
        <w:t>投入本项目人员汇总表</w:t>
      </w:r>
    </w:p>
    <w:tbl>
      <w:tblPr>
        <w:tblStyle w:val="6"/>
        <w:tblW w:w="861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01"/>
        <w:gridCol w:w="964"/>
        <w:gridCol w:w="964"/>
        <w:gridCol w:w="2268"/>
        <w:gridCol w:w="1474"/>
        <w:gridCol w:w="1247"/>
      </w:tblGrid>
      <w:tr w14:paraId="701593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134" w:hRule="atLeast"/>
          <w:jc w:val="center"/>
        </w:trPr>
        <w:tc>
          <w:tcPr>
            <w:tcW w:w="1701" w:type="dxa"/>
            <w:noWrap w:val="0"/>
            <w:vAlign w:val="center"/>
          </w:tcPr>
          <w:p w14:paraId="0C34CD4F">
            <w:pPr>
              <w:jc w:val="center"/>
              <w:rPr>
                <w:rFonts w:hAnsi="宋体" w:cs="宋体"/>
                <w:color w:val="auto"/>
                <w:sz w:val="24"/>
                <w:szCs w:val="24"/>
              </w:rPr>
            </w:pPr>
            <w:r>
              <w:rPr>
                <w:rFonts w:hint="eastAsia" w:hAnsi="宋体" w:cs="宋体"/>
                <w:color w:val="auto"/>
                <w:sz w:val="24"/>
                <w:szCs w:val="24"/>
              </w:rPr>
              <w:t>姓名</w:t>
            </w:r>
          </w:p>
        </w:tc>
        <w:tc>
          <w:tcPr>
            <w:tcW w:w="964" w:type="dxa"/>
            <w:noWrap w:val="0"/>
            <w:vAlign w:val="center"/>
          </w:tcPr>
          <w:p w14:paraId="557AA67A">
            <w:pPr>
              <w:jc w:val="center"/>
              <w:rPr>
                <w:rFonts w:hAnsi="宋体" w:cs="宋体"/>
                <w:color w:val="auto"/>
                <w:sz w:val="24"/>
                <w:szCs w:val="24"/>
              </w:rPr>
            </w:pPr>
            <w:r>
              <w:rPr>
                <w:rFonts w:hint="eastAsia" w:hAnsi="宋体" w:cs="宋体"/>
                <w:color w:val="auto"/>
                <w:sz w:val="24"/>
                <w:szCs w:val="24"/>
              </w:rPr>
              <w:t>年龄</w:t>
            </w:r>
          </w:p>
        </w:tc>
        <w:tc>
          <w:tcPr>
            <w:tcW w:w="964" w:type="dxa"/>
            <w:noWrap w:val="0"/>
            <w:vAlign w:val="center"/>
          </w:tcPr>
          <w:p w14:paraId="072FC657">
            <w:pPr>
              <w:jc w:val="center"/>
              <w:rPr>
                <w:rFonts w:hAnsi="宋体" w:cs="宋体"/>
                <w:color w:val="auto"/>
                <w:sz w:val="24"/>
                <w:szCs w:val="24"/>
              </w:rPr>
            </w:pPr>
            <w:r>
              <w:rPr>
                <w:rFonts w:hint="eastAsia" w:hAnsi="宋体" w:cs="宋体"/>
                <w:color w:val="auto"/>
                <w:sz w:val="24"/>
                <w:szCs w:val="24"/>
              </w:rPr>
              <w:t>性别</w:t>
            </w:r>
          </w:p>
        </w:tc>
        <w:tc>
          <w:tcPr>
            <w:tcW w:w="2268" w:type="dxa"/>
            <w:noWrap w:val="0"/>
            <w:vAlign w:val="center"/>
          </w:tcPr>
          <w:p w14:paraId="7D3D6B28">
            <w:pPr>
              <w:jc w:val="center"/>
              <w:rPr>
                <w:rFonts w:hAnsi="宋体" w:cs="宋体"/>
                <w:color w:val="auto"/>
                <w:sz w:val="24"/>
                <w:szCs w:val="24"/>
              </w:rPr>
            </w:pPr>
            <w:r>
              <w:rPr>
                <w:rFonts w:hint="eastAsia" w:hAnsi="宋体" w:cs="宋体"/>
                <w:color w:val="auto"/>
                <w:sz w:val="24"/>
                <w:szCs w:val="24"/>
              </w:rPr>
              <w:t>在本标段</w:t>
            </w:r>
          </w:p>
          <w:p w14:paraId="1DABEEDB">
            <w:pPr>
              <w:jc w:val="center"/>
              <w:rPr>
                <w:rFonts w:hAnsi="宋体" w:cs="宋体"/>
                <w:color w:val="auto"/>
                <w:sz w:val="24"/>
                <w:szCs w:val="24"/>
              </w:rPr>
            </w:pPr>
            <w:r>
              <w:rPr>
                <w:rFonts w:hint="eastAsia" w:hAnsi="宋体" w:cs="宋体"/>
                <w:color w:val="auto"/>
                <w:sz w:val="24"/>
                <w:szCs w:val="24"/>
              </w:rPr>
              <w:t>工程任职</w:t>
            </w:r>
          </w:p>
        </w:tc>
        <w:tc>
          <w:tcPr>
            <w:tcW w:w="1474" w:type="dxa"/>
            <w:noWrap w:val="0"/>
            <w:vAlign w:val="center"/>
          </w:tcPr>
          <w:p w14:paraId="6F2EA032">
            <w:pPr>
              <w:jc w:val="center"/>
              <w:rPr>
                <w:rFonts w:hAnsi="宋体" w:cs="宋体"/>
                <w:color w:val="auto"/>
                <w:sz w:val="24"/>
                <w:szCs w:val="24"/>
              </w:rPr>
            </w:pPr>
            <w:r>
              <w:rPr>
                <w:rFonts w:hint="eastAsia" w:hAnsi="宋体" w:cs="宋体"/>
                <w:color w:val="auto"/>
                <w:sz w:val="24"/>
                <w:szCs w:val="24"/>
              </w:rPr>
              <w:t>技术职称</w:t>
            </w:r>
          </w:p>
        </w:tc>
        <w:tc>
          <w:tcPr>
            <w:tcW w:w="1247" w:type="dxa"/>
            <w:noWrap w:val="0"/>
            <w:vAlign w:val="center"/>
          </w:tcPr>
          <w:p w14:paraId="68AF08CA">
            <w:pPr>
              <w:jc w:val="center"/>
              <w:rPr>
                <w:rFonts w:hAnsi="宋体" w:cs="宋体"/>
                <w:color w:val="auto"/>
                <w:sz w:val="24"/>
                <w:szCs w:val="24"/>
              </w:rPr>
            </w:pPr>
            <w:r>
              <w:rPr>
                <w:rFonts w:hint="eastAsia" w:hAnsi="宋体" w:cs="宋体"/>
                <w:color w:val="auto"/>
                <w:sz w:val="24"/>
                <w:szCs w:val="24"/>
              </w:rPr>
              <w:t>工作年限</w:t>
            </w:r>
          </w:p>
        </w:tc>
      </w:tr>
      <w:tr w14:paraId="190CE8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jc w:val="center"/>
        </w:trPr>
        <w:tc>
          <w:tcPr>
            <w:tcW w:w="1701" w:type="dxa"/>
            <w:noWrap w:val="0"/>
            <w:vAlign w:val="center"/>
          </w:tcPr>
          <w:p w14:paraId="77AC19B6">
            <w:pPr>
              <w:jc w:val="center"/>
              <w:rPr>
                <w:rFonts w:hAnsi="宋体" w:cs="宋体"/>
                <w:color w:val="auto"/>
                <w:sz w:val="24"/>
                <w:szCs w:val="24"/>
              </w:rPr>
            </w:pPr>
          </w:p>
        </w:tc>
        <w:tc>
          <w:tcPr>
            <w:tcW w:w="964" w:type="dxa"/>
            <w:noWrap w:val="0"/>
            <w:vAlign w:val="center"/>
          </w:tcPr>
          <w:p w14:paraId="096E04E4">
            <w:pPr>
              <w:jc w:val="center"/>
              <w:rPr>
                <w:rFonts w:hAnsi="宋体" w:cs="宋体"/>
                <w:color w:val="auto"/>
                <w:sz w:val="24"/>
                <w:szCs w:val="24"/>
              </w:rPr>
            </w:pPr>
          </w:p>
        </w:tc>
        <w:tc>
          <w:tcPr>
            <w:tcW w:w="964" w:type="dxa"/>
            <w:noWrap w:val="0"/>
            <w:vAlign w:val="center"/>
          </w:tcPr>
          <w:p w14:paraId="0AB5A32A">
            <w:pPr>
              <w:jc w:val="center"/>
              <w:rPr>
                <w:rFonts w:hAnsi="宋体" w:cs="宋体"/>
                <w:color w:val="auto"/>
                <w:sz w:val="24"/>
                <w:szCs w:val="24"/>
              </w:rPr>
            </w:pPr>
          </w:p>
        </w:tc>
        <w:tc>
          <w:tcPr>
            <w:tcW w:w="2268" w:type="dxa"/>
            <w:noWrap w:val="0"/>
            <w:vAlign w:val="center"/>
          </w:tcPr>
          <w:p w14:paraId="6C845C5D">
            <w:pPr>
              <w:jc w:val="center"/>
              <w:rPr>
                <w:rFonts w:hAnsi="宋体" w:cs="宋体"/>
                <w:color w:val="auto"/>
                <w:sz w:val="24"/>
                <w:szCs w:val="24"/>
              </w:rPr>
            </w:pPr>
          </w:p>
        </w:tc>
        <w:tc>
          <w:tcPr>
            <w:tcW w:w="1474" w:type="dxa"/>
            <w:noWrap w:val="0"/>
            <w:vAlign w:val="center"/>
          </w:tcPr>
          <w:p w14:paraId="7DF783A0">
            <w:pPr>
              <w:jc w:val="center"/>
              <w:rPr>
                <w:rFonts w:hAnsi="宋体" w:cs="宋体"/>
                <w:color w:val="auto"/>
                <w:sz w:val="24"/>
                <w:szCs w:val="24"/>
              </w:rPr>
            </w:pPr>
          </w:p>
        </w:tc>
        <w:tc>
          <w:tcPr>
            <w:tcW w:w="1247" w:type="dxa"/>
            <w:noWrap w:val="0"/>
            <w:vAlign w:val="center"/>
          </w:tcPr>
          <w:p w14:paraId="7F317ED5">
            <w:pPr>
              <w:jc w:val="center"/>
              <w:rPr>
                <w:rFonts w:hAnsi="宋体" w:cs="宋体"/>
                <w:color w:val="auto"/>
                <w:sz w:val="24"/>
                <w:szCs w:val="24"/>
              </w:rPr>
            </w:pPr>
          </w:p>
        </w:tc>
      </w:tr>
      <w:tr w14:paraId="783AFE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jc w:val="center"/>
        </w:trPr>
        <w:tc>
          <w:tcPr>
            <w:tcW w:w="1701" w:type="dxa"/>
            <w:noWrap w:val="0"/>
            <w:vAlign w:val="center"/>
          </w:tcPr>
          <w:p w14:paraId="2ED01DD7">
            <w:pPr>
              <w:jc w:val="center"/>
              <w:rPr>
                <w:rFonts w:hAnsi="宋体" w:cs="宋体"/>
                <w:color w:val="auto"/>
                <w:sz w:val="24"/>
                <w:szCs w:val="24"/>
              </w:rPr>
            </w:pPr>
          </w:p>
        </w:tc>
        <w:tc>
          <w:tcPr>
            <w:tcW w:w="964" w:type="dxa"/>
            <w:noWrap w:val="0"/>
            <w:vAlign w:val="center"/>
          </w:tcPr>
          <w:p w14:paraId="73BAF0CB">
            <w:pPr>
              <w:jc w:val="center"/>
              <w:rPr>
                <w:rFonts w:hAnsi="宋体" w:cs="宋体"/>
                <w:color w:val="auto"/>
                <w:sz w:val="24"/>
                <w:szCs w:val="24"/>
              </w:rPr>
            </w:pPr>
          </w:p>
        </w:tc>
        <w:tc>
          <w:tcPr>
            <w:tcW w:w="964" w:type="dxa"/>
            <w:noWrap w:val="0"/>
            <w:vAlign w:val="center"/>
          </w:tcPr>
          <w:p w14:paraId="276DD3BF">
            <w:pPr>
              <w:jc w:val="center"/>
              <w:rPr>
                <w:rFonts w:hAnsi="宋体" w:cs="宋体"/>
                <w:color w:val="auto"/>
                <w:sz w:val="24"/>
                <w:szCs w:val="24"/>
              </w:rPr>
            </w:pPr>
          </w:p>
        </w:tc>
        <w:tc>
          <w:tcPr>
            <w:tcW w:w="2268" w:type="dxa"/>
            <w:noWrap w:val="0"/>
            <w:vAlign w:val="center"/>
          </w:tcPr>
          <w:p w14:paraId="63921ED0">
            <w:pPr>
              <w:jc w:val="center"/>
              <w:rPr>
                <w:rFonts w:hAnsi="宋体" w:cs="宋体"/>
                <w:color w:val="auto"/>
                <w:sz w:val="24"/>
                <w:szCs w:val="24"/>
              </w:rPr>
            </w:pPr>
          </w:p>
        </w:tc>
        <w:tc>
          <w:tcPr>
            <w:tcW w:w="1474" w:type="dxa"/>
            <w:noWrap w:val="0"/>
            <w:vAlign w:val="center"/>
          </w:tcPr>
          <w:p w14:paraId="6CE6D405">
            <w:pPr>
              <w:jc w:val="center"/>
              <w:rPr>
                <w:rFonts w:hAnsi="宋体" w:cs="宋体"/>
                <w:color w:val="auto"/>
                <w:sz w:val="24"/>
                <w:szCs w:val="24"/>
              </w:rPr>
            </w:pPr>
          </w:p>
        </w:tc>
        <w:tc>
          <w:tcPr>
            <w:tcW w:w="1247" w:type="dxa"/>
            <w:noWrap w:val="0"/>
            <w:vAlign w:val="center"/>
          </w:tcPr>
          <w:p w14:paraId="13C64697">
            <w:pPr>
              <w:jc w:val="center"/>
              <w:rPr>
                <w:rFonts w:hAnsi="宋体" w:cs="宋体"/>
                <w:color w:val="auto"/>
                <w:sz w:val="24"/>
                <w:szCs w:val="24"/>
              </w:rPr>
            </w:pPr>
          </w:p>
        </w:tc>
      </w:tr>
      <w:tr w14:paraId="6878E7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jc w:val="center"/>
        </w:trPr>
        <w:tc>
          <w:tcPr>
            <w:tcW w:w="1701" w:type="dxa"/>
            <w:noWrap w:val="0"/>
            <w:vAlign w:val="center"/>
          </w:tcPr>
          <w:p w14:paraId="5A798FF1">
            <w:pPr>
              <w:jc w:val="center"/>
              <w:rPr>
                <w:rFonts w:hAnsi="宋体" w:cs="宋体"/>
                <w:color w:val="auto"/>
                <w:sz w:val="24"/>
                <w:szCs w:val="24"/>
              </w:rPr>
            </w:pPr>
          </w:p>
        </w:tc>
        <w:tc>
          <w:tcPr>
            <w:tcW w:w="964" w:type="dxa"/>
            <w:noWrap w:val="0"/>
            <w:vAlign w:val="center"/>
          </w:tcPr>
          <w:p w14:paraId="16AD9141">
            <w:pPr>
              <w:jc w:val="center"/>
              <w:rPr>
                <w:rFonts w:hAnsi="宋体" w:cs="宋体"/>
                <w:color w:val="auto"/>
                <w:sz w:val="24"/>
                <w:szCs w:val="24"/>
              </w:rPr>
            </w:pPr>
          </w:p>
        </w:tc>
        <w:tc>
          <w:tcPr>
            <w:tcW w:w="964" w:type="dxa"/>
            <w:noWrap w:val="0"/>
            <w:vAlign w:val="center"/>
          </w:tcPr>
          <w:p w14:paraId="5A8BE9A4">
            <w:pPr>
              <w:jc w:val="center"/>
              <w:rPr>
                <w:rFonts w:hAnsi="宋体" w:cs="宋体"/>
                <w:color w:val="auto"/>
                <w:sz w:val="24"/>
                <w:szCs w:val="24"/>
              </w:rPr>
            </w:pPr>
          </w:p>
        </w:tc>
        <w:tc>
          <w:tcPr>
            <w:tcW w:w="2268" w:type="dxa"/>
            <w:noWrap w:val="0"/>
            <w:vAlign w:val="center"/>
          </w:tcPr>
          <w:p w14:paraId="4F69490B">
            <w:pPr>
              <w:jc w:val="center"/>
              <w:rPr>
                <w:rFonts w:hAnsi="宋体" w:cs="宋体"/>
                <w:color w:val="auto"/>
                <w:sz w:val="24"/>
                <w:szCs w:val="24"/>
              </w:rPr>
            </w:pPr>
          </w:p>
        </w:tc>
        <w:tc>
          <w:tcPr>
            <w:tcW w:w="1474" w:type="dxa"/>
            <w:noWrap w:val="0"/>
            <w:vAlign w:val="center"/>
          </w:tcPr>
          <w:p w14:paraId="087A6C1F">
            <w:pPr>
              <w:jc w:val="center"/>
              <w:rPr>
                <w:rFonts w:hAnsi="宋体" w:cs="宋体"/>
                <w:color w:val="auto"/>
                <w:sz w:val="24"/>
                <w:szCs w:val="24"/>
              </w:rPr>
            </w:pPr>
          </w:p>
        </w:tc>
        <w:tc>
          <w:tcPr>
            <w:tcW w:w="1247" w:type="dxa"/>
            <w:noWrap w:val="0"/>
            <w:vAlign w:val="center"/>
          </w:tcPr>
          <w:p w14:paraId="7D07B7A5">
            <w:pPr>
              <w:jc w:val="center"/>
              <w:rPr>
                <w:rFonts w:hAnsi="宋体" w:cs="宋体"/>
                <w:color w:val="auto"/>
                <w:sz w:val="24"/>
                <w:szCs w:val="24"/>
              </w:rPr>
            </w:pPr>
          </w:p>
        </w:tc>
      </w:tr>
      <w:tr w14:paraId="5E7F2B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jc w:val="center"/>
        </w:trPr>
        <w:tc>
          <w:tcPr>
            <w:tcW w:w="1701" w:type="dxa"/>
            <w:noWrap w:val="0"/>
            <w:vAlign w:val="center"/>
          </w:tcPr>
          <w:p w14:paraId="270D057A">
            <w:pPr>
              <w:jc w:val="center"/>
              <w:rPr>
                <w:rFonts w:hAnsi="宋体" w:cs="宋体"/>
                <w:color w:val="auto"/>
                <w:sz w:val="24"/>
                <w:szCs w:val="24"/>
              </w:rPr>
            </w:pPr>
          </w:p>
        </w:tc>
        <w:tc>
          <w:tcPr>
            <w:tcW w:w="964" w:type="dxa"/>
            <w:noWrap w:val="0"/>
            <w:vAlign w:val="center"/>
          </w:tcPr>
          <w:p w14:paraId="52412474">
            <w:pPr>
              <w:jc w:val="center"/>
              <w:rPr>
                <w:rFonts w:hAnsi="宋体" w:cs="宋体"/>
                <w:color w:val="auto"/>
                <w:sz w:val="24"/>
                <w:szCs w:val="24"/>
              </w:rPr>
            </w:pPr>
          </w:p>
        </w:tc>
        <w:tc>
          <w:tcPr>
            <w:tcW w:w="964" w:type="dxa"/>
            <w:noWrap w:val="0"/>
            <w:vAlign w:val="center"/>
          </w:tcPr>
          <w:p w14:paraId="0CAC7D70">
            <w:pPr>
              <w:jc w:val="center"/>
              <w:rPr>
                <w:rFonts w:hAnsi="宋体" w:cs="宋体"/>
                <w:color w:val="auto"/>
                <w:sz w:val="24"/>
                <w:szCs w:val="24"/>
              </w:rPr>
            </w:pPr>
          </w:p>
        </w:tc>
        <w:tc>
          <w:tcPr>
            <w:tcW w:w="2268" w:type="dxa"/>
            <w:noWrap w:val="0"/>
            <w:vAlign w:val="center"/>
          </w:tcPr>
          <w:p w14:paraId="419381A7">
            <w:pPr>
              <w:jc w:val="center"/>
              <w:rPr>
                <w:rFonts w:hAnsi="宋体" w:cs="宋体"/>
                <w:color w:val="auto"/>
                <w:sz w:val="24"/>
                <w:szCs w:val="24"/>
              </w:rPr>
            </w:pPr>
          </w:p>
        </w:tc>
        <w:tc>
          <w:tcPr>
            <w:tcW w:w="1474" w:type="dxa"/>
            <w:noWrap w:val="0"/>
            <w:vAlign w:val="center"/>
          </w:tcPr>
          <w:p w14:paraId="1A6069C4">
            <w:pPr>
              <w:jc w:val="center"/>
              <w:rPr>
                <w:rFonts w:hAnsi="宋体" w:cs="宋体"/>
                <w:color w:val="auto"/>
                <w:sz w:val="24"/>
                <w:szCs w:val="24"/>
              </w:rPr>
            </w:pPr>
          </w:p>
        </w:tc>
        <w:tc>
          <w:tcPr>
            <w:tcW w:w="1247" w:type="dxa"/>
            <w:noWrap w:val="0"/>
            <w:vAlign w:val="center"/>
          </w:tcPr>
          <w:p w14:paraId="5D157AF1">
            <w:pPr>
              <w:jc w:val="center"/>
              <w:rPr>
                <w:rFonts w:hAnsi="宋体" w:cs="宋体"/>
                <w:color w:val="auto"/>
                <w:sz w:val="24"/>
                <w:szCs w:val="24"/>
              </w:rPr>
            </w:pPr>
          </w:p>
        </w:tc>
      </w:tr>
      <w:tr w14:paraId="2F7E96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jc w:val="center"/>
        </w:trPr>
        <w:tc>
          <w:tcPr>
            <w:tcW w:w="1701" w:type="dxa"/>
            <w:noWrap w:val="0"/>
            <w:vAlign w:val="center"/>
          </w:tcPr>
          <w:p w14:paraId="18DFC4F9">
            <w:pPr>
              <w:jc w:val="center"/>
              <w:rPr>
                <w:rFonts w:hAnsi="宋体" w:cs="宋体"/>
                <w:color w:val="auto"/>
                <w:sz w:val="24"/>
                <w:szCs w:val="24"/>
              </w:rPr>
            </w:pPr>
          </w:p>
        </w:tc>
        <w:tc>
          <w:tcPr>
            <w:tcW w:w="964" w:type="dxa"/>
            <w:noWrap w:val="0"/>
            <w:vAlign w:val="center"/>
          </w:tcPr>
          <w:p w14:paraId="57C3384D">
            <w:pPr>
              <w:jc w:val="center"/>
              <w:rPr>
                <w:rFonts w:hAnsi="宋体" w:cs="宋体"/>
                <w:color w:val="auto"/>
                <w:sz w:val="24"/>
                <w:szCs w:val="24"/>
              </w:rPr>
            </w:pPr>
          </w:p>
        </w:tc>
        <w:tc>
          <w:tcPr>
            <w:tcW w:w="964" w:type="dxa"/>
            <w:noWrap w:val="0"/>
            <w:vAlign w:val="center"/>
          </w:tcPr>
          <w:p w14:paraId="6960BE1C">
            <w:pPr>
              <w:jc w:val="center"/>
              <w:rPr>
                <w:rFonts w:hAnsi="宋体" w:cs="宋体"/>
                <w:color w:val="auto"/>
                <w:sz w:val="24"/>
                <w:szCs w:val="24"/>
              </w:rPr>
            </w:pPr>
          </w:p>
        </w:tc>
        <w:tc>
          <w:tcPr>
            <w:tcW w:w="2268" w:type="dxa"/>
            <w:noWrap w:val="0"/>
            <w:vAlign w:val="center"/>
          </w:tcPr>
          <w:p w14:paraId="1E03150D">
            <w:pPr>
              <w:jc w:val="center"/>
              <w:rPr>
                <w:rFonts w:hAnsi="宋体" w:cs="宋体"/>
                <w:color w:val="auto"/>
                <w:sz w:val="24"/>
                <w:szCs w:val="24"/>
              </w:rPr>
            </w:pPr>
          </w:p>
        </w:tc>
        <w:tc>
          <w:tcPr>
            <w:tcW w:w="1474" w:type="dxa"/>
            <w:noWrap w:val="0"/>
            <w:vAlign w:val="center"/>
          </w:tcPr>
          <w:p w14:paraId="356C657C">
            <w:pPr>
              <w:jc w:val="center"/>
              <w:rPr>
                <w:rFonts w:hAnsi="宋体" w:cs="宋体"/>
                <w:color w:val="auto"/>
                <w:sz w:val="24"/>
                <w:szCs w:val="24"/>
              </w:rPr>
            </w:pPr>
          </w:p>
        </w:tc>
        <w:tc>
          <w:tcPr>
            <w:tcW w:w="1247" w:type="dxa"/>
            <w:noWrap w:val="0"/>
            <w:vAlign w:val="center"/>
          </w:tcPr>
          <w:p w14:paraId="64566095">
            <w:pPr>
              <w:jc w:val="center"/>
              <w:rPr>
                <w:rFonts w:hAnsi="宋体" w:cs="宋体"/>
                <w:color w:val="auto"/>
                <w:sz w:val="24"/>
                <w:szCs w:val="24"/>
              </w:rPr>
            </w:pPr>
          </w:p>
        </w:tc>
      </w:tr>
      <w:tr w14:paraId="0D9DCC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jc w:val="center"/>
        </w:trPr>
        <w:tc>
          <w:tcPr>
            <w:tcW w:w="1701" w:type="dxa"/>
            <w:noWrap w:val="0"/>
            <w:vAlign w:val="center"/>
          </w:tcPr>
          <w:p w14:paraId="2A5E0586">
            <w:pPr>
              <w:jc w:val="center"/>
              <w:rPr>
                <w:rFonts w:hAnsi="宋体" w:cs="宋体"/>
                <w:color w:val="auto"/>
                <w:sz w:val="24"/>
                <w:szCs w:val="24"/>
              </w:rPr>
            </w:pPr>
          </w:p>
        </w:tc>
        <w:tc>
          <w:tcPr>
            <w:tcW w:w="964" w:type="dxa"/>
            <w:noWrap w:val="0"/>
            <w:vAlign w:val="center"/>
          </w:tcPr>
          <w:p w14:paraId="1298076C">
            <w:pPr>
              <w:jc w:val="center"/>
              <w:rPr>
                <w:rFonts w:hAnsi="宋体" w:cs="宋体"/>
                <w:color w:val="auto"/>
                <w:sz w:val="24"/>
                <w:szCs w:val="24"/>
              </w:rPr>
            </w:pPr>
          </w:p>
        </w:tc>
        <w:tc>
          <w:tcPr>
            <w:tcW w:w="964" w:type="dxa"/>
            <w:noWrap w:val="0"/>
            <w:vAlign w:val="center"/>
          </w:tcPr>
          <w:p w14:paraId="7172F827">
            <w:pPr>
              <w:jc w:val="center"/>
              <w:rPr>
                <w:rFonts w:hAnsi="宋体" w:cs="宋体"/>
                <w:color w:val="auto"/>
                <w:sz w:val="24"/>
                <w:szCs w:val="24"/>
              </w:rPr>
            </w:pPr>
          </w:p>
        </w:tc>
        <w:tc>
          <w:tcPr>
            <w:tcW w:w="2268" w:type="dxa"/>
            <w:noWrap w:val="0"/>
            <w:vAlign w:val="center"/>
          </w:tcPr>
          <w:p w14:paraId="01C9EA84">
            <w:pPr>
              <w:jc w:val="center"/>
              <w:rPr>
                <w:rFonts w:hAnsi="宋体" w:cs="宋体"/>
                <w:color w:val="auto"/>
                <w:sz w:val="24"/>
                <w:szCs w:val="24"/>
              </w:rPr>
            </w:pPr>
          </w:p>
        </w:tc>
        <w:tc>
          <w:tcPr>
            <w:tcW w:w="1474" w:type="dxa"/>
            <w:noWrap w:val="0"/>
            <w:vAlign w:val="center"/>
          </w:tcPr>
          <w:p w14:paraId="7B595C5C">
            <w:pPr>
              <w:jc w:val="center"/>
              <w:rPr>
                <w:rFonts w:hAnsi="宋体" w:cs="宋体"/>
                <w:color w:val="auto"/>
                <w:sz w:val="24"/>
                <w:szCs w:val="24"/>
              </w:rPr>
            </w:pPr>
          </w:p>
        </w:tc>
        <w:tc>
          <w:tcPr>
            <w:tcW w:w="1247" w:type="dxa"/>
            <w:noWrap w:val="0"/>
            <w:vAlign w:val="center"/>
          </w:tcPr>
          <w:p w14:paraId="2C5741E1">
            <w:pPr>
              <w:jc w:val="center"/>
              <w:rPr>
                <w:rFonts w:hAnsi="宋体" w:cs="宋体"/>
                <w:color w:val="auto"/>
                <w:sz w:val="24"/>
                <w:szCs w:val="24"/>
              </w:rPr>
            </w:pPr>
          </w:p>
        </w:tc>
      </w:tr>
      <w:tr w14:paraId="7BCE32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jc w:val="center"/>
        </w:trPr>
        <w:tc>
          <w:tcPr>
            <w:tcW w:w="1701" w:type="dxa"/>
            <w:noWrap w:val="0"/>
            <w:vAlign w:val="center"/>
          </w:tcPr>
          <w:p w14:paraId="26A316B1">
            <w:pPr>
              <w:jc w:val="center"/>
              <w:rPr>
                <w:rFonts w:hAnsi="宋体" w:cs="宋体"/>
                <w:color w:val="auto"/>
                <w:sz w:val="24"/>
                <w:szCs w:val="24"/>
              </w:rPr>
            </w:pPr>
          </w:p>
        </w:tc>
        <w:tc>
          <w:tcPr>
            <w:tcW w:w="964" w:type="dxa"/>
            <w:noWrap w:val="0"/>
            <w:vAlign w:val="center"/>
          </w:tcPr>
          <w:p w14:paraId="5F089FAB">
            <w:pPr>
              <w:jc w:val="center"/>
              <w:rPr>
                <w:rFonts w:hAnsi="宋体" w:cs="宋体"/>
                <w:color w:val="auto"/>
                <w:sz w:val="24"/>
                <w:szCs w:val="24"/>
              </w:rPr>
            </w:pPr>
          </w:p>
        </w:tc>
        <w:tc>
          <w:tcPr>
            <w:tcW w:w="964" w:type="dxa"/>
            <w:noWrap w:val="0"/>
            <w:vAlign w:val="center"/>
          </w:tcPr>
          <w:p w14:paraId="7F57629E">
            <w:pPr>
              <w:jc w:val="center"/>
              <w:rPr>
                <w:rFonts w:hAnsi="宋体" w:cs="宋体"/>
                <w:color w:val="auto"/>
                <w:sz w:val="24"/>
                <w:szCs w:val="24"/>
              </w:rPr>
            </w:pPr>
          </w:p>
        </w:tc>
        <w:tc>
          <w:tcPr>
            <w:tcW w:w="2268" w:type="dxa"/>
            <w:noWrap w:val="0"/>
            <w:vAlign w:val="center"/>
          </w:tcPr>
          <w:p w14:paraId="2B8CB417">
            <w:pPr>
              <w:jc w:val="center"/>
              <w:rPr>
                <w:rFonts w:hAnsi="宋体" w:cs="宋体"/>
                <w:color w:val="auto"/>
                <w:sz w:val="24"/>
                <w:szCs w:val="24"/>
              </w:rPr>
            </w:pPr>
          </w:p>
        </w:tc>
        <w:tc>
          <w:tcPr>
            <w:tcW w:w="1474" w:type="dxa"/>
            <w:noWrap w:val="0"/>
            <w:vAlign w:val="center"/>
          </w:tcPr>
          <w:p w14:paraId="70638586">
            <w:pPr>
              <w:jc w:val="center"/>
              <w:rPr>
                <w:rFonts w:hAnsi="宋体" w:cs="宋体"/>
                <w:color w:val="auto"/>
                <w:sz w:val="24"/>
                <w:szCs w:val="24"/>
              </w:rPr>
            </w:pPr>
          </w:p>
        </w:tc>
        <w:tc>
          <w:tcPr>
            <w:tcW w:w="1247" w:type="dxa"/>
            <w:noWrap w:val="0"/>
            <w:vAlign w:val="center"/>
          </w:tcPr>
          <w:p w14:paraId="65BC730A">
            <w:pPr>
              <w:jc w:val="center"/>
              <w:rPr>
                <w:rFonts w:hAnsi="宋体" w:cs="宋体"/>
                <w:color w:val="auto"/>
                <w:sz w:val="24"/>
                <w:szCs w:val="24"/>
              </w:rPr>
            </w:pPr>
          </w:p>
        </w:tc>
      </w:tr>
    </w:tbl>
    <w:p w14:paraId="0322F3DC">
      <w:pPr>
        <w:jc w:val="left"/>
        <w:rPr>
          <w:color w:val="auto"/>
        </w:rPr>
      </w:pPr>
      <w:r>
        <w:rPr>
          <w:rFonts w:hint="eastAsia" w:hAnsi="宋体" w:cs="宋体"/>
          <w:bCs/>
          <w:color w:val="auto"/>
          <w:sz w:val="24"/>
          <w:szCs w:val="24"/>
        </w:rPr>
        <w:br w:type="page"/>
      </w:r>
    </w:p>
    <w:p w14:paraId="6AF9EB14">
      <w:pPr>
        <w:pStyle w:val="2"/>
        <w:rPr>
          <w:color w:val="auto"/>
        </w:rPr>
      </w:pPr>
      <w:bookmarkStart w:id="3" w:name="_Toc25579"/>
      <w:r>
        <w:rPr>
          <w:color w:val="auto"/>
        </w:rPr>
        <w:t>第</w:t>
      </w:r>
      <w:r>
        <w:rPr>
          <w:rFonts w:hint="eastAsia"/>
          <w:color w:val="auto"/>
        </w:rPr>
        <w:t>二</w:t>
      </w:r>
      <w:r>
        <w:rPr>
          <w:color w:val="auto"/>
        </w:rPr>
        <w:t>节 通用合同条款</w:t>
      </w:r>
      <w:bookmarkEnd w:id="3"/>
    </w:p>
    <w:p w14:paraId="2399137C">
      <w:pPr>
        <w:spacing w:line="360" w:lineRule="auto"/>
        <w:ind w:firstLine="560" w:firstLineChars="200"/>
        <w:rPr>
          <w:color w:val="auto"/>
        </w:rPr>
      </w:pPr>
      <w:r>
        <w:rPr>
          <w:rFonts w:hint="eastAsia" w:hAnsi="宋体" w:cs="宋体"/>
          <w:color w:val="auto"/>
          <w:sz w:val="28"/>
          <w:szCs w:val="28"/>
        </w:rPr>
        <w:t>采用中华人民共和国交通运输部《公路工程标准施工监理招标文件》（2018年版）通用合同条款</w:t>
      </w:r>
      <w:r>
        <w:rPr>
          <w:rFonts w:hint="eastAsia" w:hAnsi="宋体" w:cs="宋体"/>
          <w:color w:val="auto"/>
          <w:sz w:val="28"/>
          <w:szCs w:val="28"/>
        </w:rPr>
        <w:br w:type="page"/>
      </w:r>
    </w:p>
    <w:p w14:paraId="50224786">
      <w:pPr>
        <w:pStyle w:val="2"/>
        <w:rPr>
          <w:color w:val="auto"/>
        </w:rPr>
      </w:pPr>
      <w:bookmarkStart w:id="4" w:name="_Toc29786"/>
      <w:r>
        <w:rPr>
          <w:color w:val="auto"/>
        </w:rPr>
        <w:t>第</w:t>
      </w:r>
      <w:r>
        <w:rPr>
          <w:rFonts w:hint="eastAsia"/>
          <w:color w:val="auto"/>
        </w:rPr>
        <w:t>三</w:t>
      </w:r>
      <w:r>
        <w:rPr>
          <w:color w:val="auto"/>
        </w:rPr>
        <w:t>节 专用合同条款</w:t>
      </w:r>
      <w:bookmarkEnd w:id="4"/>
    </w:p>
    <w:p w14:paraId="2FB0418D">
      <w:pPr>
        <w:pStyle w:val="3"/>
        <w:jc w:val="center"/>
        <w:rPr>
          <w:color w:val="auto"/>
        </w:rPr>
      </w:pPr>
      <w:r>
        <w:rPr>
          <w:rFonts w:hint="eastAsia"/>
          <w:color w:val="auto"/>
        </w:rPr>
        <w:t>A.公路工程专用合同条款</w:t>
      </w:r>
    </w:p>
    <w:p w14:paraId="34B85AD0">
      <w:pPr>
        <w:ind w:firstLine="560" w:firstLineChars="200"/>
        <w:rPr>
          <w:color w:val="auto"/>
        </w:rPr>
      </w:pPr>
      <w:r>
        <w:rPr>
          <w:rFonts w:hint="eastAsia" w:hAnsi="宋体" w:cs="宋体"/>
          <w:color w:val="auto"/>
          <w:sz w:val="28"/>
          <w:szCs w:val="28"/>
        </w:rPr>
        <w:t>采用中华人民共和国交通运输部《公路工程标准施工监理招标文件》（2018年版）公路工程专用合同条款</w:t>
      </w:r>
      <w:r>
        <w:rPr>
          <w:color w:val="auto"/>
        </w:rPr>
        <w:br w:type="page"/>
      </w:r>
    </w:p>
    <w:p w14:paraId="360677E2">
      <w:pPr>
        <w:pStyle w:val="3"/>
        <w:jc w:val="center"/>
        <w:rPr>
          <w:color w:val="auto"/>
        </w:rPr>
      </w:pPr>
      <w:r>
        <w:rPr>
          <w:rFonts w:hint="eastAsia"/>
          <w:color w:val="auto"/>
        </w:rPr>
        <w:t>B.项目专用合同条款</w:t>
      </w:r>
    </w:p>
    <w:p w14:paraId="7D31457B">
      <w:pPr>
        <w:spacing w:line="360" w:lineRule="auto"/>
        <w:jc w:val="center"/>
        <w:rPr>
          <w:rFonts w:hAnsi="宋体" w:cs="宋体"/>
          <w:b/>
          <w:bCs/>
          <w:color w:val="auto"/>
          <w:sz w:val="28"/>
          <w:szCs w:val="28"/>
        </w:rPr>
      </w:pPr>
      <w:r>
        <w:rPr>
          <w:rFonts w:hint="eastAsia" w:hAnsi="宋体" w:cs="宋体"/>
          <w:b/>
          <w:bCs/>
          <w:color w:val="auto"/>
          <w:sz w:val="28"/>
          <w:szCs w:val="28"/>
        </w:rPr>
        <w:t>说 明</w:t>
      </w:r>
    </w:p>
    <w:p w14:paraId="04CF4917">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1.委托人在根据《公路工程标准施工监理招标文件》编制项目招 标文件中的“项目专用合同条款”时，可根据招标项目的具体特点和实际需要，对“通用合同条款”及“公路工程专用合同条款”进行补充和细化，除“通用合同条款”明确“专用合同条款”可作出不同约 定以及“公路工程专用合同条款”明确“项目专用合同条款”可作出不同约定外，补充和细化的内容不得与“通用合同条款”及“公路工程专用合同条款”强制性规定相抵触。同时，补充、细化或约定的内容，不得违反法律、行政法规的强制性规定和平等、自愿、公平和诚 实信用原则。</w:t>
      </w:r>
    </w:p>
    <w:p w14:paraId="1C351882">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2.项目专用合同条款的编号应与通用合同条款和公路工程专用 合同条款一致。</w:t>
      </w:r>
    </w:p>
    <w:p w14:paraId="2014828A">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3.项目专用合同条款可对下列内容进行补充和细化：</w:t>
      </w:r>
    </w:p>
    <w:p w14:paraId="1F167730">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(1)“通用合同条款”中明确指出“专用合同条款”可对“通用  合同条款 ”进行修改的内容(在“通用合同条款”中用“应按合同约定”“按专用合同条款约定”“除合同另有约定外”“除专用合同条款另有约定外”“在专用合同条款中约定”等多种文字形式表达)；</w:t>
      </w:r>
    </w:p>
    <w:p w14:paraId="25AC38AF">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(2)“公路工程专用合同条款”中明确指出“项目专用合同条款” 可对“公路工程专用合同条款”进行修改的内容(在“公路工程专用   合同条款”中用“除项目专用合同条款另有约定外”“项目专用合同</w:t>
      </w:r>
    </w:p>
    <w:p w14:paraId="3C0D1299">
      <w:pPr>
        <w:spacing w:line="360" w:lineRule="auto"/>
        <w:rPr>
          <w:rFonts w:ascii="宋体" w:hAnsi="宋体" w:cs="宋体"/>
          <w:color w:val="auto"/>
          <w:sz w:val="24"/>
          <w:szCs w:val="24"/>
        </w:rPr>
      </w:pPr>
      <w:r>
        <w:rPr>
          <w:rFonts w:hint="eastAsia" w:ascii="宋体" w:hAnsi="宋体" w:cs="宋体"/>
          <w:color w:val="auto"/>
          <w:sz w:val="24"/>
          <w:szCs w:val="24"/>
        </w:rPr>
        <w:t>条款约定的”“项目专用合同条款约定的其他情形”等多种文字形式 表达)。</w:t>
      </w:r>
    </w:p>
    <w:p w14:paraId="12502E16">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(3)其他需要补充、细化的内容。</w:t>
      </w:r>
    </w:p>
    <w:p w14:paraId="7E2BB14B">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1. 一般约定</w:t>
      </w:r>
    </w:p>
    <w:p w14:paraId="57F31268">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1.1 词语定义</w:t>
      </w:r>
    </w:p>
    <w:p w14:paraId="34C30329">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1.1.2.2 委托人：西安市长安区交通运输局。</w:t>
      </w:r>
    </w:p>
    <w:p w14:paraId="1A246AAC">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1.1.3.1 本次进行招标的项目：</w:t>
      </w:r>
      <w:r>
        <w:rPr>
          <w:rFonts w:hint="eastAsia" w:ascii="宋体" w:hAnsi="宋体" w:cs="宋体"/>
          <w:color w:val="auto"/>
          <w:sz w:val="24"/>
          <w:szCs w:val="24"/>
          <w:lang w:eastAsia="zh-CN"/>
        </w:rPr>
        <w:t>长安区X105半引路县乡公路改建工程监理及全过程管理咨询服务</w:t>
      </w:r>
      <w:r>
        <w:rPr>
          <w:rFonts w:hint="eastAsia" w:ascii="宋体" w:hAnsi="宋体" w:cs="宋体"/>
          <w:color w:val="auto"/>
          <w:sz w:val="24"/>
          <w:szCs w:val="24"/>
        </w:rPr>
        <w:t>。</w:t>
      </w:r>
    </w:p>
    <w:p w14:paraId="73CA6CE6">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工程地点：西安市长安区；</w:t>
      </w:r>
    </w:p>
    <w:p w14:paraId="01135586">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工程概况:详见施工图设计。</w:t>
      </w:r>
    </w:p>
    <w:p w14:paraId="18C45A01">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1.12 委托人要求</w:t>
      </w:r>
    </w:p>
    <w:p w14:paraId="1DE7E0E2">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1.12.3 本项目不采用国外规范和标准进行监理。</w:t>
      </w:r>
    </w:p>
    <w:p w14:paraId="2D1A2927">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4. 承包人义务</w:t>
      </w:r>
    </w:p>
    <w:p w14:paraId="62575695">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4.2 履约保证金</w:t>
      </w:r>
    </w:p>
    <w:p w14:paraId="1B814072">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4.2.1 缺陷责任期履约保证金：</w:t>
      </w:r>
      <w:bookmarkStart w:id="5" w:name="_GoBack"/>
      <w:bookmarkEnd w:id="5"/>
    </w:p>
    <w:p w14:paraId="05164B20">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5. 监理及项目管理要求</w:t>
      </w:r>
    </w:p>
    <w:p w14:paraId="33A3626D">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5.1 监理及项目管理范围</w:t>
      </w:r>
    </w:p>
    <w:p w14:paraId="042CEECD">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5.1.2 工程范围包括：</w:t>
      </w:r>
      <w:r>
        <w:rPr>
          <w:rFonts w:hint="eastAsia" w:ascii="宋体" w:hAnsi="宋体" w:cs="宋体"/>
          <w:color w:val="auto"/>
          <w:sz w:val="24"/>
          <w:szCs w:val="24"/>
          <w:lang w:eastAsia="zh-CN"/>
        </w:rPr>
        <w:t>长安区X105半引路县乡公路改建工程监理及全过程管理咨询服务</w:t>
      </w:r>
      <w:r>
        <w:rPr>
          <w:rFonts w:hint="eastAsia" w:ascii="宋体" w:hAnsi="宋体" w:cs="宋体"/>
          <w:color w:val="auto"/>
          <w:sz w:val="24"/>
          <w:szCs w:val="24"/>
        </w:rPr>
        <w:t>。</w:t>
      </w:r>
    </w:p>
    <w:p w14:paraId="1E0DEECC">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5.1.3 阶段范围包括：施工准备阶段、施工阶段、验收与缺陷责 任期阶段。</w:t>
      </w:r>
    </w:p>
    <w:p w14:paraId="34B984DE">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5.1.4 工作范围包括：施工图设计范围内全部工程施工准备阶段、施工阶段、交（竣）工验收及缺陷责任期阶段的监理及项目管理工作，涵盖施工过程质量控制、费用与支付控制、环境保护、施工安全及交通保畅。</w:t>
      </w:r>
    </w:p>
    <w:p w14:paraId="5862A8AE">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5.5 服务形式</w:t>
      </w:r>
    </w:p>
    <w:p w14:paraId="41772485">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服务机构设置：一级监理机构。</w:t>
      </w:r>
    </w:p>
    <w:p w14:paraId="6E8E6092">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总监理工程师办公室按（组建原则）组建。</w:t>
      </w:r>
    </w:p>
    <w:p w14:paraId="5D505027">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5.6 监理及项目管理服务目标</w:t>
      </w:r>
    </w:p>
    <w:p w14:paraId="08277554">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5.6.2 对承包人履约管理的服务目标：全面履行合同，并符合国家有关法律、法规和标准规范，满足合同约定的服务内容和质量等要求。</w:t>
      </w:r>
    </w:p>
    <w:p w14:paraId="3ED76546">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5.7 委托人对承包人的授权</w:t>
      </w:r>
    </w:p>
    <w:p w14:paraId="16CD7DB6">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5.7.1 委托人对承包人的授权权限：协助业主全面控制工程的质 量、安全、环保、进度、 费用及其他工作内容。</w:t>
      </w:r>
    </w:p>
    <w:p w14:paraId="2E752D48">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6. 开始监理和完成监理</w:t>
      </w:r>
    </w:p>
    <w:p w14:paraId="72D6A9DE">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6.1 开始监理</w:t>
      </w:r>
    </w:p>
    <w:p w14:paraId="275895D9">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6.1.1 满足以下条件时，委托人应向承包人发出开始监理通知： 业主通知。</w:t>
      </w:r>
    </w:p>
    <w:p w14:paraId="73997CA7">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6.2 监理周期延误</w:t>
      </w:r>
    </w:p>
    <w:p w14:paraId="0910A634">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由于非承包人责任造成监理服务期限延误的，延长监理服务期限 的计算方法：/ ；增加 监理服务费用的计算方法：/ 。</w:t>
      </w:r>
    </w:p>
    <w:p w14:paraId="0C95DF11">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8. 合同变更</w:t>
      </w:r>
    </w:p>
    <w:p w14:paraId="101AF474">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8.1 变更情形</w:t>
      </w:r>
    </w:p>
    <w:p w14:paraId="1CED33D0">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8.1.1 合同变更时，监理服务期限的调整方法： / ；监理服务费用的调整方法:</w:t>
      </w:r>
    </w:p>
    <w:p w14:paraId="6B6745E6">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（1）监理人员服务费＝增加的服务工作日数×监理人员日平均 单价（即人月单价÷21.75）</w:t>
      </w:r>
    </w:p>
    <w:p w14:paraId="5ECADCED">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（2）监理办公设施费、交通设施费（含燃料消耗等费用）、试验设施费及生活设施费将按照因增加监理服务而导致实际增加的设施数量及监理单位在报价清单中填报的相应价格进行支付。</w:t>
      </w:r>
    </w:p>
    <w:p w14:paraId="63E8DD4A">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8.2 合理化建议</w:t>
      </w:r>
    </w:p>
    <w:p w14:paraId="41DC9BCE">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8.2.2 承包人提出的合理化建议降低了工程投资、缩短了施工期 限或者提高了工程经济效益的，委托人给予承包人如下奖励：酌情给 予一定的精神或物质奖励。</w:t>
      </w:r>
    </w:p>
    <w:p w14:paraId="5942694F">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9. 合同价格与支付</w:t>
      </w:r>
    </w:p>
    <w:p w14:paraId="5B99CFAD">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9.1 合同价格</w:t>
      </w:r>
    </w:p>
    <w:p w14:paraId="11D0218E">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9.1.1 本合同的报价方式：</w:t>
      </w:r>
    </w:p>
    <w:p w14:paraId="1E342563">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在合同实施期间，由于人工、材料、设备等因素的市场价格变化导致本项目监理服务费用变化，合同价格的调整方式和风险范围划分： / 。</w:t>
      </w:r>
    </w:p>
    <w:p w14:paraId="1D80750B">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9.3 中期支付</w:t>
      </w:r>
    </w:p>
    <w:p w14:paraId="3ACEB5CB">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9.3.5 中期支付涉及政府投资资金的，支付规定如下： / 。</w:t>
      </w:r>
    </w:p>
    <w:p w14:paraId="5DCE6A35">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11. 违约</w:t>
      </w:r>
    </w:p>
    <w:p w14:paraId="00459771">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第 11.1 款细化为：</w:t>
      </w:r>
    </w:p>
    <w:p w14:paraId="45FB5498">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11.1 承包人违约</w:t>
      </w:r>
    </w:p>
    <w:p w14:paraId="59B296E4">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11.1.2 承包人发生违约情况时，委托人有权向承包人课以违约 金，具体约定如下：</w:t>
      </w:r>
    </w:p>
    <w:p w14:paraId="495B5CBA">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（1）项目负责人、总监、其他人员无特殊情况，每月坚守工地时间少于 25 天；总监离开工地未向发包人请假，未以书面形式委托行使其职责权限的代理人。</w:t>
      </w:r>
    </w:p>
    <w:p w14:paraId="39BF9513">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（2）未经发包人批准，监理单位擅自更换项目负责人、总监、各专业工程师。</w:t>
      </w:r>
    </w:p>
    <w:p w14:paraId="26E18E9E">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（3）发包人或上级部门检查发现监理在履行其职责时，存在伪 造、补填资料、独立抽检频率不足等严重问题。</w:t>
      </w:r>
    </w:p>
    <w:p w14:paraId="433A59DC">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（4）对执行发包人的工作指令不力、工作责任心不强、关键工序未能坚持全过程旁站、职业道德差。</w:t>
      </w:r>
    </w:p>
    <w:p w14:paraId="2997194C">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（5）由于承包人员质量意识淡薄，工作责任心差造成所监理的 合同段出现严重的质量事故和因质量问题被媒体曝光或被上级通报 批评的。</w:t>
      </w:r>
    </w:p>
    <w:p w14:paraId="70287E58">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（6）承包人在监理过程中对于发现的设计与实际不符、方案不 合理的问题，应及时向发包人提出优化完善的意见和建议。若因未及时发现和提出而继续施工造成质量问题和经济损失，应承担相应责任。</w:t>
      </w:r>
    </w:p>
    <w:p w14:paraId="0FF3A76A">
      <w:pPr>
        <w:spacing w:line="360" w:lineRule="auto"/>
        <w:ind w:firstLine="410" w:firstLineChars="171"/>
        <w:rPr>
          <w:rFonts w:ascii="宋体" w:hAnsi="宋体" w:cs="宋体"/>
          <w:color w:val="auto"/>
          <w:sz w:val="24"/>
          <w:szCs w:val="24"/>
        </w:rPr>
      </w:pPr>
      <w:r>
        <w:rPr>
          <w:rFonts w:hint="eastAsia" w:ascii="宋体" w:hAnsi="宋体" w:cs="宋体"/>
          <w:color w:val="auto"/>
          <w:sz w:val="24"/>
          <w:szCs w:val="24"/>
        </w:rPr>
        <w:t>12. 争议的解决</w:t>
      </w:r>
    </w:p>
    <w:p w14:paraId="733E33E7">
      <w:pPr>
        <w:spacing w:line="360" w:lineRule="auto"/>
        <w:ind w:firstLine="410" w:firstLineChars="171"/>
        <w:jc w:val="left"/>
        <w:rPr>
          <w:rFonts w:hAnsi="宋体" w:cs="宋体"/>
          <w:bCs/>
          <w:color w:val="auto"/>
          <w:sz w:val="24"/>
          <w:szCs w:val="24"/>
        </w:rPr>
      </w:pPr>
      <w:r>
        <w:rPr>
          <w:rFonts w:hint="eastAsia" w:ascii="宋体" w:hAnsi="宋体" w:cs="宋体"/>
          <w:color w:val="auto"/>
          <w:sz w:val="24"/>
          <w:szCs w:val="24"/>
        </w:rPr>
        <w:t>争议的最终解决方式：长安区人民法院。</w:t>
      </w:r>
    </w:p>
    <w:p w14:paraId="76A914E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长城仿宋">
    <w:altName w:val="宋体"/>
    <w:panose1 w:val="00000000000000000000"/>
    <w:charset w:val="86"/>
    <w:family w:val="modern"/>
    <w:pitch w:val="default"/>
    <w:sig w:usb0="00000000" w:usb1="00000000" w:usb2="00000010" w:usb3="00000000" w:csb0="00040000" w:csb1="00000000"/>
  </w:font>
  <w:font w:name="方正小标宋简体">
    <w:altName w:val="方正舒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D394B">
    <w:pPr>
      <w:pStyle w:val="4"/>
      <w:spacing w:line="209" w:lineRule="auto"/>
      <w:ind w:left="3914"/>
      <w:rPr>
        <w:sz w:val="18"/>
        <w:szCs w:val="18"/>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24DECE1">
                          <w:pPr>
                            <w:pStyle w:val="5"/>
                          </w:pPr>
                          <w:r>
                            <w:rPr>
                              <w:rFonts w:hint="eastAsia" w:hAnsi="宋体" w:cs="宋体"/>
                              <w:sz w:val="21"/>
                              <w:szCs w:val="21"/>
                            </w:rPr>
                            <w:fldChar w:fldCharType="begin"/>
                          </w:r>
                          <w:r>
                            <w:rPr>
                              <w:rFonts w:hint="eastAsia" w:hAnsi="宋体" w:cs="宋体"/>
                              <w:sz w:val="21"/>
                              <w:szCs w:val="21"/>
                            </w:rPr>
                            <w:instrText xml:space="preserve"> PAGE  \* MERGEFORMAT </w:instrText>
                          </w:r>
                          <w:r>
                            <w:rPr>
                              <w:rFonts w:hint="eastAsia" w:hAnsi="宋体" w:cs="宋体"/>
                              <w:sz w:val="21"/>
                              <w:szCs w:val="21"/>
                            </w:rPr>
                            <w:fldChar w:fldCharType="separate"/>
                          </w:r>
                          <w:r>
                            <w:rPr>
                              <w:rFonts w:hAnsi="宋体" w:cs="宋体"/>
                              <w:sz w:val="21"/>
                              <w:szCs w:val="21"/>
                            </w:rPr>
                            <w:t>64</w:t>
                          </w:r>
                          <w:r>
                            <w:rPr>
                              <w:rFonts w:hint="eastAsia"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1KHPRAQAAogMAAA4AAABkcnMvZTJvRG9jLnhtbK1TzY7TMBC+I/EO&#10;lu80aRGrKmq6AlWLkBAgLfsAruM0lmyP5XGb9AXgDThx4c5z9TkYO0kXLZc9cHHmz9/M93myuR2s&#10;YScVUIOr+XJRcqachEa7Q80fvt69WnOGUbhGGHCq5meF/Hb78sWm95VaQQemUYERiMOq9zXvYvRV&#10;UaDslBW4AK8cJVsIVkRyw6FogugJ3ZpiVZY3RQ+h8QGkQqTobkzyCTE8BxDaVku1A3m0ysURNSgj&#10;IlHCTnvk2zxt2yoZP7ctqshMzYlpzCc1IXufzmK7EdUhCN9pOY0gnjPCE05WaEdNr1A7EQU7Bv0P&#10;lNUyAEIbFxJsMRLJihCLZflEm/tOeJW5kNTor6Lj/4OVn05fAtMNbQJnTlh68MuP75efvy+/vrFl&#10;kqf3WFHVvae6OLyDIZVOcaRgYj20waYv8WGUJ3HPV3HVEJlMl9ar9bqklKTc7BBO8XjdB4zvFViW&#10;jJoHer0sqjh9xDiWziWpm4M7bQzFRWUc62t+8/pNmS9cMwRuHPVIJMZhkxWH/TAx2ENzJmI9bUDN&#10;HS08Z+aDI4HTssxGmI39bBx90IeOZlzmfujfHiNNk4dMHUbYqTE9XaY5rVnajb/9XPX4a2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1NShz0QEAAKIDAAAOAAAAAAAAAAEAIAAAAB8BAABk&#10;cnMvZTJvRG9jLnhtbFBLBQYAAAAABgAGAFkBAABiBQAAAAA=&#10;">
              <v:fill on="f" focussize="0,0"/>
              <v:stroke on="f" weight="0.5pt"/>
              <v:imagedata o:title=""/>
              <o:lock v:ext="edit" aspectratio="f"/>
              <v:textbox inset="0mm,0mm,0mm,0mm" style="mso-fit-shape-to-text:t;">
                <w:txbxContent>
                  <w:p w14:paraId="024DECE1">
                    <w:pPr>
                      <w:pStyle w:val="5"/>
                    </w:pPr>
                    <w:r>
                      <w:rPr>
                        <w:rFonts w:hint="eastAsia" w:hAnsi="宋体" w:cs="宋体"/>
                        <w:sz w:val="21"/>
                        <w:szCs w:val="21"/>
                      </w:rPr>
                      <w:fldChar w:fldCharType="begin"/>
                    </w:r>
                    <w:r>
                      <w:rPr>
                        <w:rFonts w:hint="eastAsia" w:hAnsi="宋体" w:cs="宋体"/>
                        <w:sz w:val="21"/>
                        <w:szCs w:val="21"/>
                      </w:rPr>
                      <w:instrText xml:space="preserve"> PAGE  \* MERGEFORMAT </w:instrText>
                    </w:r>
                    <w:r>
                      <w:rPr>
                        <w:rFonts w:hint="eastAsia" w:hAnsi="宋体" w:cs="宋体"/>
                        <w:sz w:val="21"/>
                        <w:szCs w:val="21"/>
                      </w:rPr>
                      <w:fldChar w:fldCharType="separate"/>
                    </w:r>
                    <w:r>
                      <w:rPr>
                        <w:rFonts w:hAnsi="宋体" w:cs="宋体"/>
                        <w:sz w:val="21"/>
                        <w:szCs w:val="21"/>
                      </w:rPr>
                      <w:t>64</w:t>
                    </w:r>
                    <w:r>
                      <w:rPr>
                        <w:rFonts w:hint="eastAsia"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jMWIwYmU1YWQ1MmUzZjg0ZDQxZjdiMmZiZTFlNWIifQ=="/>
  </w:docVars>
  <w:rsids>
    <w:rsidRoot w:val="76AD19B1"/>
    <w:rsid w:val="02303573"/>
    <w:rsid w:val="0A8F7AAE"/>
    <w:rsid w:val="236314F6"/>
    <w:rsid w:val="29934A6D"/>
    <w:rsid w:val="31327262"/>
    <w:rsid w:val="327E3E65"/>
    <w:rsid w:val="34921BD0"/>
    <w:rsid w:val="363E1818"/>
    <w:rsid w:val="3747686A"/>
    <w:rsid w:val="405C553D"/>
    <w:rsid w:val="46841EB6"/>
    <w:rsid w:val="61821187"/>
    <w:rsid w:val="680B1697"/>
    <w:rsid w:val="6BD80588"/>
    <w:rsid w:val="76AD19B1"/>
    <w:rsid w:val="77D25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jc w:val="both"/>
      <w:textAlignment w:val="baseline"/>
    </w:pPr>
    <w:rPr>
      <w:rFonts w:ascii="Calibri" w:hAnsi="Calibri" w:eastAsia="宋体" w:cs="Times New Roman"/>
      <w:kern w:val="2"/>
      <w:sz w:val="21"/>
      <w:lang w:val="en-US" w:eastAsia="zh-CN" w:bidi="ar-SA"/>
    </w:rPr>
  </w:style>
  <w:style w:type="paragraph" w:styleId="2">
    <w:name w:val="heading 1"/>
    <w:basedOn w:val="1"/>
    <w:next w:val="1"/>
    <w:qFormat/>
    <w:uiPriority w:val="0"/>
    <w:pPr>
      <w:keepNext/>
      <w:tabs>
        <w:tab w:val="left" w:pos="540"/>
      </w:tabs>
      <w:spacing w:line="500" w:lineRule="atLeast"/>
      <w:ind w:left="540" w:hanging="540"/>
      <w:jc w:val="center"/>
      <w:outlineLvl w:val="0"/>
    </w:pPr>
    <w:rPr>
      <w:rFonts w:ascii="Times New Roman" w:hAnsi="Times New Roman" w:eastAsia="黑体"/>
      <w:b/>
      <w:sz w:val="28"/>
    </w:rPr>
  </w:style>
  <w:style w:type="paragraph" w:styleId="3">
    <w:name w:val="heading 2"/>
    <w:basedOn w:val="1"/>
    <w:next w:val="1"/>
    <w:qFormat/>
    <w:uiPriority w:val="99"/>
    <w:pPr>
      <w:keepNext/>
      <w:keepLines/>
      <w:spacing w:line="415" w:lineRule="auto"/>
      <w:outlineLvl w:val="1"/>
    </w:pPr>
    <w:rPr>
      <w:rFonts w:ascii="Arial" w:hAnsi="Arial" w:eastAsia="黑体"/>
      <w:b/>
      <w:sz w:val="32"/>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Body Text"/>
    <w:basedOn w:val="1"/>
    <w:next w:val="1"/>
    <w:qFormat/>
    <w:uiPriority w:val="99"/>
    <w:pPr>
      <w:spacing w:line="440" w:lineRule="exact"/>
      <w:jc w:val="left"/>
    </w:pPr>
    <w:rPr>
      <w:rFonts w:ascii="楷体_GB2312" w:eastAsia="楷体_GB2312"/>
      <w:spacing w:val="22"/>
      <w:kern w:val="0"/>
      <w:sz w:val="28"/>
    </w:rPr>
  </w:style>
  <w:style w:type="paragraph" w:styleId="5">
    <w:name w:val="footer"/>
    <w:basedOn w:val="1"/>
    <w:qFormat/>
    <w:uiPriority w:val="99"/>
    <w:pPr>
      <w:tabs>
        <w:tab w:val="center" w:pos="4153"/>
        <w:tab w:val="right" w:pos="8306"/>
      </w:tabs>
      <w:jc w:val="left"/>
    </w:pPr>
    <w:rPr>
      <w:rFonts w:ascii="Times New Roman" w:hAnsi="Times New Roman"/>
      <w:sz w:val="18"/>
    </w:rPr>
  </w:style>
  <w:style w:type="paragraph" w:customStyle="1" w:styleId="8">
    <w:name w:val="文档正文"/>
    <w:basedOn w:val="1"/>
    <w:qFormat/>
    <w:uiPriority w:val="0"/>
    <w:pPr>
      <w:autoSpaceDE/>
      <w:autoSpaceDN/>
      <w:spacing w:line="312" w:lineRule="atLeast"/>
      <w:ind w:firstLine="567"/>
    </w:pPr>
    <w:rPr>
      <w:rFonts w:ascii="长城仿宋" w:hAnsi="Times New Roman" w:eastAsia="长城仿宋"/>
      <w:kern w:val="0"/>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8439</Words>
  <Characters>8653</Characters>
  <Lines>0</Lines>
  <Paragraphs>0</Paragraphs>
  <TotalTime>10</TotalTime>
  <ScaleCrop>false</ScaleCrop>
  <LinksUpToDate>false</LinksUpToDate>
  <CharactersWithSpaces>9794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2026-07-02T06:33:00Z</dcterms:created>
  <dc:creator>WPS_1709015658</dc:creator>
  <cp:lastModifiedBy>导师</cp:lastModifiedBy>
  <dcterms:modified xsi:type="dcterms:W3CDTF">2026-07-14T15:43:03Z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E611C3CFC0694425AD4E3D8A3B31DFB0_11</vt:lpwstr>
  </property>
  <property fmtid="{D5CDD505-2E9C-101B-9397-08002B2CF9AE}" pid="4" name="KSOTemplateDocerSaveRecord">
    <vt:lpwstr>eyJoZGlkIjoiMjA4YzdlOTVlMjM5ZDY2ZWExMjM0NzExNzlhM2Q5YjciLCJ1c2VySWQiOiI2MzM2NjEzNTEifQ==</vt:lpwstr>
  </property>
</Properties>
</file>