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1D696F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sz w:val="20"/>
        </w:rPr>
        <w:t>一、项目总体服务内容及指标</w:t>
      </w:r>
    </w:p>
    <w:p w14:paraId="539B9312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本项目服务内容涵盖物资装备存储管理服务、物资配送服务、物资管理系统对接、视频监控服务等，实行全天候24小时驻场保障，全面支撑航空应急救援、突发灾情处置的物资管理使用需求。</w:t>
      </w:r>
    </w:p>
    <w:p w14:paraId="36821D2A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sz w:val="20"/>
        </w:rPr>
        <w:t>（一）物资装备存储管理服务</w:t>
      </w:r>
    </w:p>
    <w:p w14:paraId="6F73FD9C">
      <w:pPr>
        <w:pStyle w:val="4"/>
        <w:ind w:firstLine="402"/>
        <w:jc w:val="left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服务内容</w:t>
      </w:r>
      <w:r>
        <w:rPr>
          <w:rFonts w:ascii="仿宋_GB2312" w:hAnsi="仿宋_GB2312" w:eastAsia="仿宋_GB2312" w:cs="仿宋_GB2312"/>
          <w:color w:val="000000"/>
          <w:sz w:val="20"/>
        </w:rPr>
        <w:t>：</w:t>
      </w:r>
    </w:p>
    <w:p w14:paraId="485B975F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1.负责宝鸡场站约800㎡应急物资库的日常清洁、规整及消杀。</w:t>
      </w:r>
    </w:p>
    <w:p w14:paraId="2617FF9C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2.负责采购人应急救援装备物资的入库验收、分区存放、日常维保、防潮防尘、定期调试、盘点清查及效期管控。</w:t>
      </w:r>
    </w:p>
    <w:p w14:paraId="740D8D72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3.负责物资进出库登记、扫码录入、台账归档，完成调拨、归还、破损报备等闭环作业。</w:t>
      </w:r>
    </w:p>
    <w:p w14:paraId="26241665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4.负责库内消防设施及照明灯具的定期巡检、维保；负责库区监控设备的配齐、更新及常态化管护。</w:t>
      </w:r>
    </w:p>
    <w:p w14:paraId="61105A94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5.落实防火、防盗、防水、防潮、防鼠、防虫、防尘、防暴晒等防护措施，规范库区作业及人员车辆出入管理。</w:t>
      </w:r>
    </w:p>
    <w:p w14:paraId="788D8AA9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6.完成物资分类、编码、标识，执行仓储全流程作业并同步更新台账。</w:t>
      </w:r>
    </w:p>
    <w:p w14:paraId="3034DACF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7.开展消防巡检与隐患排查，管控库区堆放及用电行为。</w:t>
      </w:r>
    </w:p>
    <w:p w14:paraId="026ED6F5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8.建立电子、纸质双套台账，做好日常记录、月度汇总及资料归档。</w:t>
      </w:r>
    </w:p>
    <w:p w14:paraId="7D880A87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9.开展日、周、月服务自查及问题整改，配合采购人抽查、季度评价、年度验收，提交台账及整改材料。</w:t>
      </w:r>
    </w:p>
    <w:p w14:paraId="18A637BD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10.落实人员在岗值守。</w:t>
      </w:r>
    </w:p>
    <w:p w14:paraId="52282D3A">
      <w:pPr>
        <w:pStyle w:val="4"/>
        <w:ind w:firstLine="402"/>
        <w:jc w:val="left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服务标准</w:t>
      </w:r>
      <w:r>
        <w:rPr>
          <w:rFonts w:ascii="仿宋_GB2312" w:hAnsi="仿宋_GB2312" w:eastAsia="仿宋_GB2312" w:cs="仿宋_GB2312"/>
          <w:color w:val="000000"/>
          <w:sz w:val="20"/>
        </w:rPr>
        <w:t>：</w:t>
      </w:r>
    </w:p>
    <w:p w14:paraId="76402C39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1.库区环境整洁、通道畅通。</w:t>
      </w:r>
    </w:p>
    <w:p w14:paraId="32BDDF11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2.所有物资装备完好，随时可用。</w:t>
      </w:r>
    </w:p>
    <w:p w14:paraId="50E6AC4E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3.作业全程留痕、可追溯。</w:t>
      </w:r>
    </w:p>
    <w:p w14:paraId="38E171B9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4.消防、照明、监控等配套设施全天候稳定运行。</w:t>
      </w:r>
    </w:p>
    <w:p w14:paraId="703FD262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5.严格遵守库区安全管理规定，无违规作业行为。</w:t>
      </w:r>
    </w:p>
    <w:p w14:paraId="6DF034AA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6.参照GB/T 38565-2020执行，做到一物一标识；参照SB/T 10977-2013规范全流程仓储作业。</w:t>
      </w:r>
    </w:p>
    <w:p w14:paraId="598351A6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7.参照XF 1131-2014及相关法规标准开展消防安全管理。</w:t>
      </w:r>
    </w:p>
    <w:p w14:paraId="5F1B7B35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8.参照GB/T 21071-2021执行：入库及时率≥99%、出库按时完成率≥98%、出库差错率≤0.05%、责任货损率≤0.03%、账货相符率≥99.8%。上述比率指标中的具体时限要求（如入库“及时”的时长、出库“按时”的周期），由采购人根据实际需求确定。</w:t>
      </w:r>
    </w:p>
    <w:p w14:paraId="4CA2F0CB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9.执行一日一记录、一月一汇总，各类履约资料全覆盖归档。</w:t>
      </w:r>
    </w:p>
    <w:p w14:paraId="397B9E94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10.自查问题闭环整改到位，严格遵守在岗及作业规范。</w:t>
      </w:r>
    </w:p>
    <w:p w14:paraId="4D07BAAD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11.合同期内无安全、消防、物资事故；台账资料100%齐全可追溯，考核问题限时整改。</w:t>
      </w:r>
    </w:p>
    <w:p w14:paraId="1100DA51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12.工作时段不少于1人在岗，夜间、节假日电话值守，无脱岗、响应滞后情况。无正当理由，不得拒绝或延误采购人调度指令。</w:t>
      </w:r>
    </w:p>
    <w:p w14:paraId="1F5063B1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sz w:val="20"/>
        </w:rPr>
        <w:t>（二）物资配送服务</w:t>
      </w:r>
    </w:p>
    <w:p w14:paraId="672DB2BB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服务内容：</w:t>
      </w:r>
    </w:p>
    <w:p w14:paraId="076C7881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1.全天候待命，接收并执行采购人物资调拨、应急保障指令，落实应急优先机制。</w:t>
      </w:r>
    </w:p>
    <w:p w14:paraId="19C76EBD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2.规划配送路线、匹配运输车型，完成物资备货、清点、装车、运输、卸货等全流程作业。</w:t>
      </w:r>
    </w:p>
    <w:p w14:paraId="1199AA08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3.针对特殊天气做好物资防护、加固，防范物资损坏、丢失、错送。</w:t>
      </w:r>
    </w:p>
    <w:p w14:paraId="5785DAF6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4.应急任务完成后，完成剩余物资清点、运回、核验、保养、故障排查，对异常物资登记报备并更新台账。</w:t>
      </w:r>
    </w:p>
    <w:p w14:paraId="5344F8F4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服务标准：</w:t>
      </w:r>
    </w:p>
    <w:p w14:paraId="166FAA89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1.实行7×24小时值守，除不可抗力外，15分钟内响应指令，应急任务优先处置。</w:t>
      </w:r>
    </w:p>
    <w:p w14:paraId="6F199E6E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2.规范搬运操作，杜绝野蛮作业，完成物资投送与回收闭环。</w:t>
      </w:r>
    </w:p>
    <w:p w14:paraId="5919B455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3.特殊天气下物资防护到位。不影响正常使用的外观磨损不计为损坏；功能损坏或影响使用性能的，由中标方承担修复或赔偿责任。</w:t>
      </w:r>
    </w:p>
    <w:p w14:paraId="005C3F87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4.配送、回收作业全程留痕、可查可溯，异常情况及时书面报备。</w:t>
      </w:r>
    </w:p>
    <w:p w14:paraId="2BA1BA70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（三）对接物资管理系统</w:t>
      </w:r>
    </w:p>
    <w:p w14:paraId="2201B5D1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服务内容：</w:t>
      </w:r>
    </w:p>
    <w:p w14:paraId="1246E1C4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1.依托采购人现有系统，完成仓库、货位、物料、供应商等基础数据录入、修改、查询。</w:t>
      </w:r>
    </w:p>
    <w:p w14:paraId="2027F6D1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2.绑定物资唯一二维码标识，落实物资全生命周期管控，推进业务线上流转与建档管理。</w:t>
      </w:r>
    </w:p>
    <w:p w14:paraId="2BE4325A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3.运用系统完成物资上架、下架、调拨、归还等实操工作。</w:t>
      </w:r>
    </w:p>
    <w:p w14:paraId="769D104A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4.使用系统开展库存查询、盘点、库存调整、临期预警、数据导出等操作，配合对接协调系统技术问题。</w:t>
      </w:r>
    </w:p>
    <w:p w14:paraId="58BE2D93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5.规范账号使用，留存操作日志与巡检记录，做好数据安全管理。</w:t>
      </w:r>
    </w:p>
    <w:p w14:paraId="1A8AD454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6.对采购人的业务咨询做到7×24小时响应，协调处置系统技术问题。</w:t>
      </w:r>
    </w:p>
    <w:p w14:paraId="36F6F75F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7.节假日、系统维护及重点时段持续提供服务，应急任务期间全员值守、服从调度。</w:t>
      </w:r>
    </w:p>
    <w:p w14:paraId="2C03802B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8.对各项操作、巡检、协调工作进行记录，建立配套台账。</w:t>
      </w:r>
    </w:p>
    <w:p w14:paraId="42CA6FA6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服务标准：</w:t>
      </w:r>
    </w:p>
    <w:p w14:paraId="39090A7E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1.严格按照业务规范操作系统，保障仓储业务有序运转。</w:t>
      </w:r>
    </w:p>
    <w:p w14:paraId="0E1C526E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2.落实数据安全要求，严防数据篡改、泄露、误操作，数据准确规范。</w:t>
      </w:r>
    </w:p>
    <w:p w14:paraId="56BF88A9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3.及时响应业务咨询，系统技术问题第一时间对接协调相关方处置。</w:t>
      </w:r>
    </w:p>
    <w:p w14:paraId="2ADBC379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4.重点时段、应急场景服务不间断，全力配合采购人开展物资保障工作。</w:t>
      </w:r>
    </w:p>
    <w:p w14:paraId="73461882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5.所有工作全程留痕，台账完整规范，可追溯、可核查，接受采购人监督。</w:t>
      </w:r>
    </w:p>
    <w:p w14:paraId="47734543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（四）视频监控服务</w:t>
      </w:r>
    </w:p>
    <w:p w14:paraId="127CC412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服务内容：</w:t>
      </w:r>
    </w:p>
    <w:p w14:paraId="20AE2D3F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1.在库房大门、门窗、通道、物资存储区等关键区域布设监控点位。</w:t>
      </w:r>
    </w:p>
    <w:p w14:paraId="1750D58B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2.按照对应标准开展监控设备布设与日常运维，按要求更换故障设备。</w:t>
      </w:r>
    </w:p>
    <w:p w14:paraId="7C0E84B8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3.每日巡查摄像机、存储、供电、网络等设备状态，做好清洁、调试与故障排查。</w:t>
      </w:r>
    </w:p>
    <w:p w14:paraId="2A2F7F94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4.保障监控录像、远程访问、移动侦测、报警等功能正常运行。</w:t>
      </w:r>
    </w:p>
    <w:p w14:paraId="524A7496">
      <w:pPr>
        <w:pStyle w:val="4"/>
        <w:ind w:firstLine="402"/>
      </w:pPr>
      <w:r>
        <w:rPr>
          <w:rFonts w:ascii="仿宋_GB2312" w:hAnsi="仿宋_GB2312" w:eastAsia="仿宋_GB2312" w:cs="仿宋_GB2312"/>
          <w:b/>
          <w:color w:val="000000"/>
          <w:sz w:val="20"/>
        </w:rPr>
        <w:t>服务标准：</w:t>
      </w:r>
    </w:p>
    <w:p w14:paraId="3ACAE160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1.监控点位不少于15个，实现库房全域无死角覆盖。</w:t>
      </w:r>
    </w:p>
    <w:p w14:paraId="56D6BB7D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2.依照GA/T 1781-2021执行；更换摄像机分辨率不低于300万像素，夜视距离不低于20米，支持360°全景拍摄。</w:t>
      </w:r>
    </w:p>
    <w:p w14:paraId="35893C90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3.一般故障24小时内完成设备更换，需采购设备最长不超过72小时。</w:t>
      </w:r>
    </w:p>
    <w:p w14:paraId="5E8395F2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4.系统24小时不间断录像，画面清晰，支持远程预览、回放、参数设置。</w:t>
      </w:r>
    </w:p>
    <w:p w14:paraId="7825DDAC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5.移动侦测及报警功能灵敏、正常可用。</w:t>
      </w:r>
    </w:p>
    <w:p w14:paraId="1BB2E32D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6.录像资料自动循环存储不少于30天，严禁手动删除、录像中断，录像资料完整可回放、可溯源。</w:t>
      </w:r>
    </w:p>
    <w:p w14:paraId="38F32772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7.在采购人授权网络环境下，支持电脑端、手机端远程预览、回放及报警设置。</w:t>
      </w:r>
    </w:p>
    <w:p w14:paraId="51DB4EE8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（五）总体责任说明</w:t>
      </w:r>
    </w:p>
    <w:p w14:paraId="4EFAA464">
      <w:pPr>
        <w:pStyle w:val="4"/>
        <w:ind w:firstLine="400"/>
        <w:jc w:val="both"/>
      </w:pPr>
      <w:r>
        <w:rPr>
          <w:rFonts w:ascii="仿宋_GB2312" w:hAnsi="仿宋_GB2312" w:eastAsia="仿宋_GB2312" w:cs="仿宋_GB2312"/>
          <w:color w:val="000000"/>
          <w:sz w:val="20"/>
        </w:rPr>
        <w:t>本项目所有仓储管理、物资配送、物资管理系统对接、视频监控运维相关服务工作，服务实施全过程须严格遵守国家相关法律法规及对应行业标准规范，若供应商服务未达到上述标准，采购人有权根据违约程度扣减相应服务费用。供应商在项目实施过程中应对安全生产负全责，发生的一切事故及相关责任均由供应商承担，采购人不承担任何法律和经济上的责任。</w:t>
      </w:r>
    </w:p>
    <w:p w14:paraId="0EADFED8">
      <w:pPr>
        <w:pStyle w:val="4"/>
        <w:ind w:firstLine="400"/>
        <w:jc w:val="both"/>
      </w:pPr>
      <w:r>
        <w:rPr>
          <w:rFonts w:ascii="仿宋_GB2312" w:hAnsi="仿宋_GB2312" w:eastAsia="仿宋_GB2312" w:cs="仿宋_GB2312"/>
          <w:sz w:val="20"/>
        </w:rPr>
        <w:t>二、核心人员配置要求</w:t>
      </w:r>
    </w:p>
    <w:p w14:paraId="5F9B89FA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本项目岗位、人员固定，库管员未经采购人书面同意不得擅自更换，具体配置如下：</w:t>
      </w:r>
    </w:p>
    <w:p w14:paraId="1FC91FFB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1.驻场库管员至少1名（7×24小时驻场值守）</w:t>
      </w:r>
    </w:p>
    <w:p w14:paraId="35BEAC6A">
      <w:pPr>
        <w:pStyle w:val="4"/>
        <w:ind w:firstLine="400"/>
      </w:pPr>
      <w:r>
        <w:rPr>
          <w:rFonts w:ascii="仿宋_GB2312" w:hAnsi="仿宋_GB2312" w:eastAsia="仿宋_GB2312" w:cs="仿宋_GB2312"/>
          <w:sz w:val="20"/>
        </w:rPr>
        <w:t>驻场库管员须</w:t>
      </w:r>
      <w:r>
        <w:rPr>
          <w:rFonts w:ascii="仿宋_GB2312" w:hAnsi="仿宋_GB2312" w:eastAsia="仿宋_GB2312" w:cs="仿宋_GB2312"/>
          <w:color w:val="000000"/>
          <w:sz w:val="20"/>
        </w:rPr>
        <w:t>熟悉消防、安防、仓储安全等基础知识及操作规程。成交供应商须承诺，合同签订之日起三个月内驻场库管员取得仓库管理员证书，并同步提供相关专业技术培训记录。</w:t>
      </w:r>
    </w:p>
    <w:p w14:paraId="43D31D34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2.其他辅助人员</w:t>
      </w:r>
    </w:p>
    <w:p w14:paraId="10BF2B53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操作国家质检部门规定需持证上岗的装卸作业机具时，作业人员必须经过专业培训，持有有效且合格的操作证件。服务方须能按需完成物资备货、装卸、规整、回收等辅助作业，并具备适配突发高强度应急任务的能力。</w:t>
      </w:r>
    </w:p>
    <w:p w14:paraId="673B9613">
      <w:pPr>
        <w:pStyle w:val="4"/>
        <w:ind w:firstLine="400"/>
        <w:jc w:val="both"/>
      </w:pPr>
      <w:r>
        <w:rPr>
          <w:rFonts w:ascii="仿宋_GB2312" w:hAnsi="仿宋_GB2312" w:eastAsia="仿宋_GB2312" w:cs="仿宋_GB2312"/>
          <w:sz w:val="20"/>
        </w:rPr>
        <w:t>三、项目服务期及付款方式</w:t>
      </w:r>
    </w:p>
    <w:p w14:paraId="2E736F01">
      <w:pPr>
        <w:pStyle w:val="4"/>
        <w:ind w:firstLine="400"/>
        <w:jc w:val="both"/>
      </w:pPr>
      <w:r>
        <w:rPr>
          <w:rFonts w:ascii="仿宋_GB2312" w:hAnsi="仿宋_GB2312" w:eastAsia="仿宋_GB2312" w:cs="仿宋_GB2312"/>
          <w:color w:val="000000"/>
          <w:sz w:val="20"/>
        </w:rPr>
        <w:t>供应商应于2026年9月22日前内完成项目筹备，通过初步验收，并具备正式服务条件。</w:t>
      </w:r>
    </w:p>
    <w:p w14:paraId="420FD979">
      <w:pPr>
        <w:pStyle w:val="4"/>
        <w:ind w:firstLine="400"/>
        <w:jc w:val="both"/>
      </w:pPr>
      <w:r>
        <w:rPr>
          <w:rFonts w:ascii="仿宋_GB2312" w:hAnsi="仿宋_GB2312" w:eastAsia="仿宋_GB2312" w:cs="仿宋_GB2312"/>
          <w:color w:val="000000"/>
          <w:sz w:val="20"/>
        </w:rPr>
        <w:t>项目服务期限：2026年9月23日至2027年9月22日。</w:t>
      </w:r>
    </w:p>
    <w:p w14:paraId="269908F9">
      <w:pPr>
        <w:pStyle w:val="4"/>
        <w:ind w:firstLine="400"/>
        <w:jc w:val="left"/>
      </w:pPr>
      <w:r>
        <w:rPr>
          <w:rFonts w:ascii="仿宋_GB2312" w:hAnsi="仿宋_GB2312" w:eastAsia="仿宋_GB2312" w:cs="仿宋_GB2312"/>
          <w:color w:val="000000"/>
          <w:sz w:val="20"/>
        </w:rPr>
        <w:t>付款方式：项目合同签订且交付验收(初验)合格后，支付合同金额的60%;供应商履约至2026年12月31日前，采购人组织阶段性履约验收，验收合格并按采购人要求出具服务承诺函后，支付剩余40%合同尾款;项目全服务周期届满、项目整体完工后，采购人组织最终履约验收。</w:t>
      </w:r>
    </w:p>
    <w:p w14:paraId="0B4F46A4">
      <w:pPr>
        <w:pStyle w:val="4"/>
        <w:numPr>
          <w:ilvl w:val="0"/>
          <w:numId w:val="1"/>
        </w:numPr>
        <w:jc w:val="both"/>
      </w:pPr>
      <w:r>
        <w:rPr>
          <w:rFonts w:ascii="仿宋_GB2312" w:hAnsi="仿宋_GB2312" w:eastAsia="仿宋_GB2312" w:cs="仿宋_GB2312"/>
          <w:sz w:val="20"/>
        </w:rPr>
        <w:t>商务通用要求</w:t>
      </w:r>
    </w:p>
    <w:p w14:paraId="3171BF91">
      <w:pPr>
        <w:pStyle w:val="4"/>
        <w:ind w:firstLine="400"/>
      </w:pPr>
      <w:r>
        <w:rPr>
          <w:rFonts w:ascii="仿宋_GB2312" w:hAnsi="仿宋_GB2312" w:eastAsia="仿宋_GB2312" w:cs="仿宋_GB2312"/>
          <w:color w:val="000000"/>
          <w:sz w:val="20"/>
        </w:rPr>
        <w:t>1.具备健全的质量管理、安全生产、人员管控体系，能够保证服务团队人员稳定、专业合规。本项目严禁转包、违法分包，一经发现采购人有权终止合同、追究违约责任。</w:t>
      </w:r>
    </w:p>
    <w:p w14:paraId="67D9F227">
      <w:r>
        <w:rPr>
          <w:rFonts w:ascii="仿宋_GB2312" w:hAnsi="仿宋_GB2312" w:eastAsia="仿宋_GB2312" w:cs="仿宋_GB2312"/>
          <w:color w:val="000000"/>
          <w:sz w:val="20"/>
        </w:rPr>
        <w:t>2.本项目所有数字化成果、系统资料、台账资料知识产权归采购人所有，供应商仅用于本项目履约，服务期满完整移交。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bullet"/>
      <w:lvlText w:val=""/>
      <w:lvlJc w:val="left"/>
      <w:pPr>
        <w:ind w:left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08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2026-08-28T09:20:14Z</dcterms:created>
  <dc:creator>江小花</dc:creator>
  <cp:lastModifiedBy>江小花</cp:lastModifiedBy>
  <dcterms:modified xsi:type="dcterms:W3CDTF">2026-08-28T09:20:38Z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eyJoZGlkIjoiNjNiZGNhYTJmOGY3MDhjYzhhYTI2Mjc0NTBhODEzODYiLCJ1c2VySWQiOiIxMzI1MjE1MDkxIn0=</vt:lpwstr>
  </property>
  <property fmtid="{D5CDD505-2E9C-101B-9397-08002B2CF9AE}" pid="4" name="ICV">
    <vt:lpwstr>EBED626216E746F39D7F14D8960B25C6_12</vt:lpwstr>
  </property>
</Properties>
</file>