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版本号：TZZB-HZ-2026202C20260810001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洋县2026-2027学年度校园方责任保险承包方采购项目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TZZB-HZ-2026202C</w:t>
      </w:r>
      <w:r>
        <w:br/>
      </w:r>
      <w:r>
        <w:br/>
      </w:r>
      <w:r>
        <w:br/>
      </w:r>
    </w:p>
    <w:p>
      <w:pPr>
        <w:pStyle w:val="null3"/>
        <w:jc w:val="center"/>
        <w:outlineLvl w:val="2"/>
      </w:pPr>
      <w:r>
        <w:rPr>
          <w:rFonts w:ascii="仿宋_GB2312" w:hAnsi="仿宋_GB2312" w:cs="仿宋_GB2312" w:eastAsia="仿宋_GB2312"/>
          <w:sz w:val="28"/>
          <w:b/>
        </w:rPr>
        <w:t>洋县教育体育局（机关）</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洋县教育体育局（机关）</w:t>
      </w:r>
      <w:r>
        <w:rPr>
          <w:rFonts w:ascii="仿宋_GB2312" w:hAnsi="仿宋_GB2312" w:cs="仿宋_GB2312" w:eastAsia="仿宋_GB2312"/>
        </w:rPr>
        <w:t>委托，拟对</w:t>
      </w:r>
      <w:r>
        <w:rPr>
          <w:rFonts w:ascii="仿宋_GB2312" w:hAnsi="仿宋_GB2312" w:cs="仿宋_GB2312" w:eastAsia="仿宋_GB2312"/>
        </w:rPr>
        <w:t>洋县2026-2027学年度校园方责任保险承包方采购项目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TZZB-HZ-2026202C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洋县2026-2027学年度校园方责任保险承包方采购项目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洋县2026-2027学年度校园方责任保险承包方采购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授权代表身份证明：法定代表人直接参加磋商的，须出具法人身份证；法定代表人授权代表参加磋商的，须出具法定代表人授权书及授权代表身份证；磋商文件中凡是法定代表人之处，非法人单位的负责人均参照执行。材料应清晰可辨并进行电子签章。</w:t>
      </w:r>
    </w:p>
    <w:p>
      <w:pPr>
        <w:pStyle w:val="null3"/>
      </w:pPr>
      <w:r>
        <w:rPr>
          <w:rFonts w:ascii="仿宋_GB2312" w:hAnsi="仿宋_GB2312" w:cs="仿宋_GB2312" w:eastAsia="仿宋_GB2312"/>
        </w:rPr>
        <w:t>3、汉中市政府采购供应商资格承诺函：供应商须提供《汉中市政府采购供应商资格承诺函》。材料应清晰可辨并进行电子签章。</w:t>
      </w:r>
    </w:p>
    <w:p>
      <w:pPr>
        <w:pStyle w:val="null3"/>
      </w:pPr>
      <w:r>
        <w:rPr>
          <w:rFonts w:ascii="仿宋_GB2312" w:hAnsi="仿宋_GB2312" w:cs="仿宋_GB2312" w:eastAsia="仿宋_GB2312"/>
        </w:rPr>
        <w:t>4、特定资格：供应商须具有保险监督管理部门颁发的《经营保险业务许可证》或《保险许可证》。材料应清晰可辨并进行电子签章。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洋县教育体育局（机关）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洋县唐塔南路31号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0916-8221980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原国家计委《采购代理服务收费管理暂行办法》（计价格[2002]1980号）、国家发展和改革委员会《国家发展改革委办公厅关于采购代理服务收费有关问题的通知》（发改办价格[2003]857号）和《国家发展改革委关于降低部分建设项目收费标准规范收费行为等有关问题的通知》（发改价格[2011]534号）文件的相关规定下浮45%收取。 2.采购代理服务费缴纳账户： 账户名称：同正项目管理有限公司汉中分公司 开户银行：中国建设银行股份有限公司汉中北环路支行 账 号：6105 0165 5200 0000 0101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洋县教育体育局（机关）</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洋县教育体育局（机关）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洋县教育体育局（机关）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依据采购文件及国家行业相关要求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洋县2026-2027学年度校园方责任保险承包方采购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洋县2026-2027学年度校园方责任保险承包方采购项目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标的名称：洋县2026-2027学年度校园方责任保险承包方采购项目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2"/>
              <w:jc w:val="both"/>
            </w:pPr>
            <w:r>
              <w:rPr>
                <w:rFonts w:ascii="仿宋_GB2312" w:hAnsi="仿宋_GB2312" w:cs="仿宋_GB2312" w:eastAsia="仿宋_GB2312"/>
                <w:sz w:val="21"/>
                <w:b/>
              </w:rPr>
              <w:t>一、服务内容</w:t>
            </w:r>
            <w:r>
              <w:rPr>
                <w:rFonts w:ascii="仿宋_GB2312" w:hAnsi="仿宋_GB2312" w:cs="仿宋_GB2312" w:eastAsia="仿宋_GB2312"/>
                <w:sz w:val="21"/>
              </w:rPr>
              <w:t>：供应商按照采购人的要求提供服务和产品，并符合相关法律条款。</w:t>
            </w:r>
          </w:p>
          <w:p>
            <w:pPr>
              <w:pStyle w:val="null3"/>
              <w:ind w:firstLine="422"/>
              <w:jc w:val="both"/>
            </w:pPr>
            <w:r>
              <w:rPr>
                <w:rFonts w:ascii="仿宋_GB2312" w:hAnsi="仿宋_GB2312" w:cs="仿宋_GB2312" w:eastAsia="仿宋_GB2312"/>
                <w:sz w:val="21"/>
                <w:b/>
              </w:rPr>
              <w:t>二、服务方式</w:t>
            </w:r>
            <w:r>
              <w:rPr>
                <w:rFonts w:ascii="仿宋_GB2312" w:hAnsi="仿宋_GB2312" w:cs="仿宋_GB2312" w:eastAsia="仿宋_GB2312"/>
                <w:sz w:val="21"/>
              </w:rPr>
              <w:t>：供应商为洋县中小学幼儿园承保，发生安全事故按照合同约定及时赔付。</w:t>
            </w:r>
          </w:p>
          <w:p>
            <w:pPr>
              <w:pStyle w:val="null3"/>
              <w:ind w:firstLine="422"/>
              <w:jc w:val="both"/>
            </w:pPr>
            <w:r>
              <w:rPr>
                <w:rFonts w:ascii="仿宋_GB2312" w:hAnsi="仿宋_GB2312" w:cs="仿宋_GB2312" w:eastAsia="仿宋_GB2312"/>
                <w:sz w:val="21"/>
                <w:b/>
              </w:rPr>
              <w:t>三、采购服务技术服务要求</w:t>
            </w:r>
          </w:p>
          <w:p>
            <w:pPr>
              <w:pStyle w:val="null3"/>
              <w:ind w:firstLine="420"/>
              <w:jc w:val="both"/>
            </w:pPr>
            <w:r>
              <w:rPr>
                <w:rFonts w:ascii="仿宋_GB2312" w:hAnsi="仿宋_GB2312" w:cs="仿宋_GB2312" w:eastAsia="仿宋_GB2312"/>
                <w:sz w:val="21"/>
              </w:rPr>
              <w:t>（一）服务价格：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1）全县各级各类中小学、幼儿园校方责任保险费为每生每学年12元。</w:t>
            </w:r>
          </w:p>
          <w:p>
            <w:pPr>
              <w:pStyle w:val="null3"/>
              <w:ind w:firstLine="420"/>
              <w:jc w:val="both"/>
            </w:pPr>
            <w:r>
              <w:rPr>
                <w:rFonts w:ascii="仿宋_GB2312" w:hAnsi="仿宋_GB2312" w:cs="仿宋_GB2312" w:eastAsia="仿宋_GB2312"/>
                <w:sz w:val="21"/>
              </w:rPr>
              <w:t>1.1校（园）方责任保险每生每年保费8元。</w:t>
            </w:r>
          </w:p>
          <w:p>
            <w:pPr>
              <w:pStyle w:val="null3"/>
              <w:ind w:firstLine="420"/>
              <w:jc w:val="both"/>
            </w:pPr>
            <w:r>
              <w:rPr>
                <w:rFonts w:ascii="仿宋_GB2312" w:hAnsi="仿宋_GB2312" w:cs="仿宋_GB2312" w:eastAsia="仿宋_GB2312"/>
                <w:sz w:val="21"/>
              </w:rPr>
              <w:t>1.2校（园）方无过失责任保险每生每年保费4元。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2）教职工雇主责任保险费为每人每学年120元。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3）投保人数约5.5万人（暂定）（其中学生人数约5万人，教职工约0.5万人），核定后按照实际人数支付保费。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4）校园食品安全责任保险</w:t>
            </w:r>
          </w:p>
          <w:p>
            <w:pPr>
              <w:pStyle w:val="null3"/>
              <w:ind w:firstLine="420"/>
              <w:jc w:val="both"/>
            </w:pPr>
            <w:r>
              <w:rPr>
                <w:rFonts w:ascii="仿宋_GB2312" w:hAnsi="仿宋_GB2312" w:cs="仿宋_GB2312" w:eastAsia="仿宋_GB2312"/>
                <w:sz w:val="21"/>
              </w:rPr>
              <w:t>包括三个方面，一是学生在校园食堂就餐期间发生的食物中毒、食源性疾患导致的人身伤亡；二是事先经保险人书面同意的诉讼费用；三是发生保险事故后被保险人为缩小和减少对学生的人身伤亡赔偿责任所支付的必要合理的费用（如抢救费等）。</w:t>
            </w:r>
          </w:p>
          <w:p>
            <w:pPr>
              <w:pStyle w:val="null3"/>
              <w:ind w:firstLine="422"/>
              <w:jc w:val="both"/>
            </w:pPr>
            <w:r>
              <w:rPr>
                <w:rFonts w:ascii="仿宋_GB2312" w:hAnsi="仿宋_GB2312" w:cs="仿宋_GB2312" w:eastAsia="仿宋_GB2312"/>
                <w:sz w:val="21"/>
                <w:b/>
                <w:color w:val="000000"/>
                <w:shd w:fill="FFFFFF" w:val="clear"/>
              </w:rPr>
              <w:t>（报价要求：本项目采用下浮率报价形式，结算价格：结算价格＝采购价格</w:t>
            </w:r>
            <w:r>
              <w:rPr>
                <w:rFonts w:ascii="仿宋_GB2312" w:hAnsi="仿宋_GB2312" w:cs="仿宋_GB2312" w:eastAsia="仿宋_GB2312"/>
                <w:sz w:val="21"/>
                <w:b/>
                <w:color w:val="000000"/>
                <w:shd w:fill="FFFFFF" w:val="clear"/>
              </w:rPr>
              <w:t>×（1-中标下浮率），根据人数据实结算。）</w:t>
            </w:r>
          </w:p>
          <w:p>
            <w:pPr>
              <w:pStyle w:val="null3"/>
              <w:ind w:firstLine="422"/>
              <w:jc w:val="both"/>
            </w:pPr>
            <w:r>
              <w:rPr>
                <w:rFonts w:ascii="仿宋_GB2312" w:hAnsi="仿宋_GB2312" w:cs="仿宋_GB2312" w:eastAsia="仿宋_GB2312"/>
                <w:sz w:val="21"/>
                <w:b/>
              </w:rPr>
              <w:t>四、险种、保险责任及赔偿限额要求</w:t>
            </w:r>
          </w:p>
          <w:p>
            <w:pPr>
              <w:pStyle w:val="null3"/>
              <w:ind w:firstLine="422"/>
              <w:jc w:val="both"/>
            </w:pPr>
            <w:r>
              <w:rPr>
                <w:rFonts w:ascii="仿宋_GB2312" w:hAnsi="仿宋_GB2312" w:cs="仿宋_GB2312" w:eastAsia="仿宋_GB2312"/>
                <w:sz w:val="21"/>
                <w:b/>
              </w:rPr>
              <w:t>（一）学生</w:t>
            </w:r>
          </w:p>
          <w:p>
            <w:pPr>
              <w:pStyle w:val="null3"/>
              <w:ind w:firstLine="420"/>
              <w:jc w:val="both"/>
            </w:pPr>
            <w:r>
              <w:rPr>
                <w:rFonts w:ascii="仿宋_GB2312" w:hAnsi="仿宋_GB2312" w:cs="仿宋_GB2312" w:eastAsia="仿宋_GB2312"/>
                <w:sz w:val="21"/>
              </w:rPr>
              <w:t>1.校园责任险责任保障范围</w:t>
            </w:r>
          </w:p>
          <w:p>
            <w:pPr>
              <w:pStyle w:val="null3"/>
              <w:ind w:firstLine="420"/>
              <w:jc w:val="both"/>
            </w:pPr>
            <w:r>
              <w:rPr>
                <w:rFonts w:ascii="仿宋_GB2312" w:hAnsi="仿宋_GB2312" w:cs="仿宋_GB2312" w:eastAsia="仿宋_GB2312"/>
                <w:sz w:val="21"/>
              </w:rPr>
              <w:t>学生</w:t>
            </w:r>
            <w:r>
              <w:rPr>
                <w:rFonts w:ascii="仿宋_GB2312" w:hAnsi="仿宋_GB2312" w:cs="仿宋_GB2312" w:eastAsia="仿宋_GB2312"/>
                <w:sz w:val="21"/>
              </w:rPr>
              <w:t>在学</w:t>
            </w:r>
            <w:r>
              <w:rPr>
                <w:rFonts w:ascii="仿宋_GB2312" w:hAnsi="仿宋_GB2312" w:cs="仿宋_GB2312" w:eastAsia="仿宋_GB2312"/>
                <w:sz w:val="21"/>
              </w:rPr>
              <w:t>校活动中或由学校统一组织安排的活动（学校活动包括体育课、实验课、课间操、课外活动、春游等）过程中，因学校非主观过失导致注册学生的人身伤害和财产损失，依法应由学校承担的直接经济赔偿责任。保险公司负责赔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1）学校的校舍、场地、其他公共设施，以及提供给学生使用的学具、教育教学和生活设施、设备不符合国家规定的标准；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2）学校的安全保卫、消防、设施设备管理等安全管理制度有疏漏，或者管理混乱，存在安全隐患，而未及时采取措施；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3）学校向学生提供的药品、食品、饮用水以及玩具、文具或者其他物品不符合国家、行业和学校所在地市的卫生、安全标准；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4）学校组织学生参加教育教学活动或者校外活动，未按规定对学生进行必要的安全教育，并未在可</w:t>
            </w:r>
            <w:r>
              <w:rPr>
                <w:rFonts w:ascii="仿宋_GB2312" w:hAnsi="仿宋_GB2312" w:cs="仿宋_GB2312" w:eastAsia="仿宋_GB2312"/>
                <w:sz w:val="21"/>
              </w:rPr>
              <w:t>预见</w:t>
            </w:r>
            <w:r>
              <w:rPr>
                <w:rFonts w:ascii="仿宋_GB2312" w:hAnsi="仿宋_GB2312" w:cs="仿宋_GB2312" w:eastAsia="仿宋_GB2312"/>
                <w:sz w:val="21"/>
              </w:rPr>
              <w:t>的范围内采取必要的安全措施；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5）学校的教师或者其他工作人员患有不适宜担任教学工作的疾病，但学校未采取必要措施；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6）学校违反有关规定，组织或者安排未成年学生从事不宜未成年人参加的劳动、体育运动或者其他活动；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7）学生有特异体质或特定疾病，不宜参加某种教学活动，学校知道或者应当知道，但未予以必要注意；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8）学生在校期间突发疾病或者受到伤害，学校发现，但未根据实际情况及时采取相应措施，导致不良后果加重；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9）教师或者其他工作人员在负有组织、管理未成年学生的职责期间，发现学生行为具有危险性，但未进行必要的管理、告诫或者阻止；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10）教师或者其他工作人员侮辱、殴打、体罚或者变相体罚学生；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11）教师或者其他工作人员擅离岗位，不履行职责，或者虽在工作岗位但未履行职责，或者违反工作要求、操作规程或职业道德；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12）对未成年学生擅自离校等与学生人身安全直接相关的信息，学校发现或者知道，但未及时告知未成年学生的监护人，导致未成年学生因脱离监护人的保护而发生伤害；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13）学校知道或者应当知道学生患有传染性疾病，未采取必要的隔离防范措施导致其他学生感染；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14）学校有未依法履行职责的其他情形。</w:t>
            </w:r>
          </w:p>
          <w:p>
            <w:pPr>
              <w:pStyle w:val="null3"/>
              <w:ind w:firstLine="422"/>
              <w:jc w:val="both"/>
            </w:pPr>
            <w:r>
              <w:rPr>
                <w:rFonts w:ascii="仿宋_GB2312" w:hAnsi="仿宋_GB2312" w:cs="仿宋_GB2312" w:eastAsia="仿宋_GB2312"/>
                <w:sz w:val="21"/>
                <w:b/>
                <w:color w:val="000000"/>
              </w:rPr>
              <w:t>2.校方责任险保障限额</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1）每生每年累计赔偿限额不低于50万元。</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2）每所学校每次事故赔偿限额不低于600万元。</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3）每所学校每年累计赔偿限额不低于2000万元。</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4）以上三项赔偿项目不设免赔额。</w:t>
            </w:r>
          </w:p>
          <w:p>
            <w:pPr>
              <w:pStyle w:val="null3"/>
              <w:ind w:firstLine="422"/>
              <w:jc w:val="both"/>
            </w:pPr>
            <w:r>
              <w:rPr>
                <w:rFonts w:ascii="仿宋_GB2312" w:hAnsi="仿宋_GB2312" w:cs="仿宋_GB2312" w:eastAsia="仿宋_GB2312"/>
                <w:sz w:val="21"/>
                <w:b/>
                <w:color w:val="000000"/>
              </w:rPr>
              <w:t>3.校方无过失责任险保障限额</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1）无过失责任保险: 每生每年累计赔偿限额不低于16万元。</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2）每所学校每次事故赔偿限额不低于200万元。</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3）每所学校每年累计赔偿限额不低于600万元。</w:t>
            </w:r>
          </w:p>
          <w:p>
            <w:pPr>
              <w:pStyle w:val="null3"/>
              <w:ind w:firstLine="422"/>
              <w:jc w:val="both"/>
            </w:pPr>
            <w:r>
              <w:rPr>
                <w:rFonts w:ascii="仿宋_GB2312" w:hAnsi="仿宋_GB2312" w:cs="仿宋_GB2312" w:eastAsia="仿宋_GB2312"/>
                <w:sz w:val="21"/>
                <w:b/>
              </w:rPr>
              <w:t>（二）教职员工</w:t>
            </w:r>
          </w:p>
          <w:p>
            <w:pPr>
              <w:pStyle w:val="null3"/>
              <w:ind w:firstLine="422"/>
              <w:jc w:val="both"/>
            </w:pPr>
            <w:r>
              <w:rPr>
                <w:rFonts w:ascii="仿宋_GB2312" w:hAnsi="仿宋_GB2312" w:cs="仿宋_GB2312" w:eastAsia="仿宋_GB2312"/>
                <w:sz w:val="21"/>
                <w:b/>
              </w:rPr>
              <w:t>1.保险责任范围</w:t>
            </w:r>
            <w:r>
              <w:rPr>
                <w:rFonts w:ascii="仿宋_GB2312" w:hAnsi="仿宋_GB2312" w:cs="仿宋_GB2312" w:eastAsia="仿宋_GB2312"/>
                <w:sz w:val="21"/>
              </w:rPr>
              <w:t>：教职员工因在本单位工作期间／因工外出期间／校外统一活动中遭受的意外伤害事故、上下班途中的非本人主要或全部责任的交通事故以及工作场所内工作时突发疾病死亡而依法应由学校承担的经济赔偿责任，保险人负责赔偿。赔偿项目包括死亡／残疾赔偿金、医疗费用、工作期间突发疾病死亡、误工费用、法律费用等。</w:t>
            </w:r>
            <w:r>
              <w:rPr>
                <w:rFonts w:ascii="仿宋_GB2312" w:hAnsi="仿宋_GB2312" w:cs="仿宋_GB2312" w:eastAsia="仿宋_GB2312"/>
                <w:sz w:val="21"/>
              </w:rPr>
              <w:t xml:space="preserve">  </w:t>
            </w:r>
          </w:p>
          <w:p>
            <w:pPr>
              <w:pStyle w:val="null3"/>
              <w:ind w:firstLine="422"/>
              <w:jc w:val="both"/>
            </w:pPr>
            <w:r>
              <w:rPr>
                <w:rFonts w:ascii="仿宋_GB2312" w:hAnsi="仿宋_GB2312" w:cs="仿宋_GB2312" w:eastAsia="仿宋_GB2312"/>
                <w:sz w:val="21"/>
                <w:b/>
                <w:color w:val="000000"/>
              </w:rPr>
              <w:t>2.赔偿限额：</w:t>
            </w:r>
            <w:r>
              <w:rPr>
                <w:rFonts w:ascii="仿宋_GB2312" w:hAnsi="仿宋_GB2312" w:cs="仿宋_GB2312" w:eastAsia="仿宋_GB2312"/>
                <w:sz w:val="21"/>
                <w:color w:val="000000"/>
              </w:rPr>
              <w:t>每人死亡、残疾赔偿限额不低于</w:t>
            </w:r>
            <w:r>
              <w:rPr>
                <w:rFonts w:ascii="仿宋_GB2312" w:hAnsi="仿宋_GB2312" w:cs="仿宋_GB2312" w:eastAsia="仿宋_GB2312"/>
                <w:sz w:val="21"/>
                <w:color w:val="000000"/>
              </w:rPr>
              <w:t>60万元、医疗费用限额不低于6万元；教职员工因意外暂时丧失工作能力的误工费用；保险事故发生以后，其本人或受益人与学校之间因赔偿纠纷而引起的相关法律费用。</w:t>
            </w:r>
          </w:p>
          <w:p>
            <w:pPr>
              <w:pStyle w:val="null3"/>
              <w:ind w:firstLine="420"/>
              <w:jc w:val="both"/>
            </w:pPr>
            <w:r>
              <w:rPr>
                <w:rFonts w:ascii="仿宋_GB2312" w:hAnsi="仿宋_GB2312" w:cs="仿宋_GB2312" w:eastAsia="仿宋_GB2312"/>
                <w:sz w:val="21"/>
                <w:color w:val="000000"/>
              </w:rPr>
              <w:t>3.工作场所内工作时突发疾病48小时抢救无效死亡：8万元/人。</w:t>
            </w:r>
          </w:p>
          <w:p>
            <w:pPr>
              <w:pStyle w:val="null3"/>
              <w:ind w:firstLine="422"/>
              <w:jc w:val="both"/>
            </w:pPr>
            <w:r>
              <w:rPr>
                <w:rFonts w:ascii="仿宋_GB2312" w:hAnsi="仿宋_GB2312" w:cs="仿宋_GB2312" w:eastAsia="仿宋_GB2312"/>
                <w:sz w:val="21"/>
                <w:b/>
              </w:rPr>
              <w:t>4.</w:t>
            </w:r>
            <w:r>
              <w:rPr>
                <w:rFonts w:ascii="仿宋_GB2312" w:hAnsi="仿宋_GB2312" w:cs="仿宋_GB2312" w:eastAsia="仿宋_GB2312"/>
                <w:sz w:val="21"/>
                <w:b/>
              </w:rPr>
              <w:t>缴费</w:t>
            </w:r>
            <w:r>
              <w:rPr>
                <w:rFonts w:ascii="仿宋_GB2312" w:hAnsi="仿宋_GB2312" w:cs="仿宋_GB2312" w:eastAsia="仿宋_GB2312"/>
                <w:sz w:val="21"/>
                <w:b/>
              </w:rPr>
              <w:t>标准</w:t>
            </w:r>
            <w:r>
              <w:rPr>
                <w:rFonts w:ascii="仿宋_GB2312" w:hAnsi="仿宋_GB2312" w:cs="仿宋_GB2312" w:eastAsia="仿宋_GB2312"/>
                <w:sz w:val="21"/>
              </w:rPr>
              <w:t>：每人每年</w:t>
            </w:r>
            <w:r>
              <w:rPr>
                <w:rFonts w:ascii="仿宋_GB2312" w:hAnsi="仿宋_GB2312" w:cs="仿宋_GB2312" w:eastAsia="仿宋_GB2312"/>
                <w:sz w:val="21"/>
              </w:rPr>
              <w:t>120元。</w:t>
            </w:r>
          </w:p>
          <w:p>
            <w:pPr>
              <w:pStyle w:val="null3"/>
              <w:ind w:firstLine="422"/>
              <w:jc w:val="both"/>
            </w:pPr>
            <w:r>
              <w:rPr>
                <w:rFonts w:ascii="仿宋_GB2312" w:hAnsi="仿宋_GB2312" w:cs="仿宋_GB2312" w:eastAsia="仿宋_GB2312"/>
                <w:sz w:val="21"/>
                <w:b/>
              </w:rPr>
              <w:t>5.以上所有赔偿项目均不设免赔额。</w:t>
            </w:r>
          </w:p>
          <w:p>
            <w:pPr>
              <w:pStyle w:val="null3"/>
              <w:jc w:val="both"/>
            </w:pPr>
            <w:r>
              <w:rPr>
                <w:rFonts w:ascii="仿宋_GB2312" w:hAnsi="仿宋_GB2312" w:cs="仿宋_GB2312" w:eastAsia="仿宋_GB2312"/>
                <w:sz w:val="21"/>
                <w:b/>
              </w:rPr>
              <w:t>（三）校园食品安全责任</w:t>
            </w:r>
          </w:p>
          <w:p>
            <w:pPr>
              <w:pStyle w:val="null3"/>
              <w:jc w:val="both"/>
            </w:pPr>
            <w:r>
              <w:rPr>
                <w:rFonts w:ascii="仿宋_GB2312" w:hAnsi="仿宋_GB2312" w:cs="仿宋_GB2312" w:eastAsia="仿宋_GB2312"/>
                <w:sz w:val="21"/>
                <w:b/>
              </w:rPr>
              <w:t xml:space="preserve">    </w:t>
            </w:r>
            <w:r>
              <w:rPr>
                <w:rFonts w:ascii="仿宋_GB2312" w:hAnsi="仿宋_GB2312" w:cs="仿宋_GB2312" w:eastAsia="仿宋_GB2312"/>
                <w:sz w:val="21"/>
                <w:b/>
              </w:rPr>
              <w:t>1.保险责任范围：</w:t>
            </w:r>
            <w:r>
              <w:rPr>
                <w:rFonts w:ascii="仿宋_GB2312" w:hAnsi="仿宋_GB2312" w:cs="仿宋_GB2312" w:eastAsia="仿宋_GB2312"/>
                <w:sz w:val="21"/>
              </w:rPr>
              <w:t>校园食堂就餐期间发生的食物中毒、食源性疾患导致的人身伤亡；事先经保险人书面同意的诉讼费用；发生保险事故后被保险人为缩小和减少对学生的人身伤亡赔偿责任所支付的必要合理的费用（如抢救费等）</w:t>
            </w:r>
          </w:p>
          <w:p>
            <w:pPr>
              <w:pStyle w:val="null3"/>
              <w:ind w:firstLine="422"/>
              <w:jc w:val="both"/>
            </w:pPr>
            <w:r>
              <w:rPr>
                <w:rFonts w:ascii="仿宋_GB2312" w:hAnsi="仿宋_GB2312" w:cs="仿宋_GB2312" w:eastAsia="仿宋_GB2312"/>
                <w:sz w:val="21"/>
                <w:b/>
              </w:rPr>
              <w:t>2.赔偿限额和保险费标准：</w:t>
            </w:r>
          </w:p>
          <w:p>
            <w:pPr>
              <w:pStyle w:val="null3"/>
              <w:ind w:firstLine="420"/>
              <w:jc w:val="both"/>
            </w:pPr>
            <w:r>
              <w:rPr>
                <w:rFonts w:ascii="仿宋_GB2312" w:hAnsi="仿宋_GB2312" w:cs="仿宋_GB2312" w:eastAsia="仿宋_GB2312"/>
                <w:sz w:val="21"/>
              </w:rPr>
              <w:t>每个学校年度累计赔偿限额</w:t>
            </w:r>
            <w:r>
              <w:rPr>
                <w:rFonts w:ascii="仿宋_GB2312" w:hAnsi="仿宋_GB2312" w:cs="仿宋_GB2312" w:eastAsia="仿宋_GB2312"/>
                <w:sz w:val="21"/>
              </w:rPr>
              <w:t>100万元，每次事故赔偿限额50万元，每人赔偿限额5万元。年缴保险费标准按照学校食堂日平均就餐人数分为七个不同档次，具体如下表：</w:t>
            </w:r>
          </w:p>
          <w:tbl>
            <w:tblPr>
              <w:tblInd w:type="dxa" w:w="330"/>
              <w:tblBorders>
                <w:top w:val="none" w:color="000000" w:sz="4"/>
                <w:left w:val="none" w:color="000000" w:sz="4"/>
                <w:bottom w:val="none" w:color="000000" w:sz="4"/>
                <w:right w:val="none" w:color="000000" w:sz="4"/>
                <w:insideH w:val="none"/>
                <w:insideV w:val="none"/>
              </w:tblBorders>
            </w:tblPr>
            <w:tblGrid>
              <w:gridCol w:w="1054"/>
              <w:gridCol w:w="1499"/>
            </w:tblGrid>
            <w:tr>
              <w:tc>
                <w:tcPr>
                  <w:tcW w:type="dxa" w:w="105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学校食堂平均每日就餐人数</w:t>
                  </w:r>
                </w:p>
              </w:tc>
              <w:tc>
                <w:tcPr>
                  <w:tcW w:type="dxa" w:w="1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每个学校（包含辖区有食堂的完小、教学点及幼儿园）</w:t>
                  </w:r>
                </w:p>
                <w:p>
                  <w:pPr>
                    <w:pStyle w:val="null3"/>
                    <w:ind w:firstLine="420"/>
                    <w:jc w:val="both"/>
                  </w:pPr>
                  <w:r>
                    <w:rPr>
                      <w:rFonts w:ascii="仿宋_GB2312" w:hAnsi="仿宋_GB2312" w:cs="仿宋_GB2312" w:eastAsia="仿宋_GB2312"/>
                      <w:sz w:val="21"/>
                    </w:rPr>
                    <w:t>食堂年缴保险费（元）</w:t>
                  </w:r>
                </w:p>
              </w:tc>
            </w:tr>
            <w:tr>
              <w:tc>
                <w:tcPr>
                  <w:tcW w:type="dxa" w:w="1054"/>
                  <w:vMerge/>
                  <w:tcBorders>
                    <w:top w:val="single" w:color="000000" w:sz="4"/>
                    <w:left w:val="singl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年度累计赔偿限额</w:t>
                  </w:r>
                  <w:r>
                    <w:rPr>
                      <w:rFonts w:ascii="仿宋_GB2312" w:hAnsi="仿宋_GB2312" w:cs="仿宋_GB2312" w:eastAsia="仿宋_GB2312"/>
                      <w:sz w:val="21"/>
                    </w:rPr>
                    <w:t>100万元，每次事故赔偿限额50万元，每人赔偿限额5万元</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30人以下</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200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30-49人</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300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50-99人</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750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100-299人</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1800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300-499人</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2650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500-999人</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3150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1000人以上</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3650</w:t>
                  </w:r>
                </w:p>
              </w:tc>
            </w:tr>
          </w:tbl>
          <w:p>
            <w:pPr>
              <w:pStyle w:val="null3"/>
              <w:jc w:val="both"/>
            </w:pPr>
            <w:r>
              <w:rPr>
                <w:rFonts w:ascii="仿宋_GB2312" w:hAnsi="仿宋_GB2312" w:cs="仿宋_GB2312" w:eastAsia="仿宋_GB2312"/>
                <w:sz w:val="21"/>
                <w:b/>
              </w:rPr>
              <w:t>五、保险期限和范围</w:t>
            </w:r>
          </w:p>
          <w:p>
            <w:pPr>
              <w:pStyle w:val="null3"/>
              <w:ind w:firstLine="420"/>
              <w:jc w:val="both"/>
            </w:pPr>
            <w:r>
              <w:rPr>
                <w:rFonts w:ascii="仿宋_GB2312" w:hAnsi="仿宋_GB2312" w:cs="仿宋_GB2312" w:eastAsia="仿宋_GB2312"/>
                <w:sz w:val="21"/>
              </w:rPr>
              <w:t>服务期限：</w:t>
            </w:r>
          </w:p>
          <w:p>
            <w:pPr>
              <w:pStyle w:val="null3"/>
              <w:ind w:firstLine="422"/>
              <w:jc w:val="both"/>
            </w:pPr>
            <w:r>
              <w:rPr>
                <w:rFonts w:ascii="仿宋_GB2312" w:hAnsi="仿宋_GB2312" w:cs="仿宋_GB2312" w:eastAsia="仿宋_GB2312"/>
                <w:sz w:val="21"/>
                <w:b/>
                <w:color w:val="000000"/>
              </w:rPr>
              <w:t>学生校方责任保险：自</w:t>
            </w:r>
            <w:r>
              <w:rPr>
                <w:rFonts w:ascii="仿宋_GB2312" w:hAnsi="仿宋_GB2312" w:cs="仿宋_GB2312" w:eastAsia="仿宋_GB2312"/>
                <w:sz w:val="21"/>
                <w:b/>
                <w:color w:val="000000"/>
              </w:rPr>
              <w:t>2026年9月1日0时至2027年8月31日24时止</w:t>
            </w:r>
          </w:p>
          <w:p>
            <w:pPr>
              <w:pStyle w:val="null3"/>
              <w:ind w:firstLine="422"/>
              <w:jc w:val="both"/>
            </w:pPr>
            <w:r>
              <w:rPr>
                <w:rFonts w:ascii="仿宋_GB2312" w:hAnsi="仿宋_GB2312" w:cs="仿宋_GB2312" w:eastAsia="仿宋_GB2312"/>
                <w:sz w:val="21"/>
                <w:b/>
                <w:color w:val="000000"/>
              </w:rPr>
              <w:t>教职工和食品安全校方责任保险：</w:t>
            </w:r>
            <w:r>
              <w:rPr>
                <w:rFonts w:ascii="仿宋_GB2312" w:hAnsi="仿宋_GB2312" w:cs="仿宋_GB2312" w:eastAsia="仿宋_GB2312"/>
                <w:sz w:val="21"/>
                <w:b/>
                <w:color w:val="000000"/>
              </w:rPr>
              <w:t>2027年3月21日0时至2028年3月20日24时止</w:t>
            </w:r>
          </w:p>
          <w:p>
            <w:pPr>
              <w:pStyle w:val="null3"/>
              <w:ind w:firstLine="420"/>
              <w:jc w:val="both"/>
            </w:pPr>
            <w:r>
              <w:rPr>
                <w:rFonts w:ascii="仿宋_GB2312" w:hAnsi="仿宋_GB2312" w:cs="仿宋_GB2312" w:eastAsia="仿宋_GB2312"/>
                <w:sz w:val="21"/>
              </w:rPr>
              <w:t>保障范围：全县各级各类中小学、幼儿园，在服务期限内，如遇保费调整等特殊情况，采购人有权根据项目实际情况处理。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学生校方责任保险：自2026年9月1日0时至2027年8月31日24时止，教职工和食品安全校方责任保险：2027年3月21日0时至2028年3月20日24时止。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1、保单开出后验收以下内容： （1）是否协助招标人做好投保学校的各项承保工作并协助被保险学校的宣传和培训工作。 （2）收到被保险学校投保材料后是否在5个工作日内出具了正式保险单和发票。 （3）如果有被保险学校有人员变动、名称或地址变更、合并、注销、分立、设立分校等事宜时，承保公司是否做好了保全服务工作，并在接到学校批改申请材料5个工作日内出具批单和发票。 2、有事故发生时是否按照理赔内容进行了理赔工作。 3、验收依据： （1）合同及合同附件。 （2）国家相应的标准、规范。 （3）磋商文件、响应文件、澄清表（函）。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进度款，本项目最终结算价款以投保时实际统计人数为准价，采用先承保后付费，所有投保服务完成，且经采购人核验合格后 ，达到付款条件起50个工作日内，支付合同总金额的100.0%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乙方应按合同约定时间完成各阶段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磋商的，须出具法人身份证；法定代表人授权代表参加磋商的，须出具法定代表人授权书及授权代表身份证；磋商文件中凡是法定代表人之处，非法人单位的负责人均参照执行。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供应商须具有保险监督管理部门颁发的《经营保险业务许可证》或《保险许可证》。材料应清晰可辨并进行电子签章。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中小企业声明函 商务要求应答表.docx 报价表 项目业绩.docx 项目团队人员配备一览表.docx 响应文件封面 供应商应提交的相关资格证明材料.docx 残疾人福利性单位声明函 服务方案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只能有一个有效报价，不得提交选择性报价，且报价符合本次报价要求。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商务要求应答表.docx 标的清单 报价表 服务内容及服务要求应答表.docx 响应函 项目业绩.docx 监狱企业的证明文件 项目团队人员配备一览表.docx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商务要求应答表.docx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对本项目制定的项目实施方案进行评审，项目实施方案包含①承保服务方案；②理赔方案；③对被保险人提供理赔材料有欠缺、有错误的协助处理方案；④校园食品安全责任方案；⑤重大案件处理方案；⑥校园责任险责任保障范围方案；二、评审标准：（1）完整性：对上述内容均有描述，得3分；缺项扣0.5分，扣完为止。此项不提供不得分。（2）针对性：上述内容针对性明确每项得3分；针对性较明确每项得1.5分；缺乏针对性得0分。此项不提供不得分。（3）可实施性：上述内容可实施性合理每项得3分；可实施性较合理每项得1.5分；缺乏可实施性得0分。此项不提供不得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根据供应商针对本项目的组织管理机构情况进行评审，包括以下内容：①针对本项目响应人提出针对本项目建立专门项目小组，人员包括但不限于核赔、核保、法律、医疗、经济，提供小组人员名单及相关从业证件；②出案后安排专人定期回访，提供人员名单及相关从业证明文件；③人员管理制度；④供应商在本项目服务辖区乡镇设有经金融监管部门批复设立的保险营销服务部（单独机构），提供经营保险业务许可证和营业执照复印件并加盖企业公章。 二、评审标准：每小项3分，共4小项，满分12分；缺项扣3分，扣完为止。未提供不得分。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项目团队人员配备一览表.docx</w:t>
            </w:r>
          </w:p>
        </w:tc>
      </w:tr>
      <w:tr>
        <w:tc>
          <w:tcPr>
            <w:tcW w:type="dxa" w:w="831"/>
            <w:vMerge/>
          </w:tcPr>
          <w:p/>
        </w:tc>
        <w:tc>
          <w:tcPr>
            <w:tcW w:type="dxa" w:w="1661"/>
          </w:tcPr>
          <w:p>
            <w:pPr>
              <w:pStyle w:val="null3"/>
            </w:pPr>
            <w:r>
              <w:rPr>
                <w:rFonts w:ascii="仿宋_GB2312" w:hAnsi="仿宋_GB2312" w:cs="仿宋_GB2312" w:eastAsia="仿宋_GB2312"/>
              </w:rPr>
              <w:t>履约能力①</w:t>
            </w:r>
          </w:p>
        </w:tc>
        <w:tc>
          <w:tcPr>
            <w:tcW w:type="dxa" w:w="2492"/>
          </w:tcPr>
          <w:p>
            <w:pPr>
              <w:pStyle w:val="null3"/>
            </w:pPr>
            <w:r>
              <w:rPr>
                <w:rFonts w:ascii="仿宋_GB2312" w:hAnsi="仿宋_GB2312" w:cs="仿宋_GB2312" w:eastAsia="仿宋_GB2312"/>
              </w:rPr>
              <w:t>一、评审内容：综合偿付能力：根据2026年一季度或二季度综合偿付能力。二、评审标准：充足率≥200%，且风险综合评级A，得10分，充足率180%-199%，且风险综合评级A类得6分，充足率≥180%，且风险综合评级B类得3分，充足率＜180%以下不得分。（提供体现综合偿付能力指标数据的证明材料，并加盖企业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履约能力②</w:t>
            </w:r>
          </w:p>
        </w:tc>
        <w:tc>
          <w:tcPr>
            <w:tcW w:type="dxa" w:w="2492"/>
          </w:tcPr>
          <w:p>
            <w:pPr>
              <w:pStyle w:val="null3"/>
            </w:pPr>
            <w:r>
              <w:rPr>
                <w:rFonts w:ascii="仿宋_GB2312" w:hAnsi="仿宋_GB2312" w:cs="仿宋_GB2312" w:eastAsia="仿宋_GB2312"/>
              </w:rPr>
              <w:t>一、评审内容：理赔能力：二、评审标准：提供2024年至今类似项目赔付材料（提供承保保单、理赔通知书、支付证明），提供1份得1分，满分5分。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针对本项目有相应的应急方案，包括①突发事件的处理机制；②事故响应与医疗处置；③材料准备与责任认定；④理赔程序与款项落实。二、评审标准：每小项2分，共4小项，满分8分；缺项扣2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2024年至今类似项目业绩。二、评审标准：每提供1份得2.5分，满分5分。无此项内容不得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合理可行的服务承诺，包括但不限于以下内容：①开通保险理赔服务绿色通道，能够先行垫付赔款；②个别特殊（重大）理赔服务的响应时间；③未能按约履行的赔偿制度承诺；④承诺参保所有信息数据不得外泄，提供保密承诺。二、评审标准：每小项2分，共8小项，满分8分；缺项扣2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一、评审内容：针对本项目有可行的增值服务，包括①协助采购方对被保险学校进行安全教育和风险管理以及防灾防损培训；②定期向采购方报告工作情况和提供风险管理方案；③特色服务；二、评审标准：每小项1分，共3小项，满分3分；缺项扣1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计算分数时四舍五入取小数点后两位。注：如供应商为小微企业、监狱企业、福利企业的，价格给予10%的扣除，并用扣除后的价格参与评审。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详见附件：项目业绩.docx</w:t>
      </w:r>
    </w:p>
    <w:p>
      <w:pPr>
        <w:pStyle w:val="null3"/>
        <w:ind w:firstLine="960"/>
      </w:pPr>
      <w:r>
        <w:rPr>
          <w:rFonts w:ascii="仿宋_GB2312" w:hAnsi="仿宋_GB2312" w:cs="仿宋_GB2312" w:eastAsia="仿宋_GB2312"/>
        </w:rPr>
        <w:t>详见附件：项目团队人员配备一览表.docx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