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47D8A">
      <w:pPr>
        <w:pStyle w:val="8"/>
        <w:jc w:val="center"/>
        <w:rPr>
          <w:rFonts w:hint="eastAsia" w:ascii="黑体" w:hAnsi="黑体" w:eastAsia="黑体" w:cs="黑体"/>
          <w:b/>
          <w:bCs/>
          <w:color w:val="auto"/>
          <w:kern w:val="2"/>
          <w:sz w:val="32"/>
          <w:szCs w:val="32"/>
          <w:highlight w:val="none"/>
          <w:lang w:val="en-US" w:eastAsia="zh-CN" w:bidi="ar-SA"/>
        </w:rPr>
      </w:pPr>
      <w:bookmarkStart w:id="0" w:name="_Toc4496"/>
      <w:r>
        <w:rPr>
          <w:rFonts w:hint="eastAsia" w:ascii="黑体" w:hAnsi="黑体" w:eastAsia="黑体" w:cs="黑体"/>
          <w:b/>
          <w:bCs/>
          <w:color w:val="auto"/>
          <w:kern w:val="2"/>
          <w:sz w:val="32"/>
          <w:szCs w:val="32"/>
          <w:highlight w:val="none"/>
          <w:lang w:val="en-US" w:eastAsia="zh-CN" w:bidi="ar-SA"/>
        </w:rPr>
        <w:t>汉中市汉台区教育体育局2026年秋季学期至2027年春季学期校方责任险项目</w:t>
      </w:r>
    </w:p>
    <w:p w14:paraId="4DAD911C">
      <w:pPr>
        <w:numPr>
          <w:ilvl w:val="0"/>
          <w:numId w:val="0"/>
        </w:numPr>
        <w:shd w:val="clear"/>
        <w:spacing w:before="156" w:beforeLines="50" w:line="360" w:lineRule="auto"/>
        <w:jc w:val="center"/>
        <w:outlineLvl w:val="0"/>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合同主要条款及格式</w:t>
      </w:r>
      <w:bookmarkEnd w:id="0"/>
    </w:p>
    <w:p w14:paraId="55E49FC8">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（注：本合同作为合同的</w:t>
      </w:r>
      <w:r>
        <w:rPr>
          <w:rFonts w:hint="eastAsia" w:ascii="仿宋" w:hAnsi="仿宋" w:eastAsia="仿宋" w:cs="仿宋"/>
          <w:bCs/>
          <w:color w:val="auto"/>
          <w:sz w:val="22"/>
          <w:szCs w:val="22"/>
          <w:lang w:val="en-US" w:eastAsia="zh-CN"/>
        </w:rPr>
        <w:t>示范</w:t>
      </w:r>
      <w:r>
        <w:rPr>
          <w:rFonts w:hint="eastAsia" w:ascii="仿宋" w:hAnsi="仿宋" w:eastAsia="仿宋" w:cs="仿宋"/>
          <w:bCs/>
          <w:color w:val="auto"/>
          <w:sz w:val="22"/>
          <w:szCs w:val="22"/>
        </w:rPr>
        <w:t>格式，甲方有权在签订合同时对合同的相关条款及内容作进一步细化和修改）</w:t>
      </w:r>
    </w:p>
    <w:p w14:paraId="7637397B">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 xml:space="preserve">合同编号： </w:t>
      </w:r>
    </w:p>
    <w:p w14:paraId="3B815D36">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 xml:space="preserve">签订地点： </w:t>
      </w:r>
    </w:p>
    <w:p w14:paraId="583D06BC">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签订时间：</w:t>
      </w:r>
    </w:p>
    <w:p w14:paraId="49374E0E">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采购人（甲方）：</w:t>
      </w:r>
    </w:p>
    <w:p w14:paraId="3BA9CBA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供应商（乙方）：</w:t>
      </w:r>
    </w:p>
    <w:p w14:paraId="0F22B4F1">
      <w:pPr>
        <w:keepNext w:val="0"/>
        <w:keepLines w:val="0"/>
        <w:widowControl/>
        <w:suppressLineNumbers w:val="0"/>
        <w:spacing w:line="360" w:lineRule="auto"/>
        <w:ind w:firstLine="440" w:firstLineChars="200"/>
        <w:jc w:val="left"/>
        <w:rPr>
          <w:rFonts w:ascii="仿宋" w:hAnsi="仿宋" w:eastAsia="仿宋" w:cs="仿宋"/>
          <w:bCs/>
          <w:color w:val="auto"/>
          <w:sz w:val="22"/>
          <w:szCs w:val="22"/>
        </w:rPr>
      </w:pPr>
      <w:bookmarkStart w:id="53" w:name="_GoBack"/>
      <w:r>
        <w:rPr>
          <w:rFonts w:hint="eastAsia" w:ascii="仿宋" w:hAnsi="仿宋" w:eastAsia="仿宋" w:cs="仿宋"/>
          <w:bCs/>
          <w:color w:val="auto"/>
          <w:sz w:val="22"/>
          <w:szCs w:val="22"/>
        </w:rPr>
        <w:t>根据《中华人民共和国政府采购法》及实施条例、《中华人民共和国民法典》和</w:t>
      </w:r>
      <w:r>
        <w:rPr>
          <w:rFonts w:ascii="仿宋_GB2312" w:hAnsi="仿宋_GB2312" w:eastAsia="仿宋_GB2312" w:cs="仿宋_GB2312"/>
          <w:u w:val="single"/>
        </w:rPr>
        <w:t>洋县2026-2027学年度校园方责任保险承包方采购项目</w:t>
      </w:r>
      <w:r>
        <w:rPr>
          <w:rFonts w:hint="eastAsia" w:ascii="仿宋" w:hAnsi="仿宋" w:eastAsia="仿宋" w:cs="仿宋"/>
          <w:bCs/>
          <w:color w:val="auto"/>
          <w:sz w:val="22"/>
          <w:szCs w:val="22"/>
        </w:rPr>
        <w:t>（采购项目编号：</w:t>
      </w:r>
      <w:r>
        <w:rPr>
          <w:rFonts w:ascii="仿宋_GB2312" w:hAnsi="仿宋_GB2312" w:eastAsia="仿宋_GB2312" w:cs="仿宋_GB2312"/>
          <w:u w:val="single"/>
          <w:lang w:val="en-US" w:eastAsia="zh-CN"/>
        </w:rPr>
        <w:t xml:space="preserve">TZZB-HZ-2026202C </w:t>
      </w:r>
      <w:r>
        <w:rPr>
          <w:rFonts w:hint="eastAsia" w:ascii="仿宋" w:hAnsi="仿宋" w:eastAsia="仿宋" w:cs="仿宋"/>
          <w:bCs/>
          <w:color w:val="auto"/>
          <w:sz w:val="22"/>
          <w:szCs w:val="22"/>
        </w:rPr>
        <w:t>）的竞争性磋商文件、竞争性磋商响应文件等有关规定，为确保甲方采购项目的顺利实施，甲、乙双方在平等自愿原则下签订本合同，并共同遵守如下条款：</w:t>
      </w:r>
    </w:p>
    <w:bookmarkEnd w:id="53"/>
    <w:p w14:paraId="7A25E57A">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第一条 项目基本情况</w:t>
      </w:r>
    </w:p>
    <w:p w14:paraId="10661B41">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第二条 合同期限</w:t>
      </w:r>
    </w:p>
    <w:p w14:paraId="468B34F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bookmarkStart w:id="1" w:name="_Toc225670751"/>
      <w:bookmarkStart w:id="2" w:name="_Toc185395249"/>
      <w:bookmarkStart w:id="3" w:name="_Toc239233914"/>
      <w:bookmarkStart w:id="4" w:name="_Toc211911348"/>
      <w:bookmarkStart w:id="5" w:name="_Toc211854449"/>
      <w:bookmarkStart w:id="6" w:name="_Toc238984975"/>
      <w:bookmarkStart w:id="7" w:name="_Toc232492928"/>
      <w:bookmarkStart w:id="8" w:name="_Toc247334841"/>
      <w:bookmarkStart w:id="9" w:name="_Toc225654644"/>
      <w:bookmarkStart w:id="10" w:name="_Toc237145406"/>
      <w:bookmarkStart w:id="11" w:name="_Toc239568418"/>
      <w:bookmarkStart w:id="12" w:name="_Toc251768862"/>
      <w:bookmarkStart w:id="13" w:name="_Toc283019214"/>
      <w:bookmarkStart w:id="14" w:name="_Toc286993786"/>
      <w:bookmarkStart w:id="15" w:name="_Toc225244852"/>
      <w:bookmarkStart w:id="16" w:name="_Toc241833903"/>
      <w:bookmarkStart w:id="17" w:name="_Toc212019594"/>
      <w:bookmarkStart w:id="18" w:name="_Toc282696226"/>
      <w:r>
        <w:rPr>
          <w:rFonts w:hint="eastAsia" w:ascii="仿宋" w:hAnsi="仿宋" w:eastAsia="仿宋" w:cs="仿宋"/>
          <w:bCs/>
          <w:color w:val="auto"/>
          <w:sz w:val="22"/>
          <w:szCs w:val="22"/>
        </w:rPr>
        <w:t>第三条 服务内容与质量标准</w:t>
      </w:r>
    </w:p>
    <w:p w14:paraId="1D8D570C">
      <w:pPr>
        <w:shd w:val="clear"/>
        <w:snapToGrid w:val="0"/>
        <w:spacing w:line="360" w:lineRule="auto"/>
        <w:ind w:firstLine="482"/>
        <w:rPr>
          <w:rFonts w:ascii="仿宋" w:hAnsi="仿宋" w:eastAsia="仿宋" w:cs="仿宋"/>
          <w:bCs/>
          <w:color w:val="auto"/>
          <w:sz w:val="22"/>
          <w:szCs w:val="22"/>
        </w:rPr>
      </w:pPr>
      <w:r>
        <w:rPr>
          <w:rFonts w:hint="eastAsia" w:ascii="仿宋" w:hAnsi="仿宋" w:eastAsia="仿宋" w:cs="仿宋"/>
          <w:bCs/>
          <w:color w:val="auto"/>
          <w:sz w:val="22"/>
          <w:szCs w:val="22"/>
        </w:rPr>
        <w:t>本合同所提供的服务项目内容：</w:t>
      </w:r>
      <w:r>
        <w:rPr>
          <w:rFonts w:hint="eastAsia" w:ascii="仿宋" w:hAnsi="仿宋" w:eastAsia="仿宋" w:cs="仿宋"/>
          <w:bCs/>
          <w:color w:val="auto"/>
          <w:sz w:val="22"/>
          <w:szCs w:val="22"/>
          <w:u w:val="single"/>
        </w:rPr>
        <w:t xml:space="preserve">                </w:t>
      </w:r>
      <w:r>
        <w:rPr>
          <w:rFonts w:hint="eastAsia" w:ascii="仿宋" w:hAnsi="仿宋" w:eastAsia="仿宋" w:cs="仿宋"/>
          <w:bCs/>
          <w:color w:val="auto"/>
          <w:sz w:val="22"/>
          <w:szCs w:val="22"/>
        </w:rPr>
        <w:t>（与响应文件中服务</w:t>
      </w:r>
      <w:r>
        <w:rPr>
          <w:rFonts w:hint="eastAsia" w:ascii="仿宋" w:hAnsi="仿宋" w:eastAsia="仿宋" w:cs="仿宋"/>
          <w:bCs/>
          <w:color w:val="auto"/>
          <w:sz w:val="22"/>
          <w:szCs w:val="22"/>
          <w:lang w:val="en-US" w:eastAsia="zh-CN"/>
        </w:rPr>
        <w:t>要求</w:t>
      </w:r>
      <w:r>
        <w:rPr>
          <w:rFonts w:hint="eastAsia" w:ascii="仿宋" w:hAnsi="仿宋" w:eastAsia="仿宋" w:cs="仿宋"/>
          <w:bCs/>
          <w:color w:val="auto"/>
          <w:sz w:val="22"/>
          <w:szCs w:val="22"/>
        </w:rPr>
        <w:t>一致）。</w:t>
      </w:r>
    </w:p>
    <w:p w14:paraId="33AEF83B">
      <w:pPr>
        <w:shd w:val="clear"/>
        <w:snapToGrid w:val="0"/>
        <w:spacing w:line="360" w:lineRule="auto"/>
        <w:ind w:firstLine="482"/>
        <w:rPr>
          <w:rFonts w:ascii="仿宋" w:hAnsi="仿宋" w:eastAsia="仿宋" w:cs="仿宋"/>
          <w:bCs/>
          <w:color w:val="auto"/>
          <w:sz w:val="22"/>
          <w:szCs w:val="22"/>
        </w:rPr>
      </w:pPr>
      <w:r>
        <w:rPr>
          <w:rFonts w:hint="eastAsia" w:ascii="仿宋" w:hAnsi="仿宋" w:eastAsia="仿宋" w:cs="仿宋"/>
          <w:bCs/>
          <w:color w:val="auto"/>
          <w:sz w:val="22"/>
          <w:szCs w:val="22"/>
        </w:rPr>
        <w:t>1、</w:t>
      </w:r>
      <w:r>
        <w:rPr>
          <w:rFonts w:hint="eastAsia" w:ascii="仿宋" w:hAnsi="仿宋" w:eastAsia="仿宋" w:cs="仿宋"/>
          <w:bCs/>
          <w:color w:val="auto"/>
          <w:sz w:val="22"/>
          <w:szCs w:val="22"/>
          <w:lang w:val="en-US" w:eastAsia="zh-CN"/>
        </w:rPr>
        <w:t>服务期限</w:t>
      </w:r>
      <w:r>
        <w:rPr>
          <w:rFonts w:hint="eastAsia" w:ascii="仿宋" w:hAnsi="仿宋" w:eastAsia="仿宋" w:cs="仿宋"/>
          <w:bCs/>
          <w:color w:val="auto"/>
          <w:sz w:val="22"/>
          <w:szCs w:val="22"/>
        </w:rPr>
        <w:t>：</w:t>
      </w:r>
      <w:r>
        <w:rPr>
          <w:rFonts w:hint="eastAsia" w:ascii="仿宋" w:hAnsi="仿宋" w:eastAsia="仿宋" w:cs="仿宋"/>
          <w:bCs/>
          <w:color w:val="auto"/>
          <w:sz w:val="22"/>
          <w:szCs w:val="22"/>
          <w:u w:val="single"/>
        </w:rPr>
        <w:t xml:space="preserve">                                </w:t>
      </w:r>
      <w:r>
        <w:rPr>
          <w:rFonts w:hint="eastAsia" w:ascii="仿宋" w:hAnsi="仿宋" w:eastAsia="仿宋" w:cs="仿宋"/>
          <w:bCs/>
          <w:color w:val="auto"/>
          <w:sz w:val="22"/>
          <w:szCs w:val="22"/>
        </w:rPr>
        <w:t>。</w:t>
      </w:r>
    </w:p>
    <w:p w14:paraId="34584F81">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w:t>
      </w:r>
    </w:p>
    <w:p w14:paraId="021394B6">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第四条 服务费用</w:t>
      </w:r>
    </w:p>
    <w:p w14:paraId="4A5B1D0C">
      <w:pPr>
        <w:shd w:val="clear"/>
        <w:autoSpaceDE w:val="0"/>
        <w:autoSpaceDN w:val="0"/>
        <w:adjustRightInd w:val="0"/>
        <w:snapToGrid w:val="0"/>
        <w:spacing w:line="360" w:lineRule="auto"/>
        <w:ind w:firstLine="440" w:firstLineChars="200"/>
        <w:jc w:val="left"/>
        <w:outlineLvl w:val="0"/>
        <w:rPr>
          <w:rFonts w:hint="default" w:ascii="仿宋" w:hAnsi="仿宋" w:eastAsia="仿宋" w:cs="仿宋"/>
          <w:bCs/>
          <w:color w:val="auto"/>
          <w:sz w:val="22"/>
          <w:szCs w:val="22"/>
          <w:lang w:val="en-US" w:eastAsia="zh-CN"/>
        </w:rPr>
      </w:pPr>
      <w:r>
        <w:rPr>
          <w:rFonts w:hint="eastAsia" w:ascii="仿宋" w:hAnsi="仿宋" w:eastAsia="仿宋" w:cs="仿宋"/>
          <w:bCs/>
          <w:color w:val="auto"/>
          <w:sz w:val="22"/>
          <w:szCs w:val="22"/>
        </w:rPr>
        <w:t>1、服务费用为人民币大写：</w:t>
      </w:r>
      <w:r>
        <w:rPr>
          <w:rFonts w:hint="eastAsia" w:ascii="仿宋" w:hAnsi="仿宋" w:eastAsia="仿宋" w:cs="仿宋"/>
          <w:bCs/>
          <w:color w:val="auto"/>
          <w:sz w:val="22"/>
          <w:szCs w:val="22"/>
          <w:u w:val="single"/>
        </w:rPr>
        <w:t xml:space="preserve">        </w:t>
      </w:r>
      <w:r>
        <w:rPr>
          <w:rFonts w:hint="eastAsia" w:ascii="仿宋" w:hAnsi="仿宋" w:eastAsia="仿宋" w:cs="仿宋"/>
          <w:bCs/>
          <w:color w:val="auto"/>
          <w:sz w:val="22"/>
          <w:szCs w:val="22"/>
        </w:rPr>
        <w:t>元， RMB¥</w:t>
      </w:r>
      <w:r>
        <w:rPr>
          <w:rFonts w:hint="eastAsia" w:ascii="仿宋" w:hAnsi="仿宋" w:eastAsia="仿宋" w:cs="仿宋"/>
          <w:bCs/>
          <w:color w:val="auto"/>
          <w:sz w:val="22"/>
          <w:szCs w:val="22"/>
          <w:u w:val="single"/>
        </w:rPr>
        <w:t xml:space="preserve">       </w:t>
      </w:r>
      <w:r>
        <w:rPr>
          <w:rFonts w:hint="eastAsia" w:ascii="仿宋" w:hAnsi="仿宋" w:eastAsia="仿宋" w:cs="仿宋"/>
          <w:bCs/>
          <w:color w:val="auto"/>
          <w:sz w:val="22"/>
          <w:szCs w:val="22"/>
        </w:rPr>
        <w:t xml:space="preserve"> 。</w:t>
      </w:r>
    </w:p>
    <w:p w14:paraId="2E1B116B">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2、本项目服务费用由以下组成：</w:t>
      </w:r>
    </w:p>
    <w:p w14:paraId="2DD9D1FB">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w:t>
      </w:r>
      <w:r>
        <w:rPr>
          <w:rFonts w:ascii="仿宋_GB2312" w:hAnsi="仿宋_GB2312" w:eastAsia="仿宋_GB2312" w:cs="仿宋_GB2312"/>
          <w:sz w:val="21"/>
        </w:rPr>
        <w:t>全县各级各类中小学、幼儿园校方责任保险费</w:t>
      </w:r>
      <w:r>
        <w:rPr>
          <w:rFonts w:hint="eastAsia" w:ascii="仿宋" w:hAnsi="仿宋" w:eastAsia="仿宋" w:cs="仿宋"/>
          <w:bCs/>
          <w:color w:val="auto"/>
          <w:sz w:val="22"/>
          <w:szCs w:val="22"/>
        </w:rPr>
        <w:t>；</w:t>
      </w:r>
    </w:p>
    <w:p w14:paraId="234A0545">
      <w:pPr>
        <w:shd w:val="clear"/>
        <w:autoSpaceDE w:val="0"/>
        <w:autoSpaceDN w:val="0"/>
        <w:adjustRightInd w:val="0"/>
        <w:snapToGrid w:val="0"/>
        <w:spacing w:line="360" w:lineRule="auto"/>
        <w:ind w:firstLine="440" w:firstLineChars="200"/>
        <w:jc w:val="left"/>
        <w:outlineLvl w:val="0"/>
        <w:rPr>
          <w:rFonts w:hint="eastAsia" w:ascii="仿宋" w:hAnsi="仿宋" w:eastAsia="仿宋_GB2312" w:cs="仿宋"/>
          <w:bCs/>
          <w:color w:val="auto"/>
          <w:sz w:val="22"/>
          <w:szCs w:val="22"/>
          <w:lang w:eastAsia="zh-CN"/>
        </w:rPr>
      </w:pPr>
      <w:r>
        <w:rPr>
          <w:rFonts w:hint="eastAsia" w:ascii="仿宋" w:hAnsi="仿宋" w:eastAsia="仿宋" w:cs="仿宋"/>
          <w:bCs/>
          <w:color w:val="auto"/>
          <w:sz w:val="22"/>
          <w:szCs w:val="22"/>
        </w:rPr>
        <w:t>（2）</w:t>
      </w:r>
      <w:r>
        <w:rPr>
          <w:rFonts w:ascii="仿宋_GB2312" w:hAnsi="仿宋_GB2312" w:eastAsia="仿宋_GB2312" w:cs="仿宋_GB2312"/>
          <w:sz w:val="21"/>
        </w:rPr>
        <w:t>教职工雇主责任保险费</w:t>
      </w:r>
      <w:r>
        <w:rPr>
          <w:rFonts w:hint="eastAsia" w:ascii="仿宋_GB2312" w:hAnsi="仿宋_GB2312" w:eastAsia="仿宋_GB2312" w:cs="仿宋_GB2312"/>
          <w:sz w:val="21"/>
          <w:lang w:eastAsia="zh-CN"/>
        </w:rPr>
        <w:t>；</w:t>
      </w:r>
    </w:p>
    <w:p w14:paraId="76C5EBDD">
      <w:pPr>
        <w:shd w:val="clear"/>
        <w:autoSpaceDE w:val="0"/>
        <w:autoSpaceDN w:val="0"/>
        <w:adjustRightInd w:val="0"/>
        <w:snapToGrid w:val="0"/>
        <w:spacing w:line="360" w:lineRule="auto"/>
        <w:ind w:firstLine="440" w:firstLineChars="200"/>
        <w:jc w:val="left"/>
        <w:outlineLvl w:val="0"/>
        <w:rPr>
          <w:rFonts w:hint="eastAsia" w:ascii="仿宋_GB2312" w:hAnsi="仿宋_GB2312" w:eastAsia="仿宋_GB2312" w:cs="仿宋_GB2312"/>
          <w:sz w:val="21"/>
          <w:lang w:eastAsia="zh-CN"/>
        </w:rPr>
      </w:pPr>
      <w:r>
        <w:rPr>
          <w:rFonts w:hint="eastAsia" w:ascii="仿宋" w:hAnsi="仿宋" w:eastAsia="仿宋" w:cs="仿宋"/>
          <w:bCs/>
          <w:color w:val="auto"/>
          <w:sz w:val="22"/>
          <w:szCs w:val="22"/>
        </w:rPr>
        <w:t>（</w:t>
      </w:r>
      <w:r>
        <w:rPr>
          <w:rFonts w:hint="eastAsia" w:ascii="仿宋" w:hAnsi="仿宋" w:eastAsia="仿宋" w:cs="仿宋"/>
          <w:bCs/>
          <w:color w:val="auto"/>
          <w:sz w:val="22"/>
          <w:szCs w:val="22"/>
          <w:lang w:val="en-US" w:eastAsia="zh-CN"/>
        </w:rPr>
        <w:t>3</w:t>
      </w:r>
      <w:r>
        <w:rPr>
          <w:rFonts w:hint="eastAsia" w:ascii="仿宋" w:hAnsi="仿宋" w:eastAsia="仿宋" w:cs="仿宋"/>
          <w:bCs/>
          <w:color w:val="auto"/>
          <w:sz w:val="22"/>
          <w:szCs w:val="22"/>
        </w:rPr>
        <w:t>）</w:t>
      </w:r>
      <w:r>
        <w:rPr>
          <w:rFonts w:ascii="仿宋_GB2312" w:hAnsi="仿宋_GB2312" w:eastAsia="仿宋_GB2312" w:cs="仿宋_GB2312"/>
          <w:sz w:val="21"/>
        </w:rPr>
        <w:t>校园食品安全责任保险</w:t>
      </w:r>
      <w:r>
        <w:rPr>
          <w:rFonts w:hint="eastAsia" w:ascii="仿宋_GB2312" w:hAnsi="仿宋_GB2312" w:eastAsia="仿宋_GB2312" w:cs="仿宋_GB2312"/>
          <w:sz w:val="21"/>
          <w:lang w:eastAsia="zh-CN"/>
        </w:rPr>
        <w:t>；</w:t>
      </w:r>
    </w:p>
    <w:p w14:paraId="6D86BC53">
      <w:pPr>
        <w:shd w:val="clear"/>
        <w:autoSpaceDE w:val="0"/>
        <w:autoSpaceDN w:val="0"/>
        <w:adjustRightInd w:val="0"/>
        <w:snapToGrid w:val="0"/>
        <w:spacing w:line="360" w:lineRule="auto"/>
        <w:ind w:firstLine="880" w:firstLineChars="400"/>
        <w:jc w:val="left"/>
        <w:outlineLvl w:val="0"/>
        <w:rPr>
          <w:rFonts w:hint="eastAsia" w:ascii="仿宋" w:hAnsi="仿宋" w:eastAsia="仿宋" w:cs="仿宋"/>
          <w:bCs/>
          <w:color w:val="auto"/>
          <w:sz w:val="22"/>
          <w:szCs w:val="22"/>
        </w:rPr>
      </w:pPr>
      <w:r>
        <w:rPr>
          <w:rFonts w:hint="eastAsia" w:ascii="仿宋" w:hAnsi="仿宋" w:eastAsia="仿宋" w:cs="仿宋"/>
          <w:bCs/>
          <w:color w:val="auto"/>
          <w:sz w:val="22"/>
          <w:szCs w:val="22"/>
        </w:rPr>
        <w:t>……</w:t>
      </w:r>
    </w:p>
    <w:p w14:paraId="602AF15E">
      <w:pPr>
        <w:shd w:val="clear"/>
        <w:autoSpaceDE w:val="0"/>
        <w:autoSpaceDN w:val="0"/>
        <w:adjustRightInd w:val="0"/>
        <w:snapToGrid w:val="0"/>
        <w:spacing w:line="360" w:lineRule="auto"/>
        <w:ind w:firstLine="660" w:firstLineChars="300"/>
        <w:jc w:val="left"/>
        <w:outlineLvl w:val="0"/>
        <w:rPr>
          <w:rFonts w:hint="default" w:eastAsia="仿宋"/>
          <w:lang w:val="en-US" w:eastAsia="zh-CN"/>
        </w:rPr>
      </w:pPr>
      <w:r>
        <w:rPr>
          <w:rFonts w:hint="eastAsia" w:ascii="仿宋" w:hAnsi="仿宋" w:eastAsia="仿宋" w:cs="仿宋"/>
          <w:bCs/>
          <w:color w:val="auto"/>
          <w:sz w:val="22"/>
          <w:szCs w:val="22"/>
          <w:lang w:val="en-US" w:eastAsia="zh-CN"/>
        </w:rPr>
        <w:t>服务费用均以报价下浮统一结算。</w:t>
      </w:r>
    </w:p>
    <w:p w14:paraId="78071190">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3、本合同执行期间</w:t>
      </w:r>
      <w:r>
        <w:rPr>
          <w:rFonts w:hint="eastAsia" w:ascii="仿宋" w:hAnsi="仿宋" w:eastAsia="仿宋" w:cs="仿宋"/>
          <w:b w:val="0"/>
          <w:bCs w:val="0"/>
          <w:color w:val="auto"/>
          <w:sz w:val="22"/>
          <w:szCs w:val="22"/>
          <w:lang w:val="en-US" w:eastAsia="zh-CN"/>
        </w:rPr>
        <w:t>保费</w:t>
      </w:r>
      <w:r>
        <w:rPr>
          <w:rFonts w:hint="eastAsia" w:ascii="仿宋" w:hAnsi="仿宋" w:eastAsia="仿宋" w:cs="仿宋"/>
          <w:bCs/>
          <w:color w:val="auto"/>
          <w:sz w:val="22"/>
          <w:szCs w:val="22"/>
          <w:lang w:val="en-US" w:eastAsia="zh-CN"/>
        </w:rPr>
        <w:t>单价</w:t>
      </w:r>
      <w:r>
        <w:rPr>
          <w:rFonts w:hint="eastAsia" w:ascii="仿宋" w:hAnsi="仿宋" w:eastAsia="仿宋" w:cs="仿宋"/>
          <w:bCs/>
          <w:color w:val="auto"/>
          <w:sz w:val="22"/>
          <w:szCs w:val="22"/>
        </w:rPr>
        <w:t>不变，甲方无须另向乙方支付本合同规定之外的其他任何费用。</w:t>
      </w:r>
    </w:p>
    <w:p w14:paraId="73B67D0E">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第五条  服务费支付方式</w:t>
      </w:r>
    </w:p>
    <w:p w14:paraId="0100B11E">
      <w:pPr>
        <w:keepNext w:val="0"/>
        <w:keepLines w:val="0"/>
        <w:pageBreakBefore w:val="0"/>
        <w:shd w:val="clear"/>
        <w:kinsoku/>
        <w:wordWrap/>
        <w:overflowPunct/>
        <w:topLinePunct w:val="0"/>
        <w:autoSpaceDE/>
        <w:autoSpaceDN/>
        <w:bidi w:val="0"/>
        <w:adjustRightInd w:val="0"/>
        <w:snapToGrid w:val="0"/>
        <w:spacing w:line="360" w:lineRule="auto"/>
        <w:ind w:left="0" w:firstLine="440" w:firstLineChars="200"/>
        <w:textAlignment w:val="auto"/>
        <w:rPr>
          <w:rFonts w:hint="eastAsia" w:ascii="仿宋" w:hAnsi="仿宋" w:eastAsia="仿宋" w:cs="仿宋"/>
          <w:i w:val="0"/>
          <w:iCs w:val="0"/>
          <w:caps w:val="0"/>
          <w:color w:val="auto"/>
          <w:spacing w:val="0"/>
          <w:sz w:val="22"/>
          <w:szCs w:val="22"/>
          <w:shd w:val="clear" w:fill="FFFFFF"/>
          <w:lang w:val="en-US" w:eastAsia="zh-CN"/>
        </w:rPr>
      </w:pPr>
      <w:r>
        <w:rPr>
          <w:rFonts w:hint="eastAsia" w:ascii="仿宋" w:hAnsi="仿宋" w:eastAsia="仿宋" w:cs="仿宋"/>
          <w:color w:val="auto"/>
          <w:kern w:val="2"/>
          <w:sz w:val="22"/>
          <w:szCs w:val="22"/>
          <w:highlight w:val="none"/>
          <w:lang w:val="en-US" w:eastAsia="zh-CN"/>
        </w:rPr>
        <w:t>达到付款条件</w:t>
      </w:r>
      <w:r>
        <w:rPr>
          <w:rFonts w:hint="eastAsia" w:ascii="仿宋" w:hAnsi="仿宋" w:eastAsia="仿宋" w:cs="仿宋"/>
          <w:color w:val="auto"/>
          <w:kern w:val="2"/>
          <w:sz w:val="22"/>
          <w:szCs w:val="22"/>
          <w:highlight w:val="none"/>
          <w:lang w:eastAsia="zh-CN"/>
        </w:rPr>
        <w:t>后，采购人</w:t>
      </w:r>
      <w:r>
        <w:rPr>
          <w:rFonts w:hint="eastAsia" w:ascii="仿宋" w:hAnsi="仿宋" w:eastAsia="仿宋" w:cs="仿宋"/>
          <w:color w:val="000000" w:themeColor="text1"/>
          <w:kern w:val="2"/>
          <w:sz w:val="22"/>
          <w:szCs w:val="22"/>
          <w:highlight w:val="none"/>
          <w:lang w:val="en-US" w:eastAsia="zh-CN"/>
          <w14:textFill>
            <w14:solidFill>
              <w14:schemeClr w14:val="tx1"/>
            </w14:solidFill>
          </w14:textFill>
        </w:rPr>
        <w:t>50</w:t>
      </w:r>
      <w:r>
        <w:rPr>
          <w:rFonts w:hint="eastAsia" w:ascii="仿宋" w:hAnsi="仿宋" w:eastAsia="仿宋" w:cs="仿宋"/>
          <w:color w:val="auto"/>
          <w:kern w:val="2"/>
          <w:sz w:val="22"/>
          <w:szCs w:val="22"/>
          <w:highlight w:val="none"/>
          <w:lang w:eastAsia="zh-CN"/>
        </w:rPr>
        <w:t>日内结清合同价款。</w:t>
      </w:r>
      <w:r>
        <w:rPr>
          <w:rFonts w:hint="eastAsia" w:ascii="仿宋" w:hAnsi="仿宋" w:eastAsia="仿宋" w:cs="仿宋"/>
          <w:color w:val="auto"/>
          <w:sz w:val="22"/>
          <w:szCs w:val="22"/>
          <w:highlight w:val="none"/>
          <w:lang w:eastAsia="zh-CN"/>
        </w:rPr>
        <w:t>（</w:t>
      </w:r>
      <w:r>
        <w:rPr>
          <w:rFonts w:hint="eastAsia" w:ascii="仿宋" w:hAnsi="仿宋" w:eastAsia="仿宋" w:cs="仿宋"/>
          <w:b w:val="0"/>
          <w:bCs w:val="0"/>
          <w:color w:val="auto"/>
          <w:sz w:val="22"/>
          <w:szCs w:val="22"/>
          <w:lang w:val="en-US" w:eastAsia="zh-CN"/>
        </w:rPr>
        <w:t>最终结算价款以以投保时实际统计人数✖报价下浮后保费</w:t>
      </w:r>
      <w:r>
        <w:rPr>
          <w:rFonts w:hint="eastAsia" w:ascii="仿宋" w:hAnsi="仿宋" w:eastAsia="仿宋" w:cs="仿宋"/>
          <w:color w:val="auto"/>
          <w:sz w:val="22"/>
          <w:szCs w:val="22"/>
          <w:highlight w:val="none"/>
          <w:lang w:eastAsia="zh-CN"/>
        </w:rPr>
        <w:t>）</w:t>
      </w:r>
    </w:p>
    <w:p w14:paraId="1C870ED6">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第六条   知识产权</w:t>
      </w:r>
    </w:p>
    <w:p w14:paraId="3AEF591A">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乙方应保证所提供的服务或其任何一部分均不会侵犯任何第三方的专利权、商标权或著作权。</w:t>
      </w:r>
    </w:p>
    <w:p w14:paraId="7ABB4DCF">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第七条  无产权瑕疵条款</w:t>
      </w:r>
    </w:p>
    <w:p w14:paraId="2C89FC44">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乙方保证所提供的服务的所有权完全属于乙方且无任何抵押、查封等产权瑕疵。如有产权瑕疵的，视为乙方违约。乙方应负担由此而产生的一切损失。</w:t>
      </w:r>
    </w:p>
    <w:p w14:paraId="1A38F9EB">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第八条  甲方的权利和义务</w:t>
      </w:r>
    </w:p>
    <w:p w14:paraId="25356CD5">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4B7C564F">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2、甲方有权依据双方签订的考评办法对乙方提供的服务进行定期考评。</w:t>
      </w:r>
    </w:p>
    <w:p w14:paraId="10E05B25">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3、负责检查监督乙方管理工作的实施及制度的执行情况。</w:t>
      </w:r>
    </w:p>
    <w:p w14:paraId="1AF08FA1">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4、根据本合同规定，按时向乙方支付应付服务费用。</w:t>
      </w:r>
    </w:p>
    <w:p w14:paraId="0CB72E3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5、国家法律、法规所规定由甲方承担的其它责任。</w:t>
      </w:r>
    </w:p>
    <w:p w14:paraId="7CD03772">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第九条  乙方的权利和义务</w:t>
      </w:r>
    </w:p>
    <w:p w14:paraId="33F27E2B">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1、对本合同规定的委托服务范围内的项目享有管理权及服务义务。</w:t>
      </w:r>
    </w:p>
    <w:p w14:paraId="7688D648">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2、根据本合同的规定向甲方收取相关服务费用，并有权在本项目管理范围内管理及合理使用。</w:t>
      </w:r>
    </w:p>
    <w:p w14:paraId="7E4A0D1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3、及时向甲方通告本项目服务范围内有关服务的重大事项，及时配合处理投诉。</w:t>
      </w:r>
    </w:p>
    <w:p w14:paraId="33C928F9">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4、接受项目行业管理部门及政府有关部门的指导，接受甲方的监督。</w:t>
      </w:r>
    </w:p>
    <w:p w14:paraId="303CA538">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5、国家法律、法规所规定由乙方承担的其它责任。</w:t>
      </w:r>
    </w:p>
    <w:p w14:paraId="0F08C1DB">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第十条  违约责任</w:t>
      </w:r>
    </w:p>
    <w:p w14:paraId="56680879">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1、甲乙双方必须遵守本合同并执行合同中的各项规定，保证本合同的正常履行。</w:t>
      </w:r>
    </w:p>
    <w:p w14:paraId="151A1DE9">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0649E16">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第十一条  不可抗力事件处理</w:t>
      </w:r>
    </w:p>
    <w:p w14:paraId="4F17176F">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1、在合同有效期内，任何一方因不可抗力事件导致不能履行合同，则合同履行期可延长，其延长期与不可抗力影响期相同。</w:t>
      </w:r>
    </w:p>
    <w:p w14:paraId="2F907634">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2、不可抗力事件发生后，应立即通知对方，并寄送有关权威机构出具的证明。</w:t>
      </w:r>
    </w:p>
    <w:p w14:paraId="6429F48D">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3、不可抗力事件延续XX天以上，双方应通过友好协商，确定是否继续履行合同。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8FBF37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bookmarkStart w:id="19" w:name="_Toc251768867"/>
      <w:bookmarkStart w:id="20" w:name="_Toc232492933"/>
      <w:bookmarkStart w:id="21" w:name="_Toc286993792"/>
      <w:bookmarkStart w:id="22" w:name="_Toc211854454"/>
      <w:bookmarkStart w:id="23" w:name="_Toc211911353"/>
      <w:bookmarkStart w:id="24" w:name="_Toc225244857"/>
      <w:bookmarkStart w:id="25" w:name="_Toc225654649"/>
      <w:bookmarkStart w:id="26" w:name="_Toc239568423"/>
      <w:bookmarkStart w:id="27" w:name="_Toc237145411"/>
      <w:bookmarkStart w:id="28" w:name="_Toc247334846"/>
      <w:bookmarkStart w:id="29" w:name="_Toc212019599"/>
      <w:bookmarkStart w:id="30" w:name="_Toc225670756"/>
      <w:bookmarkStart w:id="31" w:name="_Toc241833908"/>
      <w:bookmarkStart w:id="32" w:name="_Toc239233919"/>
      <w:bookmarkStart w:id="33" w:name="_Toc185395254"/>
      <w:bookmarkStart w:id="34" w:name="_Toc238984980"/>
      <w:r>
        <w:rPr>
          <w:rFonts w:hint="eastAsia" w:ascii="仿宋" w:hAnsi="仿宋" w:eastAsia="仿宋" w:cs="仿宋"/>
          <w:bCs/>
          <w:color w:val="auto"/>
          <w:sz w:val="22"/>
          <w:szCs w:val="22"/>
        </w:rPr>
        <w:t>第十二条  合同的变更和终止</w:t>
      </w:r>
    </w:p>
    <w:p w14:paraId="0CDE26EF">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除《中华人民共和国政府采购法》第49条、第50条第二款规定的情形外，本合同一经签订，甲乙双方不得擅自变更、中止或终止合同。</w:t>
      </w:r>
    </w:p>
    <w:p w14:paraId="31DC4D98">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第十三条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E59AD3">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1、在执行本合同中发生的或与本合同有关的争端，双方应通过友好协商解决，经协商在XX天内不能达成协议时，则采取以下第____种方式解决争议：</w:t>
      </w:r>
    </w:p>
    <w:p w14:paraId="399B9B46">
      <w:pPr>
        <w:shd w:val="clear"/>
        <w:autoSpaceDE w:val="0"/>
        <w:autoSpaceDN w:val="0"/>
        <w:adjustRightInd w:val="0"/>
        <w:snapToGrid w:val="0"/>
        <w:spacing w:line="360" w:lineRule="auto"/>
        <w:ind w:firstLine="220" w:firstLineChars="1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（1）向甲方所在地有管辖权的人民法院提起诉讼；</w:t>
      </w:r>
    </w:p>
    <w:p w14:paraId="794A048A">
      <w:pPr>
        <w:shd w:val="clear"/>
        <w:autoSpaceDE w:val="0"/>
        <w:autoSpaceDN w:val="0"/>
        <w:adjustRightInd w:val="0"/>
        <w:snapToGrid w:val="0"/>
        <w:spacing w:line="360" w:lineRule="auto"/>
        <w:ind w:firstLine="220" w:firstLineChars="1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（2）向_</w:t>
      </w:r>
      <w:r>
        <w:rPr>
          <w:rFonts w:hint="eastAsia" w:ascii="仿宋" w:hAnsi="仿宋" w:eastAsia="仿宋" w:cs="仿宋"/>
          <w:bCs/>
          <w:color w:val="auto"/>
          <w:sz w:val="22"/>
          <w:szCs w:val="22"/>
          <w:u w:val="single"/>
          <w:lang w:val="en-US" w:eastAsia="zh-CN"/>
        </w:rPr>
        <w:t>汉台区</w:t>
      </w:r>
      <w:r>
        <w:rPr>
          <w:rFonts w:hint="eastAsia" w:ascii="仿宋" w:hAnsi="仿宋" w:eastAsia="仿宋" w:cs="仿宋"/>
          <w:bCs/>
          <w:color w:val="auto"/>
          <w:sz w:val="22"/>
          <w:szCs w:val="22"/>
        </w:rPr>
        <w:t>_仲裁委员会按其仲裁规则申请仲裁。</w:t>
      </w:r>
    </w:p>
    <w:p w14:paraId="57C322E2">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2、在仲裁期间，本合同应继续履行。</w:t>
      </w:r>
    </w:p>
    <w:p w14:paraId="1664C4A9">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bookmarkStart w:id="35" w:name="_Toc185395255"/>
      <w:bookmarkStart w:id="36" w:name="_Toc225670757"/>
      <w:bookmarkStart w:id="37" w:name="_Toc282696231"/>
      <w:bookmarkStart w:id="38" w:name="_Toc212019600"/>
      <w:bookmarkStart w:id="39" w:name="_Toc286993793"/>
      <w:bookmarkStart w:id="40" w:name="_Toc241833909"/>
      <w:bookmarkStart w:id="41" w:name="_Toc232492934"/>
      <w:bookmarkStart w:id="42" w:name="_Toc225654650"/>
      <w:bookmarkStart w:id="43" w:name="_Toc238984981"/>
      <w:bookmarkStart w:id="44" w:name="_Toc225244858"/>
      <w:bookmarkStart w:id="45" w:name="_Toc237145412"/>
      <w:bookmarkStart w:id="46" w:name="_Toc239233920"/>
      <w:bookmarkStart w:id="47" w:name="_Toc211911354"/>
      <w:bookmarkStart w:id="48" w:name="_Toc283019219"/>
      <w:bookmarkStart w:id="49" w:name="_Toc211854455"/>
      <w:bookmarkStart w:id="50" w:name="_Toc239568424"/>
      <w:bookmarkStart w:id="51" w:name="_Toc251768868"/>
      <w:bookmarkStart w:id="52" w:name="_Toc247334847"/>
      <w:r>
        <w:rPr>
          <w:rFonts w:hint="eastAsia" w:ascii="仿宋" w:hAnsi="仿宋" w:eastAsia="仿宋" w:cs="仿宋"/>
          <w:bCs/>
          <w:color w:val="auto"/>
          <w:sz w:val="22"/>
          <w:szCs w:val="22"/>
        </w:rPr>
        <w:t>第十四条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仿宋" w:hAnsi="仿宋" w:eastAsia="仿宋" w:cs="仿宋"/>
          <w:bCs/>
          <w:color w:val="auto"/>
          <w:sz w:val="22"/>
          <w:szCs w:val="22"/>
        </w:rPr>
        <w:t>生效及其他</w:t>
      </w:r>
    </w:p>
    <w:p w14:paraId="3C778F01">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1、合同经双方法定代表人或授权委托代理人签字并加盖单位公章后生效。</w:t>
      </w:r>
    </w:p>
    <w:p w14:paraId="728F98E0">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2、合同执行中涉及采购资金和采购内容修改或补充的，须经政府采购监管部门审批，并签书面补充协议报政府采购监督管理部门备案，方可作为主合同不可分割的一部分。</w:t>
      </w:r>
    </w:p>
    <w:p w14:paraId="28912D9F">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3、本合同一式XX份，自双方签章之日起起效。甲方XX份，乙方XX份，具有同等法律效力。</w:t>
      </w:r>
    </w:p>
    <w:p w14:paraId="3664589C">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第十五条  附件</w:t>
      </w:r>
    </w:p>
    <w:p w14:paraId="6F25EE3A">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1、项目竞争性磋商文件</w:t>
      </w:r>
    </w:p>
    <w:p w14:paraId="15D0D6C7">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2、项目修改澄清文件</w:t>
      </w:r>
    </w:p>
    <w:p w14:paraId="6ACDC73D">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3、项目响应文件</w:t>
      </w:r>
    </w:p>
    <w:p w14:paraId="6C8C87D2">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4、成交通知书</w:t>
      </w:r>
    </w:p>
    <w:p w14:paraId="719ECB07">
      <w:pPr>
        <w:shd w:val="clear"/>
        <w:autoSpaceDE w:val="0"/>
        <w:autoSpaceDN w:val="0"/>
        <w:adjustRightInd w:val="0"/>
        <w:snapToGrid w:val="0"/>
        <w:spacing w:line="360" w:lineRule="auto"/>
        <w:ind w:firstLine="440" w:firstLineChars="200"/>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5、其他</w:t>
      </w:r>
    </w:p>
    <w:p w14:paraId="6CE1BA14">
      <w:pPr>
        <w:shd w:val="clear"/>
        <w:rPr>
          <w:rFonts w:ascii="仿宋" w:hAnsi="仿宋" w:eastAsia="仿宋" w:cs="仿宋"/>
          <w:bCs/>
          <w:color w:val="auto"/>
          <w:sz w:val="22"/>
          <w:szCs w:val="22"/>
        </w:rPr>
      </w:pPr>
    </w:p>
    <w:p w14:paraId="49579591">
      <w:pPr>
        <w:shd w:val="clear"/>
        <w:rPr>
          <w:rFonts w:ascii="仿宋" w:hAnsi="仿宋" w:eastAsia="仿宋" w:cs="仿宋"/>
          <w:bCs/>
          <w:color w:val="auto"/>
          <w:sz w:val="22"/>
          <w:szCs w:val="22"/>
        </w:rPr>
      </w:pPr>
    </w:p>
    <w:p w14:paraId="67323F26">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 xml:space="preserve">甲方：   （盖章）   </w:t>
      </w:r>
      <w:r>
        <w:rPr>
          <w:rFonts w:hint="eastAsia" w:ascii="仿宋" w:hAnsi="仿宋" w:eastAsia="仿宋" w:cs="仿宋"/>
          <w:bCs/>
          <w:color w:val="auto"/>
          <w:sz w:val="22"/>
          <w:szCs w:val="22"/>
        </w:rPr>
        <w:tab/>
      </w:r>
      <w:r>
        <w:rPr>
          <w:rFonts w:hint="eastAsia" w:ascii="仿宋" w:hAnsi="仿宋" w:eastAsia="仿宋" w:cs="仿宋"/>
          <w:bCs/>
          <w:color w:val="auto"/>
          <w:sz w:val="22"/>
          <w:szCs w:val="22"/>
        </w:rPr>
        <w:tab/>
      </w:r>
      <w:r>
        <w:rPr>
          <w:rFonts w:hint="eastAsia" w:ascii="仿宋" w:hAnsi="仿宋" w:eastAsia="仿宋" w:cs="仿宋"/>
          <w:bCs/>
          <w:color w:val="auto"/>
          <w:sz w:val="22"/>
          <w:szCs w:val="22"/>
        </w:rPr>
        <w:tab/>
      </w:r>
      <w:r>
        <w:rPr>
          <w:rFonts w:hint="eastAsia" w:ascii="仿宋" w:hAnsi="仿宋" w:eastAsia="仿宋" w:cs="仿宋"/>
          <w:bCs/>
          <w:color w:val="auto"/>
          <w:sz w:val="22"/>
          <w:szCs w:val="22"/>
        </w:rPr>
        <w:t xml:space="preserve">       乙方：   （盖章）</w:t>
      </w:r>
    </w:p>
    <w:p w14:paraId="336E3BB7">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法定代表人（授权代表）：              法定代表人（授权代表）：</w:t>
      </w:r>
    </w:p>
    <w:p w14:paraId="2E52E759">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地    址：                            地    址：</w:t>
      </w:r>
    </w:p>
    <w:p w14:paraId="3F175665">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开户银行：                            开户银行：</w:t>
      </w:r>
    </w:p>
    <w:p w14:paraId="2E7FB771">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账号：                                账号：</w:t>
      </w:r>
    </w:p>
    <w:p w14:paraId="76028AC1">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电    话：                            电    话：</w:t>
      </w:r>
    </w:p>
    <w:p w14:paraId="50274180">
      <w:pPr>
        <w:shd w:val="clear"/>
        <w:autoSpaceDE w:val="0"/>
        <w:autoSpaceDN w:val="0"/>
        <w:adjustRightInd w:val="0"/>
        <w:snapToGrid w:val="0"/>
        <w:spacing w:line="360" w:lineRule="auto"/>
        <w:jc w:val="left"/>
        <w:outlineLvl w:val="0"/>
        <w:rPr>
          <w:rFonts w:ascii="仿宋" w:hAnsi="仿宋" w:eastAsia="仿宋" w:cs="仿宋"/>
          <w:bCs/>
          <w:color w:val="auto"/>
          <w:sz w:val="22"/>
          <w:szCs w:val="22"/>
        </w:rPr>
      </w:pPr>
      <w:r>
        <w:rPr>
          <w:rFonts w:hint="eastAsia" w:ascii="仿宋" w:hAnsi="仿宋" w:eastAsia="仿宋" w:cs="仿宋"/>
          <w:bCs/>
          <w:color w:val="auto"/>
          <w:sz w:val="22"/>
          <w:szCs w:val="22"/>
        </w:rPr>
        <w:t>传    真：                            传    真：</w:t>
      </w:r>
    </w:p>
    <w:p w14:paraId="3C220CED">
      <w:pPr>
        <w:shd w:val="clear"/>
        <w:autoSpaceDE w:val="0"/>
        <w:autoSpaceDN w:val="0"/>
        <w:adjustRightInd w:val="0"/>
        <w:snapToGrid w:val="0"/>
        <w:spacing w:line="360" w:lineRule="auto"/>
        <w:jc w:val="left"/>
        <w:outlineLvl w:val="0"/>
      </w:pPr>
      <w:r>
        <w:rPr>
          <w:rFonts w:hint="eastAsia" w:ascii="仿宋" w:hAnsi="仿宋" w:eastAsia="仿宋" w:cs="仿宋"/>
          <w:bCs/>
          <w:color w:val="auto"/>
          <w:sz w:val="22"/>
          <w:szCs w:val="22"/>
        </w:rPr>
        <w:t xml:space="preserve">签约日期：  年  月  日 </w:t>
      </w:r>
      <w:r>
        <w:rPr>
          <w:rFonts w:hint="eastAsia" w:ascii="仿宋" w:hAnsi="仿宋" w:eastAsia="仿宋" w:cs="仿宋"/>
          <w:bCs/>
          <w:color w:val="auto"/>
          <w:sz w:val="22"/>
          <w:szCs w:val="22"/>
        </w:rPr>
        <w:tab/>
      </w:r>
      <w:r>
        <w:rPr>
          <w:rFonts w:hint="eastAsia" w:ascii="仿宋" w:hAnsi="仿宋" w:eastAsia="仿宋" w:cs="仿宋"/>
          <w:bCs/>
          <w:color w:val="auto"/>
          <w:sz w:val="22"/>
          <w:szCs w:val="22"/>
        </w:rPr>
        <w:tab/>
      </w:r>
      <w:r>
        <w:rPr>
          <w:rFonts w:hint="eastAsia" w:ascii="仿宋" w:hAnsi="仿宋" w:eastAsia="仿宋" w:cs="仿宋"/>
          <w:bCs/>
          <w:color w:val="auto"/>
          <w:sz w:val="22"/>
          <w:szCs w:val="22"/>
        </w:rPr>
        <w:tab/>
      </w:r>
      <w:r>
        <w:rPr>
          <w:rFonts w:hint="eastAsia" w:ascii="仿宋" w:hAnsi="仿宋" w:eastAsia="仿宋" w:cs="仿宋"/>
          <w:bCs/>
          <w:color w:val="auto"/>
          <w:sz w:val="22"/>
          <w:szCs w:val="22"/>
        </w:rPr>
        <w:t xml:space="preserve">    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A7BD3"/>
    <w:rsid w:val="056B1570"/>
    <w:rsid w:val="0A8821C9"/>
    <w:rsid w:val="0C4D7C21"/>
    <w:rsid w:val="11FA43A7"/>
    <w:rsid w:val="143D1047"/>
    <w:rsid w:val="17E56F60"/>
    <w:rsid w:val="1AE16104"/>
    <w:rsid w:val="1EB15DEE"/>
    <w:rsid w:val="1F190E61"/>
    <w:rsid w:val="204607B7"/>
    <w:rsid w:val="23294AEC"/>
    <w:rsid w:val="25AC730F"/>
    <w:rsid w:val="26301CEE"/>
    <w:rsid w:val="290304F0"/>
    <w:rsid w:val="2B62123C"/>
    <w:rsid w:val="39AE31FE"/>
    <w:rsid w:val="3AFD61EB"/>
    <w:rsid w:val="45085EB8"/>
    <w:rsid w:val="46496788"/>
    <w:rsid w:val="4F351F9F"/>
    <w:rsid w:val="546724CF"/>
    <w:rsid w:val="54EB4EAE"/>
    <w:rsid w:val="554271C4"/>
    <w:rsid w:val="5813309A"/>
    <w:rsid w:val="58975A79"/>
    <w:rsid w:val="597C07CB"/>
    <w:rsid w:val="59A044B9"/>
    <w:rsid w:val="63BA261B"/>
    <w:rsid w:val="691C1682"/>
    <w:rsid w:val="6BDD334B"/>
    <w:rsid w:val="6BFB1A23"/>
    <w:rsid w:val="6C4038DA"/>
    <w:rsid w:val="6C7F4402"/>
    <w:rsid w:val="711A294B"/>
    <w:rsid w:val="75610B49"/>
    <w:rsid w:val="7F273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4">
    <w:name w:val="Normal (Web)"/>
    <w:basedOn w:val="1"/>
    <w:unhideWhenUsed/>
    <w:qFormat/>
    <w:uiPriority w:val="99"/>
    <w:pPr>
      <w:jc w:val="left"/>
    </w:pPr>
    <w:rPr>
      <w:color w:val="3D3D3D"/>
      <w:kern w:val="0"/>
      <w:sz w:val="24"/>
    </w:rPr>
  </w:style>
  <w:style w:type="paragraph" w:styleId="5">
    <w:name w:val="Body Text First Indent 2"/>
    <w:basedOn w:val="3"/>
    <w:next w:val="1"/>
    <w:qFormat/>
    <w:uiPriority w:val="0"/>
    <w:pPr>
      <w:spacing w:line="240" w:lineRule="auto"/>
      <w:ind w:left="420" w:leftChars="200" w:firstLine="420" w:firstLineChars="200"/>
    </w:pPr>
    <w:rPr>
      <w:rFonts w:ascii="Times New Roman"/>
      <w:sz w:val="21"/>
      <w:szCs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1805</Words>
  <Characters>1846</Characters>
  <Lines>0</Lines>
  <Paragraphs>0</Paragraphs>
  <TotalTime>3</TotalTime>
  <ScaleCrop>false</ScaleCrop>
  <LinksUpToDate>false</LinksUpToDate>
  <CharactersWithSpaces>2163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2026-07-01T11:43:00Z</dcterms:created>
  <dc:creator>lenovo</dc:creator>
  <cp:lastModifiedBy>云朵-1</cp:lastModifiedBy>
  <dcterms:modified xsi:type="dcterms:W3CDTF">2026-08-10T13:07:04Z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eyJoZGlkIjoiMzAzZGVhZTIxZTczODgzZDMxOWRjMTZhMWViNGYzYTMiLCJ1c2VySWQiOiIzMTA0NjY2NjAifQ==</vt:lpwstr>
  </property>
  <property fmtid="{D5CDD505-2E9C-101B-9397-08002B2CF9AE}" pid="4" name="ICV">
    <vt:lpwstr>125C65001C7D4C63903D57538DFB9066_12</vt:lpwstr>
  </property>
</Properties>
</file>