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版本号：SXHT-(CS)20260301.1B120260511001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等驾坡市场监督管理所办公场所租赁(二次)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SXHT-(CS)20260301.1B1</w:t>
      </w:r>
      <w:r>
        <w:br/>
      </w:r>
      <w:r>
        <w:br/>
      </w:r>
      <w:r>
        <w:br/>
      </w:r>
    </w:p>
    <w:p>
      <w:pPr>
        <w:pStyle w:val="null3"/>
        <w:jc w:val="center"/>
        <w:outlineLvl w:val="2"/>
      </w:pPr>
      <w:r>
        <w:rPr>
          <w:rFonts w:ascii="仿宋_GB2312" w:hAnsi="仿宋_GB2312" w:cs="仿宋_GB2312" w:eastAsia="仿宋_GB2312"/>
          <w:sz w:val="28"/>
          <w:b/>
        </w:rPr>
        <w:t>西安市雁塔区市场监督管理局</w:t>
      </w:r>
    </w:p>
    <w:p>
      <w:pPr>
        <w:pStyle w:val="null3"/>
        <w:jc w:val="center"/>
        <w:outlineLvl w:val="2"/>
      </w:pPr>
      <w:r>
        <w:rPr>
          <w:rFonts w:ascii="仿宋_GB2312" w:hAnsi="仿宋_GB2312" w:cs="仿宋_GB2312" w:eastAsia="仿宋_GB2312"/>
          <w:sz w:val="28"/>
          <w:b/>
        </w:rPr>
        <w:t>陕西海堂项目管理咨询有限公司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陕西海堂项目管理咨询有限公司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西安市雁塔区市场监督管理局</w:t>
      </w:r>
      <w:r>
        <w:rPr>
          <w:rFonts w:ascii="仿宋_GB2312" w:hAnsi="仿宋_GB2312" w:cs="仿宋_GB2312" w:eastAsia="仿宋_GB2312"/>
        </w:rPr>
        <w:t>委托，拟对</w:t>
      </w:r>
      <w:r>
        <w:rPr>
          <w:rFonts w:ascii="仿宋_GB2312" w:hAnsi="仿宋_GB2312" w:cs="仿宋_GB2312" w:eastAsia="仿宋_GB2312"/>
        </w:rPr>
        <w:t>等驾坡市场监督管理所办公场所租赁(二次)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SXHT-(CS)20260301.1B1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等驾坡市场监督管理所办公场所租赁(二次)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承担雁塔区等驾坡所市场监督管理所办公使用，具体内容详见竞争性磋商文件。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采购包1（等驾坡市场监督管理所办公场所租赁）：属于专门面向中小企业采购。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2、法定代表人授权书：法定代表人授权书及身份证,被授权人须提供近半年内任意一个月的社保缴纳证明（法定代表人直接投标须提交法定代表人证明书及身份证）；</w:t>
      </w:r>
    </w:p>
    <w:p>
      <w:pPr>
        <w:pStyle w:val="null3"/>
      </w:pPr>
      <w:r>
        <w:rPr>
          <w:rFonts w:ascii="仿宋_GB2312" w:hAnsi="仿宋_GB2312" w:cs="仿宋_GB2312" w:eastAsia="仿宋_GB2312"/>
        </w:rPr>
        <w:t>3、财务状况报告：提供2024年度或2025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磋商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4、社会保障资金缴纳证明：供应商提供2025年9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p>
      <w:pPr>
        <w:pStyle w:val="null3"/>
      </w:pPr>
      <w:r>
        <w:rPr>
          <w:rFonts w:ascii="仿宋_GB2312" w:hAnsi="仿宋_GB2312" w:cs="仿宋_GB2312" w:eastAsia="仿宋_GB2312"/>
        </w:rPr>
        <w:t>5、税收缴纳证明：供应商提供2025年9月至今任意一个月的纳税证明或完税证明，纳税证明或完税证明上应有代收机构或税务机关的公章；成立时间至提交响应文件截止时间不足3个月的供应商，可提供成立之日起至投标截之日止的税收缴纳凭证（或银行缴费凭证），若无应纳税款，须提供税务机关盖章的零申报说明或无欠税证明；依法免税的供应商应提供相关文件证明位应提供相关文件证明；</w:t>
      </w:r>
    </w:p>
    <w:p>
      <w:pPr>
        <w:pStyle w:val="null3"/>
      </w:pPr>
      <w:r>
        <w:rPr>
          <w:rFonts w:ascii="仿宋_GB2312" w:hAnsi="仿宋_GB2312" w:cs="仿宋_GB2312" w:eastAsia="仿宋_GB2312"/>
        </w:rPr>
        <w:t>6、重大违法记录：参加政府采购活动前3年内经营活动中没有重大违法记录声明；</w:t>
      </w:r>
    </w:p>
    <w:p>
      <w:pPr>
        <w:pStyle w:val="null3"/>
      </w:pPr>
      <w:r>
        <w:rPr>
          <w:rFonts w:ascii="仿宋_GB2312" w:hAnsi="仿宋_GB2312" w:cs="仿宋_GB2312" w:eastAsia="仿宋_GB2312"/>
        </w:rPr>
        <w:t>7、信用中国：通过“信用中国”网站（www.creditchina.gov.cn/ ）和“中国政府采购网”（http://www.ccgp.gov.cn/）查询投标主体未被列入失信被执行人、重大税收失信主体、政府采购严重违法失信行为记录名单；</w:t>
      </w:r>
    </w:p>
    <w:p>
      <w:pPr>
        <w:pStyle w:val="null3"/>
      </w:pPr>
      <w:r>
        <w:rPr>
          <w:rFonts w:ascii="仿宋_GB2312" w:hAnsi="仿宋_GB2312" w:cs="仿宋_GB2312" w:eastAsia="仿宋_GB2312"/>
        </w:rPr>
        <w:t>8、承诺函：提供具有履行服务合同所必需的设备和专业技术能力的承诺函；</w:t>
      </w:r>
    </w:p>
    <w:p>
      <w:pPr>
        <w:pStyle w:val="null3"/>
      </w:pPr>
      <w:r>
        <w:rPr>
          <w:rFonts w:ascii="仿宋_GB2312" w:hAnsi="仿宋_GB2312" w:cs="仿宋_GB2312" w:eastAsia="仿宋_GB2312"/>
        </w:rPr>
        <w:t>9、控股、管理关系：单位负责人为同一人或者存在控股、管理关系的不同供应商，不得同时参加本项目采购活动；</w:t>
      </w:r>
    </w:p>
    <w:p>
      <w:pPr>
        <w:pStyle w:val="null3"/>
      </w:pPr>
      <w:r>
        <w:rPr>
          <w:rFonts w:ascii="仿宋_GB2312" w:hAnsi="仿宋_GB2312" w:cs="仿宋_GB2312" w:eastAsia="仿宋_GB2312"/>
        </w:rPr>
        <w:t>10、中小企业声明函：本项目专门面向中小企业采购（须提供中小企业声明函）。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雁塔区电子城街道电子二路60号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何扬阳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88236451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陕西海堂项目管理咨询有限公司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西安市雁塔区电子二路青松公寓二楼西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服务费按约定由成交供应商支付。2、招标代理服务费为依据&lt;&lt;招标代理服务收费管理暂行办法&gt;&gt;(计价格[2002]1980号)及&lt;&lt;关于降低部分建设项目收费标准规范收费行为等有关问题的通&gt;&gt;[2011]534号文件的规定标准计算，不足伍仟按伍仟元收取。3、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西安市雁塔区市场监督管理局</w:t>
      </w:r>
      <w:r>
        <w:rPr>
          <w:rFonts w:ascii="仿宋_GB2312" w:hAnsi="仿宋_GB2312" w:cs="仿宋_GB2312" w:eastAsia="仿宋_GB2312"/>
        </w:rPr>
        <w:t>和</w:t>
      </w:r>
      <w:r>
        <w:rPr>
          <w:rFonts w:ascii="仿宋_GB2312" w:hAnsi="仿宋_GB2312" w:cs="仿宋_GB2312" w:eastAsia="仿宋_GB2312"/>
        </w:rPr>
        <w:t>陕西海堂项目管理咨询有限公司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陕西海堂项目管理咨询有限公司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陕西海堂项目管理咨询有限公司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联系人：李姣</w:t>
      </w:r>
    </w:p>
    <w:p>
      <w:pPr>
        <w:pStyle w:val="null3"/>
      </w:pPr>
      <w:r>
        <w:rPr>
          <w:rFonts w:ascii="仿宋_GB2312" w:hAnsi="仿宋_GB2312" w:cs="仿宋_GB2312" w:eastAsia="仿宋_GB2312"/>
        </w:rPr>
        <w:t>联系电话：029-85266606</w:t>
      </w:r>
    </w:p>
    <w:p>
      <w:pPr>
        <w:pStyle w:val="null3"/>
      </w:pPr>
      <w:r>
        <w:rPr>
          <w:rFonts w:ascii="仿宋_GB2312" w:hAnsi="仿宋_GB2312" w:cs="仿宋_GB2312" w:eastAsia="仿宋_GB2312"/>
        </w:rPr>
        <w:t>地址：西安市雁塔区电子二路青松公寓二楼西</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承担雁塔区等驾坡所市场监督管理所办公使用，具体内容详见竞争性磋商文件。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385,000.00</w:t>
      </w:r>
    </w:p>
    <w:p>
      <w:pPr>
        <w:pStyle w:val="null3"/>
      </w:pPr>
      <w:r>
        <w:rPr>
          <w:rFonts w:ascii="仿宋_GB2312" w:hAnsi="仿宋_GB2312" w:cs="仿宋_GB2312" w:eastAsia="仿宋_GB2312"/>
        </w:rPr>
        <w:t>采购包最高限价（元）: 385,000.00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等驾坡市场监督管理所办公场所租赁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标的名称：等驾坡市场监督管理所办公场所租赁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一、项目概况</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西安市雁塔区市场监督管理局</w:t>
            </w:r>
            <w:r>
              <w:rPr>
                <w:rFonts w:ascii="仿宋_GB2312" w:hAnsi="仿宋_GB2312" w:cs="仿宋_GB2312" w:eastAsia="仿宋_GB2312"/>
                <w:sz w:val="24"/>
              </w:rPr>
              <w:t>等驾坡市场监督管理所办公场所租赁</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二、技术要求</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1.基本设施：办公室配齐办公桌椅、强弱电网络接口、LED 照明、中央空调， 能满足日常办公需求，确保市场监督管理所能够高效地开展工作。</w:t>
            </w:r>
          </w:p>
          <w:p>
            <w:pPr>
              <w:pStyle w:val="null3"/>
              <w:jc w:val="both"/>
            </w:pPr>
            <w:r>
              <w:rPr>
                <w:rFonts w:ascii="仿宋_GB2312" w:hAnsi="仿宋_GB2312" w:cs="仿宋_GB2312" w:eastAsia="仿宋_GB2312"/>
                <w:sz w:val="24"/>
              </w:rPr>
              <w:t>2.装修配置：办公装修、空间科学分区，符合国家标准，功能区清晰。</w:t>
            </w:r>
          </w:p>
          <w:p>
            <w:pPr>
              <w:pStyle w:val="null3"/>
              <w:jc w:val="both"/>
            </w:pPr>
            <w:r>
              <w:rPr>
                <w:rFonts w:ascii="仿宋_GB2312" w:hAnsi="仿宋_GB2312" w:cs="仿宋_GB2312" w:eastAsia="仿宋_GB2312"/>
                <w:sz w:val="24"/>
              </w:rPr>
              <w:t>3.配套设施：办公场所</w:t>
            </w:r>
            <w:r>
              <w:rPr>
                <w:rFonts w:ascii="仿宋_GB2312" w:hAnsi="仿宋_GB2312" w:cs="仿宋_GB2312" w:eastAsia="仿宋_GB2312"/>
                <w:sz w:val="24"/>
              </w:rPr>
              <w:t>约</w:t>
            </w:r>
            <w:r>
              <w:rPr>
                <w:rFonts w:ascii="仿宋_GB2312" w:hAnsi="仿宋_GB2312" w:cs="仿宋_GB2312" w:eastAsia="仿宋_GB2312"/>
                <w:sz w:val="24"/>
              </w:rPr>
              <w:t>450㎡配有上下水、双路供电、LED节能照明、中央空调、独立地上、地下车库（≥20 个车位）。</w:t>
            </w:r>
          </w:p>
          <w:p>
            <w:pPr>
              <w:pStyle w:val="null3"/>
              <w:jc w:val="both"/>
            </w:pPr>
            <w:r>
              <w:rPr>
                <w:rFonts w:ascii="仿宋_GB2312" w:hAnsi="仿宋_GB2312" w:cs="仿宋_GB2312" w:eastAsia="仿宋_GB2312"/>
                <w:sz w:val="24"/>
              </w:rPr>
              <w:t>4.位置交通：在主干道旁，交通便利、环境清静，能够满足群众办事停车需求和市场监督管理所工作人员执法通勤需求。</w:t>
            </w:r>
          </w:p>
          <w:p>
            <w:pPr>
              <w:pStyle w:val="null3"/>
              <w:jc w:val="both"/>
            </w:pPr>
            <w:r>
              <w:rPr>
                <w:rFonts w:ascii="仿宋_GB2312" w:hAnsi="仿宋_GB2312" w:cs="仿宋_GB2312" w:eastAsia="仿宋_GB2312"/>
                <w:sz w:val="24"/>
              </w:rPr>
              <w:t>5.安全环保：消防验收合格、配备消防栓/烟感/应急照明；建筑结构安全、环保材料达标。</w:t>
            </w:r>
          </w:p>
          <w:p>
            <w:pPr>
              <w:pStyle w:val="null3"/>
              <w:jc w:val="both"/>
            </w:pPr>
            <w:r>
              <w:rPr>
                <w:rFonts w:ascii="仿宋_GB2312" w:hAnsi="仿宋_GB2312" w:cs="仿宋_GB2312" w:eastAsia="仿宋_GB2312"/>
                <w:sz w:val="24"/>
              </w:rPr>
              <w:t>6.功能区设置：设置独立办公室7 间、公共接待区域（≥100 ㎡），功能划分合理，设有会议室、接待室、调解室、问询室、库房、档案室、检测室、机房 、员工值班室、茶水台、执法室及储物间、卫生间等。</w:t>
            </w:r>
          </w:p>
          <w:p>
            <w:pPr>
              <w:pStyle w:val="null3"/>
              <w:jc w:val="both"/>
            </w:pPr>
            <w:r>
              <w:rPr>
                <w:rFonts w:ascii="仿宋_GB2312" w:hAnsi="仿宋_GB2312" w:cs="仿宋_GB2312" w:eastAsia="仿宋_GB2312"/>
                <w:sz w:val="24"/>
              </w:rPr>
              <w:t>7.区位优势：位于公园南路主干道，满足等驾坡地区以及等驾坡街道办事处行政管辖企业等服务对</w:t>
            </w:r>
            <w:r>
              <w:rPr>
                <w:rFonts w:ascii="仿宋_GB2312" w:hAnsi="仿宋_GB2312" w:cs="仿宋_GB2312" w:eastAsia="仿宋_GB2312"/>
                <w:sz w:val="24"/>
              </w:rPr>
              <w:t>象办事、群众事务处理，办公地址为地区核心地段，方便企业与居民办事，停车便利。</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三、服务要求</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租赁及服务标准：符合国家相关标准、行业标准、地方标准或者其他标准、规范。</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四、商务要求</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(一)服务期限</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本次采购租赁期限：</w:t>
            </w:r>
            <w:r>
              <w:rPr>
                <w:rFonts w:ascii="仿宋_GB2312" w:hAnsi="仿宋_GB2312" w:cs="仿宋_GB2312" w:eastAsia="仿宋_GB2312"/>
                <w:sz w:val="24"/>
              </w:rPr>
              <w:t>自合同签订，场地交付之日起一年</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(二)款项结算</w:t>
            </w:r>
          </w:p>
          <w:p>
            <w:pPr>
              <w:pStyle w:val="null3"/>
              <w:jc w:val="both"/>
            </w:pPr>
            <w:r>
              <w:rPr>
                <w:rFonts w:ascii="仿宋_GB2312" w:hAnsi="仿宋_GB2312" w:cs="仿宋_GB2312" w:eastAsia="仿宋_GB2312"/>
                <w:sz w:val="24"/>
              </w:rPr>
              <w:t>(1)合同签订后，待财政资金下达后，租赁期过半，甲方收到乙方开具的合法有效发票后，达到付款条件起30日内，支付合同总金额的50.00%。</w:t>
            </w:r>
          </w:p>
          <w:p>
            <w:pPr>
              <w:pStyle w:val="null3"/>
              <w:jc w:val="both"/>
            </w:pPr>
            <w:r>
              <w:rPr>
                <w:rFonts w:ascii="仿宋_GB2312" w:hAnsi="仿宋_GB2312" w:cs="仿宋_GB2312" w:eastAsia="仿宋_GB2312"/>
                <w:sz w:val="24"/>
              </w:rPr>
              <w:t>(2)甲方履约验收绩效评价合格且财政资金下达后，甲方收到乙方开具的合法有效发票后，达到付款条件起30日内，支付合同总金额的50.00%。</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）甲方履行本合同付款义务，以相关财政资金按时、足额下达至甲方账户为前提，因财政资金未及时下达原因导致的付款延迟，甲方不承担逾期付款违约责任。</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五、本项目所属行业为：租赁和商务</w:t>
            </w:r>
            <w:r>
              <w:rPr>
                <w:rFonts w:ascii="仿宋_GB2312" w:hAnsi="仿宋_GB2312" w:cs="仿宋_GB2312" w:eastAsia="仿宋_GB2312"/>
                <w:sz w:val="24"/>
              </w:rPr>
              <w:t>服务业。</w:t>
            </w:r>
          </w:p>
          <w:p>
            <w:pPr>
              <w:pStyle w:val="null3"/>
            </w:pPr>
            <w:r>
              <w:rPr>
                <w:rFonts w:ascii="仿宋_GB2312" w:hAnsi="仿宋_GB2312" w:cs="仿宋_GB2312" w:eastAsia="仿宋_GB2312"/>
                <w:sz w:val="24"/>
              </w:rPr>
              <w:t>六、本项目合同为固定总价（合同费用包含租赁期限内房屋租金、物业费、水电费）。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1、在线客服：通过陕西省政府采购网-在线客服进行咨询 技术服务电话：029-96702 CA及签章服务：通过陕西省政府采购网-服务专区进行查询。 2、请将采购代理服务费汇至下列指定账户：户名：陕西海堂项目管理咨询有限公司 开户银行：中国银行股份有限公司西安雁塔路支行 账号：103675480567。 3、供应商需要在线提交所有通过电子化交易平台实施的政府采购项目的投标文件，同时，线下提交投标文件正本壹份、副本贰套、电子版贰套（U盘标明供应商名称）。 线下提交投标文件地点：于开标截止时间前。线下提交投标文件地点：西安市雁塔区电子二路青松公寓二楼西第一会议室。若电子投标文件与纸质投标文件不一致的，以电子投标文件为准；若正本和副本不符，以正本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自合同签订，场地交付之日起一年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的最终验收由采购人、成交单位共同进行。验收内容包括场地设施完好情况、水电供应情况、场地面积、是否存在结构性损伤、通风、采光、温湿度、消防设施、防盗设施、场地权属证明、竣工验收报告等文 件是否齐全等，验收方法采用实地测量，并对场地内设施设备进行功能测试。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合同签订后，待财政资金下达后，租赁期过半，甲方收到乙方开具的合法有效发票后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甲方履约验收绩效评价合格且财政资金下达后，甲方收到乙方开具的合法有效发票后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成交供应商未全面履行合同义务或者发生违约，采购单位会同磋商组织机构有权终止合同，依法向成交供应商进行经济索赔，并报请政府采购监督管理机关进行相应的行政处罚。采购单位违约的，应当赔偿给成交供应商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政府采购异常低价审查 (一)采购人应当在采购文件中明确，在政府采购评审中出现下列情形之一的，评审委员会应当启动异常低价投标(响应)审查程序: 1、投标(响应)报价低于全部通过符合性审查投标人投标(响应)报价平均值50%的，即投标(响应)报价&lt;全部通过符合性审查投标人投标(响应)报价平均值50%； 2、投标(响应)报价低于通过符合性审查的次低报价投标人投标(响应)报价50%的，即投标(响应)报价&lt;通过符合性审查的次低报价投标人投标(响应)报价50%； 3、投标(响应)报价低于采购项目最高限价45%的，即投标(响应)报价&lt;采购项目最高限价x45%； 4、评审委员会基于专业判断，认为投标人报价过低，有可能影响产品质量或者不能诚信履约的其他情形。采购人可以结合具体项目实际情况，提高上述第1项至第3项中启动异常低价投标(响应)审查的数值标准，但是最高不得超过65%。 相关法律法规对投标人报价有规定的，从其规定。 (二)评审委员会启动异常低价投标(响应)审查后，属于前述第1项至第4项情形的，应当要求相关投标人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投标人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异常低价投标(响应)审查的启动原因、审查意见和审查结果应当在评审报告中记录，并随投标人提供的相关书面说明及证明材料，以及评审委员会有关互联网浏览、查询历史一并归档。 (三)各级财政部门应当加强对评审专家的指导和监管，进一步压实评审专家的责任。财政部门在投诉处理、监督检查中发现评审委员会未按规定对异常低价开展审查的， 依法予以纠正并追究评审专家的法律责任。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响应函 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供应商应提交的相关资格证明材料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响应函 法定代表人授权书.docx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法定代表人授权书及身份证,被授权人须提供近半年内任意一个月的社保缴纳证明（法定代表人直接投标须提交法定代表人证明书及身份证）；</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磋商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9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9月至今任意一个月的纳税证明或完税证明，纳税证明或完税证明上应有代收机构或税务机关的公章；成立时间至提交响应文件截止时间不足3个月的供应商，可提供成立之日起至投标截之日止的税收缴纳凭证（或银行缴费凭证），若无应纳税款，须提供税务机关盖章的零申报说明或无欠税证明；依法免税的供应商应提供相关文件证明位应提供相关文件证明；</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重大违法记录</w:t>
            </w:r>
          </w:p>
        </w:tc>
        <w:tc>
          <w:tcPr>
            <w:tcW w:type="dxa" w:w="3322"/>
          </w:tcPr>
          <w:p>
            <w:pPr>
              <w:pStyle w:val="null3"/>
            </w:pPr>
            <w:r>
              <w:rPr>
                <w:rFonts w:ascii="仿宋_GB2312" w:hAnsi="仿宋_GB2312" w:cs="仿宋_GB2312" w:eastAsia="仿宋_GB2312"/>
              </w:rPr>
              <w:t>参加政府采购活动前3年内经营活动中没有重大违法记录声明；</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通过“信用中国”网站（www.creditchina.gov.cn/ ）和“中国政府采购网”（http://www.ccgp.gov.cn/）查询投标主体未被列入失信被执行人、重大税收失信主体、政府采购严重违法失信行为记录名单；</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提供具有履行服务合同所必需的设备和专业技术能力的承诺函；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本项目专门面向中小企业采购（须提供中小企业声明函）。</w:t>
            </w:r>
          </w:p>
        </w:tc>
        <w:tc>
          <w:tcPr>
            <w:tcW w:type="dxa" w:w="1661"/>
          </w:tcPr>
          <w:p>
            <w:pPr>
              <w:pStyle w:val="null3"/>
            </w:pPr>
            <w:r>
              <w:rPr>
                <w:rFonts w:ascii="仿宋_GB2312" w:hAnsi="仿宋_GB2312" w:cs="仿宋_GB2312" w:eastAsia="仿宋_GB2312"/>
              </w:rPr>
              <w:t>供应商应提交的相关资格证明材料 法定代表人授权书.docx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供应商名称与营业执照、资质证书一致</w:t>
            </w:r>
          </w:p>
        </w:tc>
        <w:tc>
          <w:tcPr>
            <w:tcW w:type="dxa" w:w="3322"/>
          </w:tcPr>
          <w:p>
            <w:pPr>
              <w:pStyle w:val="null3"/>
            </w:pPr>
            <w:r>
              <w:rPr>
                <w:rFonts w:ascii="仿宋_GB2312" w:hAnsi="仿宋_GB2312" w:cs="仿宋_GB2312" w:eastAsia="仿宋_GB2312"/>
              </w:rPr>
              <w:t>在磋商过程中，磋商小组认为供应商名称与营业执照、资质证书不一致，磋商小组应当将其响应文件作为无效处理。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响应文件的语言、计量单位、报价货币是否满足磋商文件要求；</w:t>
            </w:r>
          </w:p>
        </w:tc>
        <w:tc>
          <w:tcPr>
            <w:tcW w:type="dxa" w:w="3322"/>
          </w:tcPr>
          <w:p>
            <w:pPr>
              <w:pStyle w:val="null3"/>
            </w:pPr>
            <w:r>
              <w:rPr>
                <w:rFonts w:ascii="仿宋_GB2312" w:hAnsi="仿宋_GB2312" w:cs="仿宋_GB2312" w:eastAsia="仿宋_GB2312"/>
              </w:rPr>
              <w:t>在磋商过程中，磋商小组认为响应文件的语言、计量单位、报价货币不满足磋商文件要求，磋商小组应当将其响应文件作为无效处理。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磋商有效期是否达到磋商文件要求；</w:t>
            </w:r>
          </w:p>
        </w:tc>
        <w:tc>
          <w:tcPr>
            <w:tcW w:type="dxa" w:w="3322"/>
          </w:tcPr>
          <w:p>
            <w:pPr>
              <w:pStyle w:val="null3"/>
            </w:pPr>
            <w:r>
              <w:rPr>
                <w:rFonts w:ascii="仿宋_GB2312" w:hAnsi="仿宋_GB2312" w:cs="仿宋_GB2312" w:eastAsia="仿宋_GB2312"/>
              </w:rPr>
              <w:t>磋商有效期达不到磋商文件要求，磋商小组应当将其响应文件作为无效处理。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是否符合法律、法规和磋商文件中规定的其他实质性要求。</w:t>
            </w:r>
          </w:p>
        </w:tc>
        <w:tc>
          <w:tcPr>
            <w:tcW w:type="dxa" w:w="3322"/>
          </w:tcPr>
          <w:p>
            <w:pPr>
              <w:pStyle w:val="null3"/>
            </w:pPr>
            <w:r>
              <w:rPr>
                <w:rFonts w:ascii="仿宋_GB2312" w:hAnsi="仿宋_GB2312" w:cs="仿宋_GB2312" w:eastAsia="仿宋_GB2312"/>
              </w:rPr>
              <w:t>在磋商过程中，磋商小组认为响应文件不符合法律、法规和磋商文件中规定的其他实质性要求，磋商小组应当将其响应文件作为无效处理。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总体服务方案，内容包括但不限于： 1、项目背景； 2、需求分析； 3、进度计划安排(房屋租赁交付计划、物业保障计划)； 4、总体租赁方案； 5、用户投诉处理方案等方面。 评审标准：①完善性：方案必须全面，对评审内容中的各项要求有详细阐述；②可实施性：切合本项目实际情况，提出步骤清晰、合理的方案；③针对性：方案能够紧扣项目实际情况，内容科学合理。上述5项评审内容全部满足评审标准得20分，每有一个评审内容缺项扣4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房屋基本情况</w:t>
            </w:r>
          </w:p>
        </w:tc>
        <w:tc>
          <w:tcPr>
            <w:tcW w:type="dxa" w:w="2492"/>
          </w:tcPr>
          <w:p>
            <w:pPr>
              <w:pStyle w:val="null3"/>
            </w:pPr>
            <w:r>
              <w:rPr>
                <w:rFonts w:ascii="仿宋_GB2312" w:hAnsi="仿宋_GB2312" w:cs="仿宋_GB2312" w:eastAsia="仿宋_GB2312"/>
              </w:rPr>
              <w:t>房屋基本情况，内容包括但不限于： 1、提供的房屋具有使用权的合法渠道证明，并提供所出租房屋无任何产权纠纷及经济纠纷的承诺函； 2、所处位置及交通情况； 3现有装饰装修情况(可提供装修图)； 4水电设施、取暖制冷设施、房屋消防设施、办公桌椅、网络接口、电梯、办公室、会议室、档案室等配备情况； 5、停车位配备情况等方面。 评审标准：①完善性：方案必须全面，对评审内容中的各项要求有详细阐述；②可实施性：切合本项目实际情况，提出步骤清晰、合理的方案；③针对性：方案能够紧扣项目实际情况，内容科学合理。上述5项评审内容全部满足评审标准得15分，每有一个评审内容缺项扣3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物业保障方案</w:t>
            </w:r>
          </w:p>
        </w:tc>
        <w:tc>
          <w:tcPr>
            <w:tcW w:type="dxa" w:w="2492"/>
          </w:tcPr>
          <w:p>
            <w:pPr>
              <w:pStyle w:val="null3"/>
            </w:pPr>
            <w:r>
              <w:rPr>
                <w:rFonts w:ascii="仿宋_GB2312" w:hAnsi="仿宋_GB2312" w:cs="仿宋_GB2312" w:eastAsia="仿宋_GB2312"/>
              </w:rPr>
              <w:t>物业保障方案，内容包括但不限于： 1、客服接待服务； 2、秩序维护服务； 3、保洁管理服务； 4、维修服务； 5、安全保障服务。 评审标准：①完善性：方案必须全面，对评审内容中的各项要求有详细阐述；②可实施性：切合本项目实际情况，提出步骤清晰、合理的方案；③针对性：方案能够紧扣项目实际情况，内容科学合理。上述5项评审内容全部满足评审标准得10分，每有一个评审内容缺项扣2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服务质量保障措施，内容包括但不限于： 1、服务保障体系； 2、服务质量管理团队； 3、对房屋及其设备定期审查管理方案以及维护维修质量方案:包含检查内容、检查流程、检查记录存档； 内容完整详细、工作制度科学合理，评审标准：①完善性：方案必须全面，对评审内容中的各项要求有详细阐述；②可实施性：切合本项目实际情况，提出步骤清晰、合理的方案；③针对性：方案能够紧扣项目实际情况，内容科学合理。上述3项评审内容全部满足评审标准得6分，每有一个评审内容缺项扣2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拟投入人员配备</w:t>
            </w:r>
          </w:p>
        </w:tc>
        <w:tc>
          <w:tcPr>
            <w:tcW w:type="dxa" w:w="2492"/>
          </w:tcPr>
          <w:p>
            <w:pPr>
              <w:pStyle w:val="null3"/>
            </w:pPr>
            <w:r>
              <w:rPr>
                <w:rFonts w:ascii="仿宋_GB2312" w:hAnsi="仿宋_GB2312" w:cs="仿宋_GB2312" w:eastAsia="仿宋_GB2312"/>
              </w:rPr>
              <w:t>拟投入人员配备情况，内容包括但不限于： 1、团队人员配置清单； 2、岗位职责安排； 3、团队管理制度(人员管理、任务委派、奖惩制度等)； 4、人员培训等方面。 评审标准：①完善性：方案必须全面，对评审内容中的各项要求有详细阐述；②可实施性：切合本项目实际情况，提出步骤清晰、合理的方案；③针对性：方案能够紧扣项目实际情况，内容科学合理。上述4项评审内容全部满足评审标准得8分，每有一个评审内容缺项扣2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廉洁、保密措施</w:t>
            </w:r>
          </w:p>
        </w:tc>
        <w:tc>
          <w:tcPr>
            <w:tcW w:type="dxa" w:w="2492"/>
          </w:tcPr>
          <w:p>
            <w:pPr>
              <w:pStyle w:val="null3"/>
            </w:pPr>
            <w:r>
              <w:rPr>
                <w:rFonts w:ascii="仿宋_GB2312" w:hAnsi="仿宋_GB2312" w:cs="仿宋_GB2312" w:eastAsia="仿宋_GB2312"/>
              </w:rPr>
              <w:t>廉洁、保密措施，内容包括但不限于: 1、廉洁从业； 2、保密制度； 3、对参与本项目相关人员的管理等； ①完善性：方案必须全面，对评审内容中的各项要求有详细阐述；②可实施性：切合本项目实际情况，提出步骤清晰、合理的方案；③针对性：方案能够紧扣项目实际情况，内容科学合理。上述3项评审内容全部满足评审标准得3分，每有一个评审内容缺项扣1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应急措施，内容包括但不限于： 1、应急组织体系及应急常识宣传； 2、应急响应安排； 3、应急团队配置及职责； 4、突发事件应急措施(突发火灾应急、恶劣天气应急、防震应急、停电应急、紧急设备需求处理)等方面。 评审标准：①完善性：方案必须全面，对评审内容中的各项要求有详细阐述；②可实施性：切合本项目实际情况，提出步骤清晰、合理的方案；③针对性：方案能够紧扣项目实际情况，内容科学合理。上述4项评审内容全部满足评审标准得8分，每有一个评审内容缺项扣2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供应商近三年（2023年03月01日起至近）具有类似项目业绩，每具有1项上述业绩得2分，最高得10分； 注：业绩证明文件以合同或中标通知书复印件加盖单位公章为准。业绩所属期限以合同签订日期或中标通知书落款时间为准。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满足磋商文件要求且最终报价最低的供应商的价格为磋商基准价，其价格分为满分。其他供应商的价格分统一按照下列公式计算： 磋商报价得分=（磋商基准价/最终磋商报价）×价格权值×100% 注：1、计算分数时四舍五入取小数点后两位。 2、专门面向中小企业采购项目不享受优惠政策。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