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0E1E5">
      <w:pPr>
        <w:pStyle w:val="3"/>
        <w:spacing w:line="350" w:lineRule="auto"/>
        <w:rPr>
          <w:rFonts w:hint="eastAsia" w:ascii="宋体" w:hAnsi="宋体" w:eastAsia="宋体" w:cs="宋体"/>
          <w:color w:val="auto"/>
          <w:highlight w:val="none"/>
          <w:lang w:eastAsia="zh-CN"/>
        </w:rPr>
      </w:pPr>
      <w:r>
        <w:rPr>
          <w:rFonts w:hint="eastAsia" w:eastAsia="宋体" w:cs="宋体"/>
          <w:color w:val="auto"/>
          <w:highlight w:val="none"/>
          <w:lang w:eastAsia="zh-CN"/>
        </w:rPr>
        <w:t>合同条款及格式</w:t>
      </w:r>
    </w:p>
    <w:p w14:paraId="0F0B709E">
      <w:pPr>
        <w:jc w:val="center"/>
        <w:rPr>
          <w:rFonts w:hint="eastAsia" w:ascii="宋体" w:hAnsi="宋体" w:eastAsia="宋体" w:cs="宋体"/>
          <w:color w:val="auto"/>
          <w:highlight w:val="none"/>
        </w:rPr>
      </w:pPr>
      <w:r>
        <w:rPr>
          <w:rFonts w:hint="eastAsia" w:ascii="宋体" w:hAnsi="宋体" w:eastAsia="宋体" w:cs="宋体"/>
          <w:b/>
          <w:bCs/>
          <w:color w:val="auto"/>
          <w:sz w:val="24"/>
          <w:szCs w:val="24"/>
          <w:highlight w:val="none"/>
        </w:rPr>
        <w:t>（本格式条款供甲乙双方签订合同参考，采购人可根据项目的实际情况增减条款和内容）</w:t>
      </w:r>
    </w:p>
    <w:p w14:paraId="24DC56A0">
      <w:pPr>
        <w:snapToGrid w:val="0"/>
        <w:spacing w:line="532" w:lineRule="atLeast"/>
        <w:textAlignment w:val="baseline"/>
        <w:rPr>
          <w:rFonts w:hint="eastAsia" w:ascii="方正小标宋简体" w:hAnsi="宋体" w:eastAsia="方正小标宋简体"/>
          <w:bCs/>
          <w:color w:val="auto"/>
          <w:sz w:val="44"/>
          <w:szCs w:val="44"/>
          <w:highlight w:val="none"/>
        </w:rPr>
      </w:pPr>
    </w:p>
    <w:p w14:paraId="34CC71F4">
      <w:pPr>
        <w:snapToGrid w:val="0"/>
        <w:spacing w:line="532" w:lineRule="atLeast"/>
        <w:textAlignment w:val="baseline"/>
        <w:rPr>
          <w:rFonts w:hint="eastAsia" w:ascii="方正小标宋简体" w:hAnsi="宋体" w:eastAsia="方正小标宋简体"/>
          <w:bCs/>
          <w:color w:val="auto"/>
          <w:sz w:val="44"/>
          <w:szCs w:val="44"/>
          <w:highlight w:val="none"/>
        </w:rPr>
      </w:pPr>
    </w:p>
    <w:p w14:paraId="0D75425B">
      <w:pPr>
        <w:snapToGrid w:val="0"/>
        <w:spacing w:line="532" w:lineRule="atLeast"/>
        <w:textAlignment w:val="baseline"/>
        <w:rPr>
          <w:rFonts w:hint="eastAsia" w:ascii="方正小标宋简体" w:hAnsi="宋体" w:eastAsia="方正小标宋简体"/>
          <w:bCs/>
          <w:color w:val="auto"/>
          <w:sz w:val="44"/>
          <w:szCs w:val="44"/>
          <w:highlight w:val="none"/>
        </w:rPr>
      </w:pPr>
    </w:p>
    <w:p w14:paraId="3D6C5672">
      <w:pPr>
        <w:snapToGrid w:val="0"/>
        <w:spacing w:line="532" w:lineRule="atLeast"/>
        <w:textAlignment w:val="baseline"/>
        <w:rPr>
          <w:rFonts w:hint="eastAsia" w:ascii="方正小标宋简体" w:hAnsi="宋体" w:eastAsia="方正小标宋简体"/>
          <w:bCs/>
          <w:color w:val="auto"/>
          <w:sz w:val="44"/>
          <w:szCs w:val="44"/>
          <w:highlight w:val="none"/>
        </w:rPr>
      </w:pPr>
    </w:p>
    <w:p w14:paraId="6FF8C16E">
      <w:pPr>
        <w:snapToGrid w:val="0"/>
        <w:spacing w:line="532" w:lineRule="atLeast"/>
        <w:textAlignment w:val="baseline"/>
        <w:rPr>
          <w:rFonts w:hint="eastAsia" w:ascii="方正小标宋简体" w:hAnsi="宋体" w:eastAsia="方正小标宋简体"/>
          <w:bCs/>
          <w:color w:val="auto"/>
          <w:sz w:val="44"/>
          <w:szCs w:val="44"/>
          <w:highlight w:val="none"/>
        </w:rPr>
      </w:pPr>
    </w:p>
    <w:p w14:paraId="7F7F6A9E">
      <w:pPr>
        <w:snapToGrid w:val="0"/>
        <w:spacing w:line="532" w:lineRule="atLeast"/>
        <w:textAlignment w:val="baseline"/>
        <w:rPr>
          <w:rFonts w:hint="eastAsia" w:ascii="方正小标宋简体" w:hAnsi="宋体" w:eastAsia="方正小标宋简体"/>
          <w:bCs/>
          <w:color w:val="auto"/>
          <w:sz w:val="44"/>
          <w:szCs w:val="44"/>
          <w:highlight w:val="none"/>
        </w:rPr>
      </w:pPr>
    </w:p>
    <w:p w14:paraId="53626CF2">
      <w:pPr>
        <w:snapToGrid w:val="0"/>
        <w:spacing w:line="532" w:lineRule="atLeast"/>
        <w:textAlignment w:val="baseline"/>
        <w:rPr>
          <w:rFonts w:hint="eastAsia" w:ascii="方正小标宋简体" w:hAnsi="宋体" w:eastAsia="方正小标宋简体"/>
          <w:bCs/>
          <w:color w:val="auto"/>
          <w:sz w:val="44"/>
          <w:szCs w:val="44"/>
          <w:highlight w:val="none"/>
        </w:rPr>
      </w:pPr>
    </w:p>
    <w:p w14:paraId="6D1AE838">
      <w:pPr>
        <w:snapToGrid w:val="0"/>
        <w:spacing w:line="532" w:lineRule="atLeast"/>
        <w:textAlignment w:val="baseline"/>
        <w:rPr>
          <w:rFonts w:hint="eastAsia" w:ascii="方正小标宋简体" w:hAnsi="宋体" w:eastAsia="方正小标宋简体"/>
          <w:bCs/>
          <w:color w:val="auto"/>
          <w:sz w:val="44"/>
          <w:szCs w:val="44"/>
          <w:highlight w:val="none"/>
        </w:rPr>
      </w:pPr>
    </w:p>
    <w:p w14:paraId="23D64C2F">
      <w:pPr>
        <w:snapToGrid w:val="0"/>
        <w:spacing w:line="532" w:lineRule="atLeast"/>
        <w:textAlignment w:val="baseline"/>
        <w:rPr>
          <w:rFonts w:hint="eastAsia" w:ascii="方正小标宋简体" w:hAnsi="宋体" w:eastAsia="方正小标宋简体"/>
          <w:bCs/>
          <w:color w:val="auto"/>
          <w:sz w:val="44"/>
          <w:szCs w:val="44"/>
          <w:highlight w:val="none"/>
        </w:rPr>
      </w:pPr>
    </w:p>
    <w:p w14:paraId="1E7D0E86">
      <w:pPr>
        <w:snapToGrid w:val="0"/>
        <w:spacing w:line="532" w:lineRule="atLeast"/>
        <w:textAlignment w:val="baseline"/>
        <w:rPr>
          <w:rFonts w:hint="eastAsia" w:ascii="方正小标宋简体" w:hAnsi="宋体" w:eastAsia="方正小标宋简体"/>
          <w:bCs/>
          <w:color w:val="auto"/>
          <w:sz w:val="44"/>
          <w:szCs w:val="44"/>
          <w:highlight w:val="none"/>
        </w:rPr>
      </w:pPr>
    </w:p>
    <w:p w14:paraId="293AD8A3">
      <w:pPr>
        <w:snapToGrid w:val="0"/>
        <w:spacing w:line="532" w:lineRule="atLeast"/>
        <w:textAlignment w:val="baseline"/>
        <w:rPr>
          <w:rFonts w:hint="eastAsia" w:ascii="方正小标宋简体" w:hAnsi="宋体" w:eastAsia="方正小标宋简体"/>
          <w:bCs/>
          <w:color w:val="auto"/>
          <w:sz w:val="44"/>
          <w:szCs w:val="44"/>
          <w:highlight w:val="none"/>
        </w:rPr>
      </w:pPr>
    </w:p>
    <w:p w14:paraId="0853BCDC">
      <w:pPr>
        <w:snapToGrid w:val="0"/>
        <w:spacing w:line="532" w:lineRule="atLeast"/>
        <w:textAlignment w:val="baseline"/>
        <w:rPr>
          <w:rFonts w:hint="eastAsia" w:ascii="方正小标宋简体" w:hAnsi="宋体" w:eastAsia="方正小标宋简体"/>
          <w:bCs/>
          <w:color w:val="auto"/>
          <w:sz w:val="44"/>
          <w:szCs w:val="44"/>
          <w:highlight w:val="none"/>
        </w:rPr>
      </w:pPr>
    </w:p>
    <w:p w14:paraId="62A5589A">
      <w:pPr>
        <w:snapToGrid w:val="0"/>
        <w:spacing w:line="532" w:lineRule="atLeast"/>
        <w:textAlignment w:val="baseline"/>
        <w:rPr>
          <w:rFonts w:hint="eastAsia" w:ascii="方正小标宋简体" w:hAnsi="宋体" w:eastAsia="方正小标宋简体"/>
          <w:bCs/>
          <w:color w:val="auto"/>
          <w:sz w:val="44"/>
          <w:szCs w:val="44"/>
          <w:highlight w:val="none"/>
        </w:rPr>
      </w:pPr>
    </w:p>
    <w:p w14:paraId="492B840F">
      <w:pPr>
        <w:snapToGrid w:val="0"/>
        <w:spacing w:line="532" w:lineRule="atLeast"/>
        <w:textAlignment w:val="baseline"/>
        <w:rPr>
          <w:rFonts w:hint="eastAsia" w:ascii="方正小标宋简体" w:hAnsi="宋体" w:eastAsia="方正小标宋简体"/>
          <w:bCs/>
          <w:color w:val="auto"/>
          <w:sz w:val="44"/>
          <w:szCs w:val="44"/>
          <w:highlight w:val="none"/>
        </w:rPr>
      </w:pPr>
    </w:p>
    <w:p w14:paraId="293124B6">
      <w:pPr>
        <w:snapToGrid w:val="0"/>
        <w:spacing w:line="532" w:lineRule="atLeast"/>
        <w:textAlignment w:val="baseline"/>
        <w:rPr>
          <w:rFonts w:hint="eastAsia" w:ascii="方正小标宋简体" w:hAnsi="宋体" w:eastAsia="方正小标宋简体"/>
          <w:bCs/>
          <w:color w:val="auto"/>
          <w:sz w:val="44"/>
          <w:szCs w:val="44"/>
          <w:highlight w:val="none"/>
        </w:rPr>
      </w:pPr>
    </w:p>
    <w:p w14:paraId="16E55FFA">
      <w:pPr>
        <w:snapToGrid w:val="0"/>
        <w:spacing w:line="532" w:lineRule="atLeast"/>
        <w:textAlignment w:val="baseline"/>
        <w:rPr>
          <w:rFonts w:hint="eastAsia" w:ascii="方正小标宋简体" w:hAnsi="宋体" w:eastAsia="方正小标宋简体"/>
          <w:bCs/>
          <w:color w:val="auto"/>
          <w:sz w:val="44"/>
          <w:szCs w:val="44"/>
          <w:highlight w:val="none"/>
        </w:rPr>
      </w:pPr>
    </w:p>
    <w:p w14:paraId="491DAFD1">
      <w:pPr>
        <w:snapToGrid w:val="0"/>
        <w:spacing w:line="532" w:lineRule="atLeast"/>
        <w:textAlignment w:val="baseline"/>
        <w:rPr>
          <w:rFonts w:hint="eastAsia" w:ascii="方正小标宋简体" w:hAnsi="宋体" w:eastAsia="方正小标宋简体"/>
          <w:bCs/>
          <w:color w:val="auto"/>
          <w:sz w:val="44"/>
          <w:szCs w:val="44"/>
          <w:highlight w:val="none"/>
        </w:rPr>
      </w:pPr>
    </w:p>
    <w:p w14:paraId="3EDE45F4">
      <w:pPr>
        <w:snapToGrid w:val="0"/>
        <w:spacing w:line="532" w:lineRule="atLeast"/>
        <w:textAlignment w:val="baseline"/>
        <w:rPr>
          <w:rFonts w:hint="eastAsia" w:ascii="方正小标宋简体" w:hAnsi="宋体" w:eastAsia="方正小标宋简体"/>
          <w:bCs/>
          <w:color w:val="auto"/>
          <w:sz w:val="44"/>
          <w:szCs w:val="44"/>
          <w:highlight w:val="none"/>
        </w:rPr>
      </w:pPr>
    </w:p>
    <w:p w14:paraId="25A2C95B">
      <w:pPr>
        <w:snapToGrid w:val="0"/>
        <w:spacing w:line="532" w:lineRule="atLeast"/>
        <w:textAlignment w:val="baseline"/>
        <w:rPr>
          <w:rFonts w:hint="eastAsia" w:ascii="方正小标宋简体" w:hAnsi="宋体" w:eastAsia="方正小标宋简体"/>
          <w:bCs/>
          <w:color w:val="auto"/>
          <w:sz w:val="44"/>
          <w:szCs w:val="44"/>
          <w:highlight w:val="none"/>
        </w:rPr>
      </w:pPr>
    </w:p>
    <w:p w14:paraId="2E280024">
      <w:pPr>
        <w:snapToGrid w:val="0"/>
        <w:spacing w:line="532" w:lineRule="atLeast"/>
        <w:textAlignment w:val="baseline"/>
        <w:rPr>
          <w:rFonts w:hint="eastAsia" w:ascii="方正小标宋简体" w:hAnsi="宋体" w:eastAsia="方正小标宋简体"/>
          <w:bCs/>
          <w:color w:val="auto"/>
          <w:sz w:val="44"/>
          <w:szCs w:val="44"/>
          <w:highlight w:val="none"/>
        </w:rPr>
      </w:pPr>
    </w:p>
    <w:p w14:paraId="780F15C0">
      <w:pPr>
        <w:snapToGrid w:val="0"/>
        <w:spacing w:line="532" w:lineRule="atLeast"/>
        <w:jc w:val="center"/>
        <w:textAlignment w:val="baseline"/>
        <w:rPr>
          <w:rFonts w:hint="eastAsia" w:ascii="宋体" w:hAnsi="宋体"/>
          <w:b/>
          <w:bCs w:val="0"/>
          <w:color w:val="auto"/>
          <w:kern w:val="0"/>
          <w:sz w:val="44"/>
          <w:szCs w:val="44"/>
          <w:highlight w:val="none"/>
        </w:rPr>
      </w:pPr>
      <w:bookmarkStart w:id="0" w:name="_Toc334119194"/>
      <w:bookmarkStart w:id="1" w:name="_Toc249246615"/>
      <w:bookmarkStart w:id="2" w:name="_Toc235866404"/>
      <w:bookmarkStart w:id="3" w:name="_Toc257011459"/>
      <w:bookmarkStart w:id="4" w:name="_Toc243709992"/>
      <w:bookmarkStart w:id="5" w:name="_Toc222296851"/>
    </w:p>
    <w:p w14:paraId="2F071DA7">
      <w:pPr>
        <w:snapToGrid w:val="0"/>
        <w:spacing w:line="532" w:lineRule="atLeast"/>
        <w:jc w:val="center"/>
        <w:textAlignment w:val="baseline"/>
        <w:rPr>
          <w:rFonts w:hint="eastAsia" w:ascii="宋体" w:hAnsi="宋体" w:eastAsia="宋体"/>
          <w:b/>
          <w:bCs w:val="0"/>
          <w:color w:val="auto"/>
          <w:kern w:val="0"/>
          <w:sz w:val="46"/>
          <w:szCs w:val="46"/>
          <w:highlight w:val="none"/>
          <w:lang w:eastAsia="zh-CN"/>
        </w:rPr>
      </w:pPr>
      <w:r>
        <w:rPr>
          <w:rFonts w:hint="eastAsia" w:ascii="宋体" w:hAnsi="宋体"/>
          <w:b/>
          <w:bCs w:val="0"/>
          <w:color w:val="auto"/>
          <w:kern w:val="0"/>
          <w:sz w:val="46"/>
          <w:szCs w:val="46"/>
          <w:highlight w:val="none"/>
          <w:lang w:eastAsia="zh-CN"/>
        </w:rPr>
        <w:t>陕西汉中朱鹮国家级自然保护区2026年花园保护站管护用房修缮维护项目</w:t>
      </w:r>
    </w:p>
    <w:p w14:paraId="66A9925D">
      <w:pPr>
        <w:pStyle w:val="4"/>
        <w:numPr>
          <w:ilvl w:val="0"/>
          <w:numId w:val="0"/>
        </w:numPr>
        <w:ind w:leftChars="0"/>
        <w:rPr>
          <w:color w:val="auto"/>
          <w:highlight w:val="none"/>
        </w:rPr>
      </w:pPr>
    </w:p>
    <w:p w14:paraId="3A297306">
      <w:pPr>
        <w:snapToGrid w:val="0"/>
        <w:spacing w:line="532" w:lineRule="atLeast"/>
        <w:jc w:val="center"/>
        <w:textAlignment w:val="baseline"/>
        <w:rPr>
          <w:rFonts w:ascii="宋体" w:hAnsi="宋体"/>
          <w:b/>
          <w:bCs w:val="0"/>
          <w:color w:val="auto"/>
          <w:kern w:val="0"/>
          <w:sz w:val="48"/>
          <w:szCs w:val="48"/>
          <w:highlight w:val="none"/>
        </w:rPr>
      </w:pPr>
      <w:r>
        <w:rPr>
          <w:rFonts w:hint="eastAsia" w:ascii="宋体" w:hAnsi="宋体"/>
          <w:b/>
          <w:bCs w:val="0"/>
          <w:color w:val="auto"/>
          <w:kern w:val="0"/>
          <w:sz w:val="48"/>
          <w:szCs w:val="48"/>
          <w:highlight w:val="none"/>
        </w:rPr>
        <w:t>施工合同</w:t>
      </w:r>
    </w:p>
    <w:p w14:paraId="200ABD46">
      <w:pPr>
        <w:snapToGrid w:val="0"/>
        <w:spacing w:line="532" w:lineRule="atLeast"/>
        <w:textAlignment w:val="baseline"/>
        <w:rPr>
          <w:rFonts w:ascii="宋体" w:hAnsi="宋体"/>
          <w:color w:val="auto"/>
          <w:kern w:val="0"/>
          <w:szCs w:val="21"/>
          <w:highlight w:val="none"/>
        </w:rPr>
      </w:pPr>
    </w:p>
    <w:p w14:paraId="6633E95E">
      <w:pPr>
        <w:snapToGrid w:val="0"/>
        <w:spacing w:line="532" w:lineRule="atLeast"/>
        <w:textAlignment w:val="baseline"/>
        <w:rPr>
          <w:rFonts w:ascii="宋体" w:hAnsi="宋体"/>
          <w:color w:val="auto"/>
          <w:kern w:val="0"/>
          <w:szCs w:val="21"/>
          <w:highlight w:val="none"/>
        </w:rPr>
      </w:pPr>
    </w:p>
    <w:p w14:paraId="7BDAE8D2">
      <w:pPr>
        <w:snapToGrid w:val="0"/>
        <w:spacing w:line="532" w:lineRule="atLeast"/>
        <w:textAlignment w:val="baseline"/>
        <w:rPr>
          <w:rFonts w:ascii="宋体" w:hAnsi="宋体"/>
          <w:color w:val="auto"/>
          <w:kern w:val="0"/>
          <w:szCs w:val="21"/>
          <w:highlight w:val="none"/>
        </w:rPr>
      </w:pPr>
    </w:p>
    <w:p w14:paraId="2C9BCFD1">
      <w:pPr>
        <w:snapToGrid w:val="0"/>
        <w:spacing w:line="532" w:lineRule="atLeast"/>
        <w:textAlignment w:val="baseline"/>
        <w:rPr>
          <w:rFonts w:ascii="宋体" w:hAnsi="宋体"/>
          <w:color w:val="auto"/>
          <w:kern w:val="0"/>
          <w:szCs w:val="21"/>
          <w:highlight w:val="none"/>
        </w:rPr>
      </w:pPr>
    </w:p>
    <w:p w14:paraId="6A704C29">
      <w:pPr>
        <w:snapToGrid w:val="0"/>
        <w:spacing w:line="532" w:lineRule="atLeast"/>
        <w:textAlignment w:val="baseline"/>
        <w:rPr>
          <w:rFonts w:ascii="宋体" w:hAnsi="宋体"/>
          <w:color w:val="auto"/>
          <w:kern w:val="0"/>
          <w:szCs w:val="21"/>
          <w:highlight w:val="none"/>
        </w:rPr>
      </w:pPr>
    </w:p>
    <w:p w14:paraId="5AFC0EC8">
      <w:pPr>
        <w:pStyle w:val="5"/>
        <w:rPr>
          <w:color w:val="auto"/>
          <w:highlight w:val="none"/>
        </w:rPr>
      </w:pPr>
    </w:p>
    <w:p w14:paraId="7E85C55A">
      <w:pPr>
        <w:snapToGrid w:val="0"/>
        <w:spacing w:line="532" w:lineRule="atLeast"/>
        <w:textAlignment w:val="baseline"/>
        <w:rPr>
          <w:rFonts w:ascii="宋体" w:hAnsi="宋体"/>
          <w:color w:val="auto"/>
          <w:kern w:val="0"/>
          <w:szCs w:val="21"/>
          <w:highlight w:val="none"/>
        </w:rPr>
      </w:pPr>
    </w:p>
    <w:p w14:paraId="18450821">
      <w:pPr>
        <w:snapToGrid w:val="0"/>
        <w:spacing w:line="532" w:lineRule="atLeast"/>
        <w:textAlignment w:val="baseline"/>
        <w:rPr>
          <w:rFonts w:ascii="宋体" w:hAnsi="宋体"/>
          <w:color w:val="auto"/>
          <w:kern w:val="0"/>
          <w:szCs w:val="21"/>
          <w:highlight w:val="none"/>
        </w:rPr>
      </w:pPr>
    </w:p>
    <w:p w14:paraId="75CE1957">
      <w:pPr>
        <w:snapToGrid w:val="0"/>
        <w:spacing w:line="532" w:lineRule="atLeast"/>
        <w:textAlignment w:val="baseline"/>
        <w:rPr>
          <w:rFonts w:ascii="宋体" w:hAnsi="宋体"/>
          <w:color w:val="auto"/>
          <w:kern w:val="0"/>
          <w:szCs w:val="21"/>
          <w:highlight w:val="none"/>
        </w:rPr>
      </w:pPr>
    </w:p>
    <w:p w14:paraId="04AC6C13">
      <w:pPr>
        <w:spacing w:before="169" w:line="219" w:lineRule="auto"/>
        <w:ind w:left="1960" w:hanging="1680" w:hangingChars="700"/>
        <w:rPr>
          <w:rFonts w:hint="default" w:ascii="宋体" w:hAnsi="宋体" w:eastAsia="宋体"/>
          <w:color w:val="auto"/>
          <w:kern w:val="0"/>
          <w:sz w:val="24"/>
          <w:szCs w:val="24"/>
          <w:highlight w:val="none"/>
          <w:u w:val="single" w:color="auto"/>
          <w:lang w:val="en-US" w:eastAsia="zh-CN"/>
        </w:rPr>
      </w:pPr>
      <w:r>
        <w:rPr>
          <w:rFonts w:hint="eastAsia" w:ascii="宋体" w:hAnsi="宋体"/>
          <w:color w:val="auto"/>
          <w:kern w:val="0"/>
          <w:sz w:val="24"/>
          <w:szCs w:val="24"/>
          <w:highlight w:val="none"/>
        </w:rPr>
        <w:t>项 目 名 称 ：</w:t>
      </w:r>
      <w:r>
        <w:rPr>
          <w:rFonts w:hint="eastAsia" w:ascii="宋体" w:hAnsi="宋体"/>
          <w:color w:val="auto"/>
          <w:kern w:val="0"/>
          <w:sz w:val="24"/>
          <w:szCs w:val="24"/>
          <w:highlight w:val="none"/>
          <w:u w:val="single" w:color="auto"/>
          <w:lang w:eastAsia="zh-CN"/>
        </w:rPr>
        <w:t>陕西汉中朱鹮国家级自然保护区2026年花园保护站管护用房修缮维护项目</w:t>
      </w:r>
      <w:r>
        <w:rPr>
          <w:rFonts w:hint="eastAsia" w:ascii="宋体" w:hAnsi="宋体"/>
          <w:color w:val="auto"/>
          <w:kern w:val="0"/>
          <w:sz w:val="24"/>
          <w:szCs w:val="24"/>
          <w:highlight w:val="none"/>
          <w:u w:val="single" w:color="auto"/>
          <w:lang w:val="en-US" w:eastAsia="zh-CN"/>
        </w:rPr>
        <w:t xml:space="preserve">  </w:t>
      </w:r>
    </w:p>
    <w:p w14:paraId="4810A1E3">
      <w:pPr>
        <w:snapToGrid w:val="0"/>
        <w:spacing w:line="532" w:lineRule="atLeast"/>
        <w:ind w:left="1960" w:hanging="1680" w:hangingChars="700"/>
        <w:textAlignment w:val="baseline"/>
        <w:rPr>
          <w:rFonts w:hint="default" w:ascii="宋体" w:hAnsi="宋体" w:eastAsia="宋体"/>
          <w:color w:val="auto"/>
          <w:kern w:val="0"/>
          <w:sz w:val="24"/>
          <w:szCs w:val="24"/>
          <w:highlight w:val="none"/>
          <w:u w:val="single" w:color="000000"/>
          <w:lang w:val="en-US" w:eastAsia="zh-CN"/>
        </w:rPr>
      </w:pPr>
      <w:r>
        <w:rPr>
          <w:rFonts w:hint="eastAsia" w:ascii="宋体" w:hAnsi="宋体"/>
          <w:color w:val="auto"/>
          <w:kern w:val="0"/>
          <w:sz w:val="24"/>
          <w:szCs w:val="24"/>
          <w:highlight w:val="none"/>
        </w:rPr>
        <w:t>项 目 地 点</w:t>
      </w:r>
      <w:r>
        <w:rPr>
          <w:rFonts w:hint="eastAsia" w:ascii="宋体" w:hAnsi="宋体"/>
          <w:color w:val="auto"/>
          <w:kern w:val="0"/>
          <w:sz w:val="24"/>
          <w:szCs w:val="24"/>
          <w:highlight w:val="none"/>
          <w:lang w:val="en-US" w:eastAsia="zh-CN"/>
        </w:rPr>
        <w:t xml:space="preserve"> </w:t>
      </w:r>
      <w:r>
        <w:rPr>
          <w:rFonts w:hint="eastAsia" w:ascii="宋体" w:hAnsi="宋体"/>
          <w:color w:val="auto"/>
          <w:kern w:val="0"/>
          <w:sz w:val="24"/>
          <w:szCs w:val="24"/>
          <w:highlight w:val="none"/>
        </w:rPr>
        <w:t>：</w:t>
      </w:r>
      <w:r>
        <w:rPr>
          <w:rFonts w:hint="eastAsia" w:ascii="宋体" w:hAnsi="宋体"/>
          <w:color w:val="auto"/>
          <w:kern w:val="0"/>
          <w:sz w:val="24"/>
          <w:szCs w:val="24"/>
          <w:highlight w:val="none"/>
          <w:u w:val="single" w:color="auto"/>
          <w:lang w:eastAsia="zh-CN"/>
        </w:rPr>
        <w:t>陕西汉中朱鹮国家级自然保护区</w:t>
      </w:r>
      <w:r>
        <w:rPr>
          <w:rFonts w:hint="eastAsia" w:ascii="宋体" w:hAnsi="宋体"/>
          <w:color w:val="auto"/>
          <w:kern w:val="0"/>
          <w:sz w:val="24"/>
          <w:szCs w:val="24"/>
          <w:highlight w:val="none"/>
          <w:u w:val="single" w:color="000000"/>
          <w:lang w:val="en-US" w:eastAsia="zh-CN"/>
        </w:rPr>
        <w:t xml:space="preserve">      </w:t>
      </w:r>
    </w:p>
    <w:p w14:paraId="4CE8B851">
      <w:pPr>
        <w:snapToGrid w:val="0"/>
        <w:spacing w:line="532" w:lineRule="atLeast"/>
        <w:textAlignment w:val="baseline"/>
        <w:rPr>
          <w:rFonts w:ascii="宋体" w:hAnsi="宋体"/>
          <w:color w:val="auto"/>
          <w:kern w:val="0"/>
          <w:sz w:val="24"/>
          <w:szCs w:val="24"/>
          <w:highlight w:val="none"/>
          <w:u w:val="single" w:color="000000"/>
        </w:rPr>
      </w:pPr>
      <w:r>
        <w:rPr>
          <w:rFonts w:hint="eastAsia" w:ascii="宋体" w:hAnsi="宋体"/>
          <w:color w:val="auto"/>
          <w:kern w:val="0"/>
          <w:sz w:val="24"/>
          <w:szCs w:val="24"/>
          <w:highlight w:val="none"/>
        </w:rPr>
        <w:t>合 同 编 号 ：</w:t>
      </w:r>
      <w:r>
        <w:rPr>
          <w:rFonts w:hint="eastAsia" w:ascii="宋体" w:hAnsi="宋体"/>
          <w:color w:val="auto"/>
          <w:kern w:val="0"/>
          <w:sz w:val="24"/>
          <w:szCs w:val="24"/>
          <w:highlight w:val="none"/>
          <w:u w:val="single" w:color="000000"/>
        </w:rPr>
        <w:t xml:space="preserve">                                    </w:t>
      </w:r>
    </w:p>
    <w:p w14:paraId="29493118">
      <w:pPr>
        <w:snapToGrid w:val="0"/>
        <w:spacing w:line="500" w:lineRule="exact"/>
        <w:textAlignment w:val="baseline"/>
        <w:rPr>
          <w:rFonts w:hint="default" w:ascii="宋体" w:hAnsi="宋体" w:eastAsia="宋体" w:cs="宋体"/>
          <w:color w:val="auto"/>
          <w:kern w:val="0"/>
          <w:sz w:val="24"/>
          <w:szCs w:val="24"/>
          <w:highlight w:val="none"/>
          <w:u w:val="single" w:color="auto"/>
          <w:lang w:val="en-US" w:eastAsia="zh-CN"/>
        </w:rPr>
      </w:pPr>
      <w:r>
        <w:rPr>
          <w:rFonts w:hint="eastAsia" w:ascii="宋体" w:hAnsi="宋体"/>
          <w:color w:val="auto"/>
          <w:kern w:val="0"/>
          <w:sz w:val="24"/>
          <w:szCs w:val="24"/>
          <w:highlight w:val="none"/>
        </w:rPr>
        <w:t>发  包  人</w:t>
      </w:r>
      <w:r>
        <w:rPr>
          <w:rFonts w:hint="eastAsia" w:ascii="宋体" w:hAnsi="宋体"/>
          <w:color w:val="auto"/>
          <w:kern w:val="0"/>
          <w:sz w:val="24"/>
          <w:szCs w:val="24"/>
          <w:highlight w:val="none"/>
          <w:lang w:val="en-US" w:eastAsia="zh-CN"/>
        </w:rPr>
        <w:t xml:space="preserve">  </w:t>
      </w:r>
      <w:r>
        <w:rPr>
          <w:rFonts w:hint="eastAsia" w:ascii="宋体" w:hAnsi="宋体"/>
          <w:color w:val="auto"/>
          <w:kern w:val="0"/>
          <w:sz w:val="24"/>
          <w:szCs w:val="24"/>
          <w:highlight w:val="none"/>
          <w:lang w:eastAsia="zh-CN"/>
        </w:rPr>
        <w:t>：</w:t>
      </w:r>
      <w:r>
        <w:rPr>
          <w:rFonts w:hint="eastAsia" w:ascii="宋体" w:hAnsi="宋体"/>
          <w:color w:val="auto"/>
          <w:kern w:val="0"/>
          <w:sz w:val="24"/>
          <w:szCs w:val="24"/>
          <w:highlight w:val="none"/>
          <w:u w:val="single" w:color="auto"/>
          <w:lang w:eastAsia="zh-CN"/>
        </w:rPr>
        <w:t>陕西汉中朱鹮国家级自然保护区管理局</w:t>
      </w:r>
      <w:r>
        <w:rPr>
          <w:rFonts w:hint="eastAsia" w:ascii="宋体" w:hAnsi="宋体"/>
          <w:color w:val="auto"/>
          <w:kern w:val="0"/>
          <w:sz w:val="24"/>
          <w:szCs w:val="24"/>
          <w:highlight w:val="none"/>
          <w:u w:val="single" w:color="auto"/>
          <w:lang w:val="en-US" w:eastAsia="zh-CN"/>
        </w:rPr>
        <w:t xml:space="preserve">  </w:t>
      </w:r>
    </w:p>
    <w:p w14:paraId="3FA8D9EF">
      <w:pPr>
        <w:spacing w:line="360" w:lineRule="auto"/>
        <w:rPr>
          <w:rFonts w:hint="eastAsia" w:ascii="宋体" w:hAnsi="宋体" w:eastAsia="宋体"/>
          <w:color w:val="auto"/>
          <w:kern w:val="0"/>
          <w:sz w:val="24"/>
          <w:szCs w:val="24"/>
          <w:highlight w:val="none"/>
          <w:u w:val="single" w:color="000000"/>
          <w:lang w:val="en-US" w:eastAsia="zh-CN"/>
        </w:rPr>
      </w:pPr>
      <w:r>
        <w:rPr>
          <w:rFonts w:hint="eastAsia" w:ascii="宋体" w:hAnsi="宋体"/>
          <w:color w:val="auto"/>
          <w:kern w:val="0"/>
          <w:sz w:val="24"/>
          <w:szCs w:val="24"/>
          <w:highlight w:val="none"/>
        </w:rPr>
        <w:t>承   包  人 ：</w:t>
      </w:r>
      <w:r>
        <w:rPr>
          <w:rFonts w:hint="eastAsia" w:ascii="宋体" w:hAnsi="宋体" w:cs="宋体"/>
          <w:color w:val="auto"/>
          <w:kern w:val="0"/>
          <w:sz w:val="24"/>
          <w:szCs w:val="24"/>
          <w:highlight w:val="none"/>
          <w:u w:val="single"/>
          <w:lang w:val="en-US" w:eastAsia="zh-CN"/>
        </w:rPr>
        <w:t xml:space="preserve">                    </w:t>
      </w:r>
      <w:r>
        <w:rPr>
          <w:rFonts w:hint="eastAsia" w:ascii="宋体" w:hAnsi="宋体"/>
          <w:color w:val="auto"/>
          <w:kern w:val="0"/>
          <w:sz w:val="24"/>
          <w:szCs w:val="24"/>
          <w:highlight w:val="none"/>
          <w:u w:val="single" w:color="000000"/>
        </w:rPr>
        <w:t xml:space="preserve">               </w:t>
      </w:r>
      <w:r>
        <w:rPr>
          <w:rFonts w:hint="eastAsia" w:ascii="宋体" w:hAnsi="宋体"/>
          <w:color w:val="auto"/>
          <w:kern w:val="0"/>
          <w:sz w:val="24"/>
          <w:szCs w:val="24"/>
          <w:highlight w:val="none"/>
          <w:u w:val="single" w:color="000000"/>
          <w:lang w:val="en-US" w:eastAsia="zh-CN"/>
        </w:rPr>
        <w:t xml:space="preserve"> </w:t>
      </w:r>
    </w:p>
    <w:p w14:paraId="7C80076D">
      <w:pPr>
        <w:snapToGrid w:val="0"/>
        <w:spacing w:line="532" w:lineRule="atLeast"/>
        <w:textAlignment w:val="baseline"/>
        <w:rPr>
          <w:rFonts w:ascii="宋体" w:hAnsi="宋体"/>
          <w:color w:val="auto"/>
          <w:kern w:val="0"/>
          <w:sz w:val="24"/>
          <w:szCs w:val="24"/>
          <w:highlight w:val="none"/>
          <w:u w:val="single" w:color="000000"/>
        </w:rPr>
      </w:pPr>
      <w:r>
        <w:rPr>
          <w:rFonts w:hint="eastAsia" w:ascii="宋体" w:hAnsi="宋体"/>
          <w:color w:val="auto"/>
          <w:kern w:val="0"/>
          <w:sz w:val="24"/>
          <w:szCs w:val="24"/>
          <w:highlight w:val="none"/>
        </w:rPr>
        <w:t>签 订 日 期 ：</w:t>
      </w:r>
      <w:r>
        <w:rPr>
          <w:rFonts w:hint="eastAsia" w:ascii="宋体" w:hAnsi="宋体"/>
          <w:color w:val="auto"/>
          <w:kern w:val="0"/>
          <w:sz w:val="24"/>
          <w:szCs w:val="24"/>
          <w:highlight w:val="none"/>
          <w:u w:val="single" w:color="000000"/>
        </w:rPr>
        <w:t xml:space="preserve"> </w:t>
      </w:r>
      <w:r>
        <w:rPr>
          <w:rFonts w:hint="eastAsia" w:ascii="宋体" w:hAnsi="宋体"/>
          <w:color w:val="auto"/>
          <w:kern w:val="0"/>
          <w:sz w:val="24"/>
          <w:szCs w:val="24"/>
          <w:highlight w:val="none"/>
          <w:u w:val="single" w:color="000000"/>
          <w:lang w:val="en-US" w:eastAsia="zh-CN"/>
        </w:rPr>
        <w:t xml:space="preserve">        </w:t>
      </w:r>
      <w:r>
        <w:rPr>
          <w:rFonts w:hint="eastAsia" w:ascii="宋体" w:hAnsi="宋体"/>
          <w:color w:val="auto"/>
          <w:kern w:val="0"/>
          <w:sz w:val="24"/>
          <w:szCs w:val="24"/>
          <w:highlight w:val="none"/>
          <w:u w:val="single" w:color="000000"/>
        </w:rPr>
        <w:t xml:space="preserve">年 </w:t>
      </w:r>
      <w:r>
        <w:rPr>
          <w:rFonts w:hint="eastAsia" w:ascii="宋体" w:hAnsi="宋体"/>
          <w:color w:val="auto"/>
          <w:kern w:val="0"/>
          <w:sz w:val="24"/>
          <w:szCs w:val="24"/>
          <w:highlight w:val="none"/>
          <w:u w:val="single" w:color="000000"/>
          <w:lang w:val="en-US" w:eastAsia="zh-CN"/>
        </w:rPr>
        <w:t xml:space="preserve">   </w:t>
      </w:r>
      <w:r>
        <w:rPr>
          <w:rFonts w:hint="eastAsia" w:ascii="宋体" w:hAnsi="宋体"/>
          <w:color w:val="auto"/>
          <w:kern w:val="0"/>
          <w:sz w:val="24"/>
          <w:szCs w:val="24"/>
          <w:highlight w:val="none"/>
          <w:u w:val="single" w:color="000000"/>
        </w:rPr>
        <w:t xml:space="preserve"> 月 </w:t>
      </w:r>
      <w:r>
        <w:rPr>
          <w:rFonts w:hint="eastAsia" w:ascii="宋体" w:hAnsi="宋体"/>
          <w:color w:val="auto"/>
          <w:kern w:val="0"/>
          <w:sz w:val="24"/>
          <w:szCs w:val="24"/>
          <w:highlight w:val="none"/>
          <w:u w:val="single" w:color="000000"/>
          <w:lang w:val="en-US" w:eastAsia="zh-CN"/>
        </w:rPr>
        <w:t xml:space="preserve">   </w:t>
      </w:r>
      <w:r>
        <w:rPr>
          <w:rFonts w:hint="eastAsia" w:ascii="宋体" w:hAnsi="宋体"/>
          <w:color w:val="auto"/>
          <w:kern w:val="0"/>
          <w:sz w:val="24"/>
          <w:szCs w:val="24"/>
          <w:highlight w:val="none"/>
          <w:u w:val="single" w:color="000000"/>
        </w:rPr>
        <w:t xml:space="preserve"> 日           </w:t>
      </w:r>
    </w:p>
    <w:p w14:paraId="3FB18160">
      <w:pPr>
        <w:snapToGrid w:val="0"/>
        <w:spacing w:line="500" w:lineRule="exact"/>
        <w:ind w:firstLine="480" w:firstLineChars="200"/>
        <w:textAlignment w:val="baseline"/>
        <w:rPr>
          <w:rFonts w:hint="eastAsia" w:ascii="宋体" w:hAnsi="宋体" w:cs="宋体"/>
          <w:color w:val="auto"/>
          <w:kern w:val="0"/>
          <w:sz w:val="24"/>
          <w:szCs w:val="24"/>
          <w:highlight w:val="none"/>
          <w:u w:val="single" w:color="auto"/>
          <w:lang w:val="en-US" w:eastAsia="zh-CN"/>
        </w:rPr>
      </w:pPr>
      <w:r>
        <w:rPr>
          <w:rFonts w:hint="eastAsia" w:ascii="宋体" w:hAnsi="宋体" w:cs="仿宋_GB2312"/>
          <w:bCs/>
          <w:color w:val="auto"/>
          <w:sz w:val="24"/>
          <w:szCs w:val="24"/>
          <w:highlight w:val="none"/>
        </w:rPr>
        <w:br w:type="page"/>
      </w:r>
      <w:r>
        <w:rPr>
          <w:rFonts w:hint="eastAsia" w:ascii="宋体" w:hAnsi="宋体" w:cs="宋体"/>
          <w:color w:val="auto"/>
          <w:kern w:val="0"/>
          <w:sz w:val="24"/>
          <w:szCs w:val="24"/>
          <w:highlight w:val="none"/>
        </w:rPr>
        <w:t>发包方（甲方）：</w:t>
      </w:r>
      <w:r>
        <w:rPr>
          <w:rFonts w:hint="eastAsia" w:ascii="宋体" w:hAnsi="宋体" w:cs="宋体"/>
          <w:color w:val="auto"/>
          <w:kern w:val="0"/>
          <w:sz w:val="24"/>
          <w:szCs w:val="24"/>
          <w:highlight w:val="none"/>
          <w:u w:val="single" w:color="auto"/>
          <w:lang w:eastAsia="zh-CN"/>
        </w:rPr>
        <w:t>陕西汉中朱鹮国家级自然保护区管理局</w:t>
      </w:r>
      <w:r>
        <w:rPr>
          <w:rFonts w:hint="eastAsia" w:ascii="宋体" w:hAnsi="宋体" w:cs="宋体"/>
          <w:color w:val="auto"/>
          <w:kern w:val="0"/>
          <w:sz w:val="24"/>
          <w:szCs w:val="24"/>
          <w:highlight w:val="none"/>
          <w:u w:val="single" w:color="auto"/>
          <w:lang w:val="en-US" w:eastAsia="zh-CN"/>
        </w:rPr>
        <w:t xml:space="preserve">    </w:t>
      </w:r>
    </w:p>
    <w:p w14:paraId="76735D82">
      <w:pPr>
        <w:snapToGrid w:val="0"/>
        <w:spacing w:line="500" w:lineRule="exact"/>
        <w:ind w:firstLine="480" w:firstLineChars="200"/>
        <w:textAlignment w:val="baseline"/>
        <w:rPr>
          <w:rFonts w:hint="default" w:ascii="宋体" w:hAnsi="宋体" w:cs="宋体"/>
          <w:color w:val="auto"/>
          <w:kern w:val="0"/>
          <w:sz w:val="24"/>
          <w:szCs w:val="24"/>
          <w:highlight w:val="none"/>
          <w:u w:val="single"/>
          <w:lang w:val="en-US" w:eastAsia="zh-CN"/>
        </w:rPr>
      </w:pPr>
      <w:r>
        <w:rPr>
          <w:rFonts w:hint="eastAsia" w:ascii="宋体" w:hAnsi="宋体" w:cs="宋体"/>
          <w:color w:val="auto"/>
          <w:kern w:val="0"/>
          <w:sz w:val="24"/>
          <w:szCs w:val="24"/>
          <w:highlight w:val="none"/>
          <w:u w:val="none"/>
          <w:lang w:eastAsia="zh-CN"/>
        </w:rPr>
        <w:t>承包方（乙方）：</w:t>
      </w:r>
      <w:r>
        <w:rPr>
          <w:rFonts w:hint="eastAsia" w:ascii="宋体" w:hAnsi="宋体" w:cs="宋体"/>
          <w:color w:val="auto"/>
          <w:kern w:val="0"/>
          <w:sz w:val="24"/>
          <w:szCs w:val="24"/>
          <w:highlight w:val="none"/>
          <w:u w:val="single"/>
          <w:lang w:val="en-US" w:eastAsia="zh-CN"/>
        </w:rPr>
        <w:t xml:space="preserve">                                      </w:t>
      </w:r>
    </w:p>
    <w:p w14:paraId="624060CA">
      <w:pPr>
        <w:snapToGrid w:val="0"/>
        <w:spacing w:line="500" w:lineRule="exact"/>
        <w:ind w:firstLine="480" w:firstLineChars="200"/>
        <w:textAlignment w:val="baseline"/>
        <w:rPr>
          <w:rFonts w:ascii="宋体" w:hAnsi="宋体" w:cs="宋体"/>
          <w:color w:val="auto"/>
          <w:kern w:val="0"/>
          <w:sz w:val="24"/>
          <w:szCs w:val="24"/>
          <w:highlight w:val="none"/>
        </w:rPr>
      </w:pPr>
      <w:r>
        <w:rPr>
          <w:rFonts w:hint="eastAsia" w:ascii="宋体" w:hAnsi="宋体" w:cs="宋体"/>
          <w:color w:val="auto"/>
          <w:kern w:val="0"/>
          <w:sz w:val="24"/>
          <w:szCs w:val="24"/>
          <w:highlight w:val="none"/>
          <w:lang w:eastAsia="zh-CN"/>
        </w:rPr>
        <w:t>依据</w:t>
      </w:r>
      <w:r>
        <w:rPr>
          <w:rFonts w:hint="eastAsia" w:ascii="宋体" w:hAnsi="宋体" w:cs="宋体"/>
          <w:color w:val="auto"/>
          <w:kern w:val="0"/>
          <w:sz w:val="24"/>
          <w:szCs w:val="24"/>
          <w:highlight w:val="none"/>
        </w:rPr>
        <w:t>《</w:t>
      </w:r>
      <w:r>
        <w:rPr>
          <w:rFonts w:hint="eastAsia" w:ascii="宋体" w:hAnsi="宋体" w:cs="宋体"/>
          <w:color w:val="auto"/>
          <w:kern w:val="0"/>
          <w:sz w:val="24"/>
          <w:szCs w:val="24"/>
          <w:highlight w:val="none"/>
          <w:lang w:eastAsia="zh-CN"/>
        </w:rPr>
        <w:t>中华人民共和国民法典</w:t>
      </w:r>
      <w:r>
        <w:rPr>
          <w:rFonts w:hint="eastAsia" w:ascii="宋体" w:hAnsi="宋体" w:cs="宋体"/>
          <w:color w:val="auto"/>
          <w:kern w:val="0"/>
          <w:sz w:val="24"/>
          <w:szCs w:val="24"/>
          <w:highlight w:val="none"/>
        </w:rPr>
        <w:t>》及《建设工程质量管理条例》，并结合本工程具体情况，经双方友好洽商达成如下协议。</w:t>
      </w:r>
    </w:p>
    <w:p w14:paraId="631723D5">
      <w:pPr>
        <w:snapToGrid w:val="0"/>
        <w:spacing w:line="500" w:lineRule="exact"/>
        <w:ind w:firstLine="482" w:firstLineChars="200"/>
        <w:textAlignment w:val="baseline"/>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第一条</w:t>
      </w:r>
      <w:r>
        <w:rPr>
          <w:rFonts w:hint="eastAsia" w:ascii="宋体" w:hAnsi="宋体" w:cs="宋体"/>
          <w:b/>
          <w:color w:val="auto"/>
          <w:kern w:val="0"/>
          <w:sz w:val="24"/>
          <w:szCs w:val="24"/>
          <w:highlight w:val="none"/>
        </w:rPr>
        <w:tab/>
      </w:r>
      <w:r>
        <w:rPr>
          <w:rFonts w:hint="eastAsia" w:ascii="宋体" w:hAnsi="宋体" w:cs="宋体"/>
          <w:b/>
          <w:color w:val="auto"/>
          <w:kern w:val="0"/>
          <w:sz w:val="24"/>
          <w:szCs w:val="24"/>
          <w:highlight w:val="none"/>
        </w:rPr>
        <w:t xml:space="preserve">  工程概况</w:t>
      </w:r>
    </w:p>
    <w:p w14:paraId="272F0C3C">
      <w:pPr>
        <w:snapToGrid w:val="0"/>
        <w:spacing w:line="500" w:lineRule="exact"/>
        <w:ind w:left="1999" w:leftChars="266" w:hanging="1440" w:hangingChars="6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1.工程名称：</w:t>
      </w:r>
      <w:r>
        <w:rPr>
          <w:rFonts w:hint="eastAsia" w:ascii="宋体" w:hAnsi="宋体"/>
          <w:color w:val="auto"/>
          <w:kern w:val="0"/>
          <w:sz w:val="24"/>
          <w:szCs w:val="24"/>
          <w:highlight w:val="none"/>
          <w:u w:val="single" w:color="auto"/>
          <w:lang w:eastAsia="zh-CN"/>
        </w:rPr>
        <w:t>陕西汉中朱鹮国家级自然保护区2026年花园保护站管护用房修缮维护项目</w:t>
      </w:r>
      <w:r>
        <w:rPr>
          <w:rFonts w:hint="eastAsia" w:ascii="宋体" w:hAnsi="宋体"/>
          <w:color w:val="auto"/>
          <w:kern w:val="0"/>
          <w:sz w:val="24"/>
          <w:szCs w:val="24"/>
          <w:highlight w:val="none"/>
          <w:u w:val="single" w:color="000000"/>
          <w:lang w:val="en-US" w:eastAsia="zh-CN"/>
        </w:rPr>
        <w:t xml:space="preserve"> </w:t>
      </w:r>
    </w:p>
    <w:p w14:paraId="52B012E8">
      <w:pPr>
        <w:snapToGrid w:val="0"/>
        <w:spacing w:line="500" w:lineRule="exact"/>
        <w:ind w:left="1999" w:leftChars="266" w:hanging="1440" w:hangingChars="600"/>
        <w:textAlignment w:val="baseline"/>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rPr>
        <w:t>2.工程地点：</w:t>
      </w:r>
      <w:r>
        <w:rPr>
          <w:rFonts w:hint="eastAsia" w:ascii="宋体" w:hAnsi="宋体"/>
          <w:color w:val="auto"/>
          <w:kern w:val="0"/>
          <w:sz w:val="24"/>
          <w:szCs w:val="24"/>
          <w:highlight w:val="none"/>
          <w:u w:val="single" w:color="auto"/>
          <w:lang w:eastAsia="zh-CN"/>
        </w:rPr>
        <w:t>陕西汉中朱鹮国家级自然保护区</w:t>
      </w:r>
      <w:r>
        <w:rPr>
          <w:rFonts w:hint="eastAsia" w:ascii="宋体" w:hAnsi="宋体"/>
          <w:color w:val="auto"/>
          <w:kern w:val="0"/>
          <w:sz w:val="24"/>
          <w:szCs w:val="24"/>
          <w:highlight w:val="none"/>
          <w:u w:val="single" w:color="000000"/>
          <w:lang w:val="en-US" w:eastAsia="zh-CN"/>
        </w:rPr>
        <w:t xml:space="preserve">  </w:t>
      </w:r>
    </w:p>
    <w:p w14:paraId="139E2C0A">
      <w:pPr>
        <w:snapToGrid w:val="0"/>
        <w:spacing w:line="500" w:lineRule="exact"/>
        <w:ind w:left="2479" w:leftChars="266" w:hanging="1920" w:hangingChars="800"/>
        <w:textAlignment w:val="baseline"/>
        <w:rPr>
          <w:rFonts w:hint="eastAsia" w:ascii="宋体" w:hAnsi="宋体"/>
          <w:color w:val="auto"/>
          <w:kern w:val="0"/>
          <w:sz w:val="24"/>
          <w:szCs w:val="24"/>
          <w:highlight w:val="none"/>
          <w:u w:val="single" w:color="auto"/>
          <w:lang w:eastAsia="zh-CN"/>
        </w:rPr>
      </w:pPr>
      <w:r>
        <w:rPr>
          <w:rFonts w:hint="eastAsia" w:ascii="宋体" w:hAnsi="宋体" w:eastAsia="宋体" w:cs="宋体"/>
          <w:color w:val="auto"/>
          <w:kern w:val="0"/>
          <w:sz w:val="24"/>
          <w:szCs w:val="24"/>
          <w:highlight w:val="none"/>
        </w:rPr>
        <w:t>3.工程内容和范围：</w:t>
      </w:r>
      <w:r>
        <w:rPr>
          <w:rFonts w:hint="eastAsia" w:ascii="宋体" w:hAnsi="宋体" w:cs="宋体"/>
          <w:color w:val="auto"/>
          <w:kern w:val="0"/>
          <w:sz w:val="24"/>
          <w:szCs w:val="24"/>
          <w:highlight w:val="none"/>
          <w:u w:val="single" w:color="auto"/>
          <w:lang w:val="en-US" w:eastAsia="zh-CN"/>
        </w:rPr>
        <w:t xml:space="preserve">              </w:t>
      </w:r>
      <w:r>
        <w:rPr>
          <w:rFonts w:hint="eastAsia" w:ascii="宋体" w:hAnsi="宋体"/>
          <w:color w:val="auto"/>
          <w:kern w:val="0"/>
          <w:sz w:val="24"/>
          <w:szCs w:val="24"/>
          <w:highlight w:val="none"/>
          <w:u w:val="single" w:color="auto"/>
          <w:lang w:eastAsia="zh-CN"/>
        </w:rPr>
        <w:t xml:space="preserve">  </w:t>
      </w:r>
    </w:p>
    <w:p w14:paraId="000A75D3">
      <w:pPr>
        <w:snapToGrid w:val="0"/>
        <w:spacing w:line="500" w:lineRule="exact"/>
        <w:ind w:firstLine="480" w:firstLineChars="200"/>
        <w:textAlignment w:val="baseline"/>
        <w:rPr>
          <w:rFonts w:ascii="宋体" w:hAnsi="宋体" w:cs="宋体"/>
          <w:color w:val="auto"/>
          <w:kern w:val="0"/>
          <w:sz w:val="24"/>
          <w:szCs w:val="24"/>
          <w:highlight w:val="none"/>
        </w:rPr>
      </w:pPr>
      <w:r>
        <w:rPr>
          <w:rFonts w:hint="eastAsia" w:ascii="宋体" w:hAnsi="宋体" w:cs="宋体"/>
          <w:color w:val="auto"/>
          <w:kern w:val="0"/>
          <w:sz w:val="24"/>
          <w:szCs w:val="24"/>
          <w:highlight w:val="none"/>
        </w:rPr>
        <w:t>4.承包方式：包工、包料、包质量、包工期、包安全。</w:t>
      </w:r>
    </w:p>
    <w:p w14:paraId="1C93B7BE">
      <w:pPr>
        <w:snapToGrid w:val="0"/>
        <w:spacing w:line="500" w:lineRule="exact"/>
        <w:ind w:firstLine="480" w:firstLineChars="200"/>
        <w:textAlignment w:val="baseline"/>
        <w:rPr>
          <w:rFonts w:ascii="宋体" w:hAnsi="宋体" w:cs="宋体"/>
          <w:color w:val="auto"/>
          <w:kern w:val="0"/>
          <w:sz w:val="24"/>
          <w:szCs w:val="24"/>
          <w:highlight w:val="none"/>
        </w:rPr>
      </w:pPr>
      <w:r>
        <w:rPr>
          <w:rFonts w:hint="eastAsia" w:ascii="宋体" w:hAnsi="宋体" w:cs="宋体"/>
          <w:color w:val="auto"/>
          <w:kern w:val="0"/>
          <w:sz w:val="24"/>
          <w:szCs w:val="24"/>
          <w:highlight w:val="none"/>
        </w:rPr>
        <w:t>5.工程工期：自合同签订之日起</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日历天。</w:t>
      </w:r>
    </w:p>
    <w:p w14:paraId="29231308">
      <w:pPr>
        <w:snapToGrid w:val="0"/>
        <w:spacing w:line="500" w:lineRule="exact"/>
        <w:ind w:firstLine="482" w:firstLineChars="200"/>
        <w:textAlignment w:val="baseline"/>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第二条</w:t>
      </w:r>
      <w:r>
        <w:rPr>
          <w:rFonts w:hint="eastAsia" w:ascii="宋体" w:hAnsi="宋体" w:cs="宋体"/>
          <w:b/>
          <w:color w:val="auto"/>
          <w:kern w:val="0"/>
          <w:sz w:val="24"/>
          <w:szCs w:val="24"/>
          <w:highlight w:val="none"/>
        </w:rPr>
        <w:tab/>
      </w:r>
      <w:r>
        <w:rPr>
          <w:rFonts w:hint="eastAsia" w:ascii="宋体" w:hAnsi="宋体" w:cs="宋体"/>
          <w:b/>
          <w:color w:val="auto"/>
          <w:kern w:val="0"/>
          <w:sz w:val="24"/>
          <w:szCs w:val="24"/>
          <w:highlight w:val="none"/>
        </w:rPr>
        <w:t xml:space="preserve">  工程质量等级</w:t>
      </w:r>
    </w:p>
    <w:p w14:paraId="07E2840D">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乙方须严格按照国家颁发的现行的各项施工验收规范进行施工，各道工序必须达到规范要求，工程质量评定必须达到合格标准。</w:t>
      </w:r>
    </w:p>
    <w:p w14:paraId="18B70C0D">
      <w:pPr>
        <w:snapToGrid w:val="0"/>
        <w:spacing w:line="500" w:lineRule="exact"/>
        <w:ind w:firstLine="482" w:firstLineChars="200"/>
        <w:textAlignment w:val="baseline"/>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第三条</w:t>
      </w:r>
      <w:r>
        <w:rPr>
          <w:rFonts w:hint="eastAsia" w:ascii="宋体" w:hAnsi="宋体" w:cs="宋体"/>
          <w:b/>
          <w:color w:val="auto"/>
          <w:kern w:val="0"/>
          <w:sz w:val="24"/>
          <w:szCs w:val="24"/>
          <w:highlight w:val="none"/>
        </w:rPr>
        <w:tab/>
      </w:r>
      <w:r>
        <w:rPr>
          <w:rFonts w:hint="eastAsia" w:ascii="宋体" w:hAnsi="宋体" w:cs="宋体"/>
          <w:b/>
          <w:color w:val="auto"/>
          <w:kern w:val="0"/>
          <w:sz w:val="24"/>
          <w:szCs w:val="24"/>
          <w:highlight w:val="none"/>
        </w:rPr>
        <w:t xml:space="preserve">  合同价款及结算依据</w:t>
      </w:r>
    </w:p>
    <w:p w14:paraId="58A07895">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w:t>
      </w:r>
      <w:r>
        <w:rPr>
          <w:rFonts w:hint="eastAsia" w:ascii="宋体" w:hAnsi="宋体" w:cs="宋体"/>
          <w:color w:val="auto"/>
          <w:kern w:val="0"/>
          <w:sz w:val="24"/>
          <w:szCs w:val="24"/>
          <w:highlight w:val="none"/>
        </w:rPr>
        <w:tab/>
      </w:r>
      <w:r>
        <w:rPr>
          <w:rFonts w:hint="eastAsia" w:ascii="宋体" w:hAnsi="宋体" w:cs="宋体"/>
          <w:color w:val="auto"/>
          <w:kern w:val="0"/>
          <w:sz w:val="24"/>
          <w:szCs w:val="24"/>
          <w:highlight w:val="none"/>
        </w:rPr>
        <w:t>本合同总价为为人民币</w:t>
      </w:r>
      <w:r>
        <w:rPr>
          <w:rFonts w:hint="eastAsia" w:ascii="宋体" w:hAnsi="宋体" w:cs="宋体"/>
          <w:color w:val="auto"/>
          <w:kern w:val="0"/>
          <w:sz w:val="24"/>
          <w:szCs w:val="24"/>
          <w:highlight w:val="none"/>
          <w:u w:val="single"/>
        </w:rPr>
        <w:t xml:space="preserve">（大写）        </w:t>
      </w:r>
      <w:r>
        <w:rPr>
          <w:rFonts w:hint="eastAsia" w:ascii="宋体" w:hAnsi="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rPr>
        <w:t xml:space="preserve"> (￥      元)，</w:t>
      </w:r>
      <w:r>
        <w:rPr>
          <w:rFonts w:hint="eastAsia" w:ascii="宋体" w:hAnsi="宋体" w:cs="宋体"/>
          <w:color w:val="auto"/>
          <w:kern w:val="0"/>
          <w:sz w:val="24"/>
          <w:szCs w:val="24"/>
          <w:highlight w:val="none"/>
        </w:rPr>
        <w:t>包括但不仅限于人工费、材料费、机械费、交通费、措施费、管理费、利润、税金等不可预见的一切费用。最终以审计部门审定金额为准。</w:t>
      </w:r>
    </w:p>
    <w:p w14:paraId="2E8FF504">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2.结算依据：以审计部门最终审定的金额为准。</w:t>
      </w:r>
    </w:p>
    <w:p w14:paraId="23493151">
      <w:pPr>
        <w:snapToGrid w:val="0"/>
        <w:spacing w:line="500" w:lineRule="exact"/>
        <w:ind w:firstLine="482" w:firstLineChars="200"/>
        <w:textAlignment w:val="baseline"/>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第四条</w:t>
      </w:r>
      <w:r>
        <w:rPr>
          <w:rFonts w:hint="eastAsia" w:ascii="宋体" w:hAnsi="宋体" w:cs="宋体"/>
          <w:b/>
          <w:color w:val="auto"/>
          <w:kern w:val="0"/>
          <w:sz w:val="24"/>
          <w:szCs w:val="24"/>
          <w:highlight w:val="none"/>
        </w:rPr>
        <w:tab/>
      </w:r>
      <w:r>
        <w:rPr>
          <w:rFonts w:hint="eastAsia" w:ascii="宋体" w:hAnsi="宋体" w:cs="宋体"/>
          <w:b/>
          <w:color w:val="auto"/>
          <w:kern w:val="0"/>
          <w:sz w:val="24"/>
          <w:szCs w:val="24"/>
          <w:highlight w:val="none"/>
        </w:rPr>
        <w:t xml:space="preserve">  甲方责任</w:t>
      </w:r>
    </w:p>
    <w:p w14:paraId="4F3354D8">
      <w:pPr>
        <w:snapToGrid w:val="0"/>
        <w:spacing w:line="500" w:lineRule="exact"/>
        <w:ind w:firstLine="480" w:firstLineChars="200"/>
        <w:textAlignment w:val="baseline"/>
        <w:rPr>
          <w:rFonts w:ascii="宋体" w:hAnsi="宋体" w:cs="宋体"/>
          <w:color w:val="auto"/>
          <w:kern w:val="0"/>
          <w:sz w:val="24"/>
          <w:szCs w:val="24"/>
          <w:highlight w:val="none"/>
        </w:rPr>
      </w:pPr>
      <w:r>
        <w:rPr>
          <w:rFonts w:hint="eastAsia" w:ascii="宋体" w:hAnsi="宋体" w:cs="宋体"/>
          <w:color w:val="auto"/>
          <w:kern w:val="0"/>
          <w:sz w:val="24"/>
          <w:szCs w:val="24"/>
          <w:highlight w:val="none"/>
        </w:rPr>
        <w:t>1.</w:t>
      </w:r>
      <w:r>
        <w:rPr>
          <w:rFonts w:hint="eastAsia" w:ascii="宋体" w:hAnsi="宋体" w:cs="宋体"/>
          <w:color w:val="auto"/>
          <w:kern w:val="0"/>
          <w:sz w:val="24"/>
          <w:szCs w:val="24"/>
          <w:highlight w:val="none"/>
        </w:rPr>
        <w:tab/>
      </w:r>
      <w:r>
        <w:rPr>
          <w:rFonts w:hint="eastAsia" w:ascii="宋体" w:hAnsi="宋体" w:cs="宋体"/>
          <w:color w:val="auto"/>
          <w:kern w:val="0"/>
          <w:sz w:val="24"/>
          <w:szCs w:val="24"/>
          <w:highlight w:val="none"/>
        </w:rPr>
        <w:t>合同签订前甲方向乙方提供与工程有关的图纸及其他资料。</w:t>
      </w:r>
    </w:p>
    <w:p w14:paraId="1CD4AE16">
      <w:pPr>
        <w:snapToGrid w:val="0"/>
        <w:spacing w:line="500" w:lineRule="exact"/>
        <w:ind w:firstLine="480" w:firstLineChars="200"/>
        <w:textAlignment w:val="baseline"/>
        <w:rPr>
          <w:rFonts w:ascii="宋体" w:hAnsi="宋体" w:cs="宋体"/>
          <w:color w:val="auto"/>
          <w:kern w:val="0"/>
          <w:sz w:val="24"/>
          <w:szCs w:val="24"/>
          <w:highlight w:val="none"/>
        </w:rPr>
      </w:pPr>
      <w:r>
        <w:rPr>
          <w:rFonts w:ascii="宋体" w:hAnsi="宋体" w:cs="宋体"/>
          <w:color w:val="auto"/>
          <w:kern w:val="0"/>
          <w:sz w:val="24"/>
          <w:szCs w:val="24"/>
          <w:highlight w:val="none"/>
        </w:rPr>
        <w:t>2</w:t>
      </w:r>
      <w:r>
        <w:rPr>
          <w:rFonts w:hint="eastAsia" w:ascii="宋体" w:hAnsi="宋体" w:cs="宋体"/>
          <w:color w:val="auto"/>
          <w:kern w:val="0"/>
          <w:sz w:val="24"/>
          <w:szCs w:val="24"/>
          <w:highlight w:val="none"/>
        </w:rPr>
        <w:t>.</w:t>
      </w:r>
      <w:r>
        <w:rPr>
          <w:rFonts w:hint="eastAsia" w:ascii="宋体" w:hAnsi="宋体" w:cs="宋体"/>
          <w:color w:val="auto"/>
          <w:kern w:val="0"/>
          <w:sz w:val="24"/>
          <w:szCs w:val="24"/>
          <w:highlight w:val="none"/>
        </w:rPr>
        <w:tab/>
      </w:r>
      <w:r>
        <w:rPr>
          <w:rFonts w:hint="eastAsia" w:ascii="宋体" w:hAnsi="宋体" w:cs="宋体"/>
          <w:color w:val="auto"/>
          <w:kern w:val="0"/>
          <w:sz w:val="24"/>
          <w:szCs w:val="24"/>
          <w:highlight w:val="none"/>
        </w:rPr>
        <w:t>甲方按时交付乙方施工现场，如有延期，工期顺延。</w:t>
      </w:r>
    </w:p>
    <w:p w14:paraId="25E46D1F">
      <w:pPr>
        <w:snapToGrid w:val="0"/>
        <w:spacing w:line="500" w:lineRule="exact"/>
        <w:ind w:firstLine="480" w:firstLineChars="200"/>
        <w:textAlignment w:val="baseline"/>
        <w:rPr>
          <w:rFonts w:ascii="宋体" w:hAnsi="宋体" w:cs="宋体"/>
          <w:color w:val="auto"/>
          <w:kern w:val="0"/>
          <w:sz w:val="24"/>
          <w:szCs w:val="24"/>
          <w:highlight w:val="none"/>
        </w:rPr>
      </w:pPr>
      <w:r>
        <w:rPr>
          <w:rFonts w:ascii="宋体" w:hAnsi="宋体" w:cs="宋体"/>
          <w:color w:val="auto"/>
          <w:kern w:val="0"/>
          <w:sz w:val="24"/>
          <w:szCs w:val="24"/>
          <w:highlight w:val="none"/>
        </w:rPr>
        <w:t>3</w:t>
      </w:r>
      <w:r>
        <w:rPr>
          <w:rFonts w:hint="eastAsia" w:ascii="宋体" w:hAnsi="宋体" w:cs="宋体"/>
          <w:color w:val="auto"/>
          <w:kern w:val="0"/>
          <w:sz w:val="24"/>
          <w:szCs w:val="24"/>
          <w:highlight w:val="none"/>
        </w:rPr>
        <w:t>.</w:t>
      </w:r>
      <w:r>
        <w:rPr>
          <w:rFonts w:hint="eastAsia" w:ascii="宋体" w:hAnsi="宋体" w:cs="宋体"/>
          <w:color w:val="auto"/>
          <w:kern w:val="0"/>
          <w:sz w:val="24"/>
          <w:szCs w:val="24"/>
          <w:highlight w:val="none"/>
        </w:rPr>
        <w:tab/>
      </w:r>
      <w:r>
        <w:rPr>
          <w:rFonts w:hint="eastAsia" w:ascii="宋体" w:hAnsi="宋体" w:cs="宋体"/>
          <w:color w:val="auto"/>
          <w:kern w:val="0"/>
          <w:sz w:val="24"/>
          <w:szCs w:val="24"/>
          <w:highlight w:val="none"/>
        </w:rPr>
        <w:t>甲方工地代表：</w:t>
      </w:r>
      <w:r>
        <w:rPr>
          <w:rFonts w:hint="eastAsia" w:ascii="宋体" w:hAnsi="宋体" w:cs="宋体"/>
          <w:color w:val="auto"/>
          <w:kern w:val="0"/>
          <w:sz w:val="24"/>
          <w:szCs w:val="24"/>
          <w:highlight w:val="none"/>
          <w:u w:val="single" w:color="000000"/>
        </w:rPr>
        <w:t xml:space="preserve"> </w:t>
      </w:r>
      <w:r>
        <w:rPr>
          <w:rFonts w:hint="eastAsia" w:ascii="宋体" w:hAnsi="宋体" w:cs="宋体"/>
          <w:color w:val="auto"/>
          <w:kern w:val="0"/>
          <w:sz w:val="24"/>
          <w:szCs w:val="24"/>
          <w:highlight w:val="none"/>
          <w:u w:val="single" w:color="000000"/>
          <w:lang w:val="en-US" w:eastAsia="zh-CN"/>
        </w:rPr>
        <w:t xml:space="preserve">    </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w:t>
      </w:r>
    </w:p>
    <w:p w14:paraId="656888F9">
      <w:pPr>
        <w:snapToGrid w:val="0"/>
        <w:spacing w:line="500" w:lineRule="exact"/>
        <w:ind w:firstLine="482" w:firstLineChars="200"/>
        <w:textAlignment w:val="baseline"/>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第五条</w:t>
      </w:r>
      <w:r>
        <w:rPr>
          <w:rFonts w:hint="eastAsia" w:ascii="宋体" w:hAnsi="宋体" w:cs="宋体"/>
          <w:b/>
          <w:color w:val="auto"/>
          <w:kern w:val="0"/>
          <w:sz w:val="24"/>
          <w:szCs w:val="24"/>
          <w:highlight w:val="none"/>
        </w:rPr>
        <w:tab/>
      </w:r>
      <w:r>
        <w:rPr>
          <w:rFonts w:hint="eastAsia" w:ascii="宋体" w:hAnsi="宋体" w:cs="宋体"/>
          <w:b/>
          <w:color w:val="auto"/>
          <w:kern w:val="0"/>
          <w:sz w:val="24"/>
          <w:szCs w:val="24"/>
          <w:highlight w:val="none"/>
        </w:rPr>
        <w:t xml:space="preserve">  乙方责任</w:t>
      </w:r>
    </w:p>
    <w:p w14:paraId="706E4405">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1.乙方应接受甲方现场管理人员对项目进行控制管理，安全、文明施工。如发生安全或火灾事故，造成甲方、乙方或第三方人身或财产损失，全部责任由乙方自行承担。</w:t>
      </w:r>
    </w:p>
    <w:p w14:paraId="78E73BE1">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2.按甲方的进度计划要求，按时施工，不得造成施工延误。</w:t>
      </w:r>
    </w:p>
    <w:p w14:paraId="5E6E535E">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3.按甲方的施工总进度计划，认真编制工程施工进度计划及施工组织设计，并组织实施。提交施工进度计划，设备、材料、成品、半成品等进场计划，施工机械一览表，并于合同签订进场施工后五天内将资料交于甲方审核。同时，在施工过程中，服从现场文明施工的统一管理。</w:t>
      </w:r>
    </w:p>
    <w:p w14:paraId="2721641A">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4.乙方必须根据合同及相关附件，经甲方最终认可的各项指标，负责工程中乙方所负责部分材料的采购、运输、加工装配、仓库管理、安装、保护及保修期内的维护有关工作。</w:t>
      </w:r>
    </w:p>
    <w:p w14:paraId="20204E23">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5.严格执行建设部、</w:t>
      </w:r>
      <w:r>
        <w:rPr>
          <w:rFonts w:hint="eastAsia" w:ascii="宋体" w:hAnsi="宋体" w:cs="宋体"/>
          <w:color w:val="auto"/>
          <w:kern w:val="0"/>
          <w:sz w:val="24"/>
          <w:szCs w:val="24"/>
          <w:highlight w:val="none"/>
          <w:lang w:val="en-US" w:eastAsia="zh-CN"/>
        </w:rPr>
        <w:t>咸阳</w:t>
      </w:r>
      <w:r>
        <w:rPr>
          <w:rFonts w:hint="eastAsia" w:ascii="宋体" w:hAnsi="宋体" w:cs="宋体"/>
          <w:color w:val="auto"/>
          <w:kern w:val="0"/>
          <w:sz w:val="24"/>
          <w:szCs w:val="24"/>
          <w:highlight w:val="none"/>
        </w:rPr>
        <w:t>市有关安全生产的规定，在施工过程中，由乙方原因造成的工伤、死亡事故或造成第三方人身财产损害的等由乙方负责、并负担由此发生的一切费用。</w:t>
      </w:r>
    </w:p>
    <w:p w14:paraId="3346617D">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6.服从甲方对所有产品、材料、工程质量的验收，做好施工记录、隐蔽工程验收记录，汇集技术资料，并在工程竣工时配合甲方做好竣工验收技术资料归档工作。</w:t>
      </w:r>
    </w:p>
    <w:p w14:paraId="387E8BDD">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7.已竣工工程未交付甲方之前，乙方负责已完成工程的成品保护工作。保护期间发生损坏，属乙方责任的由乙方负责予以修复。工程范围以外的项目，乙方有对成品、半成品协助保护的责任，由乙方造成的损坏，其损失费用由乙方承担。</w:t>
      </w:r>
    </w:p>
    <w:p w14:paraId="6DC121E1">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8.保证施工现场清洁符合有关规定，交工前清理现场达到建筑物无污染、现场无建筑垃圾。乙方达不到以上要求，甲方可以采取措施组织清运垃圾，并在乙方工程款中扣除，无须征得乙方同意。若乙方违反现场清洁有关规定，承担因违反有关规定造成的损失和罚款（非乙方原因造成的损失和罚款除外）。乙方未履行上述各项义务，造成工期延误和工程损坏，应对甲方的顺势给与赔偿。</w:t>
      </w:r>
    </w:p>
    <w:p w14:paraId="2DFCB3A8">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9.积极配合有关建设、市政、市容、环保、消防、供电等各部门的管理，主动做好相关工作，确保工期和工程的正常运行，并自行承担因此而产生的各项费用以及因违反相关规定而造成的罚款。</w:t>
      </w:r>
    </w:p>
    <w:p w14:paraId="35CBA761">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10.承担现场施工用临设、水电、运输及人员等费用。</w:t>
      </w:r>
    </w:p>
    <w:p w14:paraId="07806C37">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11.乙方工地代表</w:t>
      </w:r>
      <w:r>
        <w:rPr>
          <w:rFonts w:hint="eastAsia" w:ascii="宋体" w:hAnsi="宋体" w:cs="宋体"/>
          <w:i w:val="0"/>
          <w:iCs w:val="0"/>
          <w:color w:val="auto"/>
          <w:kern w:val="0"/>
          <w:sz w:val="24"/>
          <w:szCs w:val="24"/>
          <w:highlight w:val="none"/>
          <w:u w:val="single"/>
        </w:rPr>
        <w:t xml:space="preserve">       </w:t>
      </w:r>
      <w:r>
        <w:rPr>
          <w:rFonts w:hint="eastAsia" w:ascii="宋体" w:hAnsi="宋体" w:cs="宋体"/>
          <w:i w:val="0"/>
          <w:iCs w:val="0"/>
          <w:color w:val="auto"/>
          <w:kern w:val="0"/>
          <w:sz w:val="24"/>
          <w:szCs w:val="24"/>
          <w:highlight w:val="none"/>
          <w:u w:val="single"/>
          <w:lang w:val="en-US" w:eastAsia="zh-CN"/>
        </w:rPr>
        <w:t xml:space="preserve">    </w:t>
      </w:r>
      <w:r>
        <w:rPr>
          <w:rFonts w:hint="eastAsia" w:ascii="宋体" w:hAnsi="宋体" w:cs="宋体"/>
          <w:i w:val="0"/>
          <w:iCs w:val="0"/>
          <w:color w:val="auto"/>
          <w:kern w:val="0"/>
          <w:sz w:val="24"/>
          <w:szCs w:val="24"/>
          <w:highlight w:val="none"/>
          <w:u w:val="single"/>
        </w:rPr>
        <w:t xml:space="preserve"> </w:t>
      </w:r>
      <w:r>
        <w:rPr>
          <w:rFonts w:hint="eastAsia" w:ascii="宋体" w:hAnsi="宋体" w:cs="宋体"/>
          <w:color w:val="auto"/>
          <w:kern w:val="0"/>
          <w:sz w:val="24"/>
          <w:szCs w:val="24"/>
          <w:highlight w:val="none"/>
        </w:rPr>
        <w:t>。</w:t>
      </w:r>
    </w:p>
    <w:p w14:paraId="6229E67D">
      <w:pPr>
        <w:snapToGrid w:val="0"/>
        <w:spacing w:line="500" w:lineRule="exact"/>
        <w:ind w:firstLine="482" w:firstLineChars="200"/>
        <w:textAlignment w:val="baseline"/>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第六条</w:t>
      </w:r>
      <w:r>
        <w:rPr>
          <w:rFonts w:hint="eastAsia" w:ascii="宋体" w:hAnsi="宋体" w:cs="宋体"/>
          <w:b/>
          <w:color w:val="auto"/>
          <w:kern w:val="0"/>
          <w:sz w:val="24"/>
          <w:szCs w:val="24"/>
          <w:highlight w:val="none"/>
        </w:rPr>
        <w:tab/>
      </w:r>
      <w:r>
        <w:rPr>
          <w:rFonts w:hint="eastAsia" w:ascii="宋体" w:hAnsi="宋体" w:cs="宋体"/>
          <w:b/>
          <w:color w:val="auto"/>
          <w:kern w:val="0"/>
          <w:sz w:val="24"/>
          <w:szCs w:val="24"/>
          <w:highlight w:val="none"/>
        </w:rPr>
        <w:t xml:space="preserve">  施工组织设计</w:t>
      </w:r>
    </w:p>
    <w:p w14:paraId="20735F15">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乙方必须按经甲方批准的进度计划组织施工，接受甲方代表对进度的检查、监督。工程实际进度与计划不符合，乙方应按甲方代表的要求提出改进措施，经甲方代表签认后执行，由此造成延期责任及费用由乙方承担。</w:t>
      </w:r>
    </w:p>
    <w:p w14:paraId="2493B5C2">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2.施工期间由于人力不可抗拒的自然灾害及甲方原因造成设计变更而影响工期，乙方在24小时内提出书面报告，经甲方确认后，由此发生的费用及工期双方协商，乙方应尽量确保如期完成。</w:t>
      </w:r>
    </w:p>
    <w:p w14:paraId="0E8FB35B">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3.甲方在不妨碍乙方正常作业的情况下，可以随时对工程进度、质量进行检查。</w:t>
      </w:r>
    </w:p>
    <w:p w14:paraId="6287406D">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4.乙方采购的材料，应附有合格证，否则甲方代表拒绝验收，对不合格材料乙方应按甲方要求的时间运出场外并重新采购，因此而发生的费用由乙方承担，工期不予以顺延。</w:t>
      </w:r>
    </w:p>
    <w:p w14:paraId="7C2ABFD4">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5.乙方应于材料到货后24小时内通知甲方代表验收，甲方代表在接到通知后应及时验收，若不能按时到场验收，乙方可自验后使用，事后经检查部不符合质量或设计要求，由乙方拆除，重新更换，损失由乙方承担，工期不予以顺延。进口材料乙方应提供相关报关手续、商检报告。</w:t>
      </w:r>
    </w:p>
    <w:p w14:paraId="1539DD1B">
      <w:pPr>
        <w:snapToGrid w:val="0"/>
        <w:spacing w:line="500" w:lineRule="exact"/>
        <w:ind w:firstLine="482" w:firstLineChars="200"/>
        <w:textAlignment w:val="baseline"/>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第七条</w:t>
      </w:r>
      <w:r>
        <w:rPr>
          <w:rFonts w:hint="eastAsia" w:ascii="宋体" w:hAnsi="宋体" w:cs="宋体"/>
          <w:b/>
          <w:color w:val="auto"/>
          <w:kern w:val="0"/>
          <w:sz w:val="24"/>
          <w:szCs w:val="24"/>
          <w:highlight w:val="none"/>
        </w:rPr>
        <w:tab/>
      </w:r>
      <w:r>
        <w:rPr>
          <w:rFonts w:hint="eastAsia" w:ascii="宋体" w:hAnsi="宋体" w:cs="宋体"/>
          <w:b/>
          <w:color w:val="auto"/>
          <w:kern w:val="0"/>
          <w:sz w:val="24"/>
          <w:szCs w:val="24"/>
          <w:highlight w:val="none"/>
        </w:rPr>
        <w:t xml:space="preserve">  合同价款支付</w:t>
      </w:r>
    </w:p>
    <w:p w14:paraId="1B053164">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1.本合同属于固定单价合同，工程量以监理、发包人现场代表、审计单位及施工单位共同计量签字确定的已完工工程量为准。</w:t>
      </w:r>
    </w:p>
    <w:p w14:paraId="1B868273">
      <w:pPr>
        <w:snapToGrid w:val="0"/>
        <w:spacing w:line="500" w:lineRule="exact"/>
        <w:ind w:firstLine="480" w:firstLineChars="200"/>
        <w:textAlignment w:val="baseline"/>
        <w:rPr>
          <w:rFonts w:hint="eastAsia" w:ascii="宋体" w:hAnsi="宋体" w:cs="宋体"/>
          <w:color w:val="auto"/>
          <w:kern w:val="0"/>
          <w:sz w:val="24"/>
          <w:szCs w:val="24"/>
          <w:highlight w:val="magenta"/>
        </w:rPr>
      </w:pPr>
      <w:r>
        <w:rPr>
          <w:rFonts w:hint="eastAsia" w:ascii="宋体" w:hAnsi="宋体" w:cs="宋体"/>
          <w:color w:val="auto"/>
          <w:kern w:val="0"/>
          <w:sz w:val="24"/>
          <w:szCs w:val="24"/>
          <w:highlight w:val="magenta"/>
        </w:rPr>
        <w:t>2.合同签订后15日内，乙方先行提供预付款发票，甲方向乙方支付合同金额的30%作为预付款；项目验收合格后15日内，支付合同总金额的67%，质保期满后无质量问题15日内，支付合同总金额3%。</w:t>
      </w:r>
    </w:p>
    <w:p w14:paraId="2ABE82FF">
      <w:pPr>
        <w:snapToGrid w:val="0"/>
        <w:spacing w:line="500" w:lineRule="exact"/>
        <w:ind w:firstLine="480" w:firstLineChars="200"/>
        <w:textAlignment w:val="baseline"/>
        <w:rPr>
          <w:rFonts w:ascii="宋体" w:hAnsi="宋体" w:cs="宋体"/>
          <w:color w:val="auto"/>
          <w:kern w:val="0"/>
          <w:sz w:val="24"/>
          <w:szCs w:val="24"/>
          <w:highlight w:val="none"/>
        </w:rPr>
      </w:pPr>
      <w:r>
        <w:rPr>
          <w:rFonts w:hint="eastAsia" w:ascii="宋体" w:hAnsi="宋体" w:cs="宋体"/>
          <w:color w:val="auto"/>
          <w:kern w:val="0"/>
          <w:sz w:val="24"/>
          <w:szCs w:val="24"/>
          <w:highlight w:val="none"/>
        </w:rPr>
        <w:t>3．发包人支付工程款前，承包人应提供与当期应付工程款等额有效发票。</w:t>
      </w:r>
    </w:p>
    <w:p w14:paraId="655B1575">
      <w:pPr>
        <w:snapToGrid w:val="0"/>
        <w:spacing w:line="500" w:lineRule="exact"/>
        <w:ind w:firstLine="482" w:firstLineChars="200"/>
        <w:textAlignment w:val="baseline"/>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第八条</w:t>
      </w:r>
      <w:r>
        <w:rPr>
          <w:rFonts w:hint="eastAsia" w:ascii="宋体" w:hAnsi="宋体" w:cs="宋体"/>
          <w:b/>
          <w:color w:val="auto"/>
          <w:kern w:val="0"/>
          <w:sz w:val="24"/>
          <w:szCs w:val="24"/>
          <w:highlight w:val="none"/>
        </w:rPr>
        <w:tab/>
      </w:r>
      <w:r>
        <w:rPr>
          <w:rFonts w:hint="eastAsia" w:ascii="宋体" w:hAnsi="宋体" w:cs="宋体"/>
          <w:b/>
          <w:color w:val="auto"/>
          <w:kern w:val="0"/>
          <w:sz w:val="24"/>
          <w:szCs w:val="24"/>
          <w:highlight w:val="none"/>
        </w:rPr>
        <w:t xml:space="preserve">  质量和竣工验收</w:t>
      </w:r>
    </w:p>
    <w:p w14:paraId="218FBE77">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乙方应认真按照国家颁发的施工验收规范及本工程设计图纸要求进行施工，并应接受甲方代表或委派人员的检查、验收，乙方应为甲方人员检查提供便利条件。施工标准应达到甲方的功能要求。对达不到合格质量标准的部分按甲方代表及委派人员的要求返工修改，承担由自身原因导致返工修改的费用。</w:t>
      </w:r>
    </w:p>
    <w:p w14:paraId="546FD670">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2.乙方应及时提供关于工程质量的技术资料、材料、设备合格证等的影印件。材料代用必须经设计单位和甲方同意后方可使用。</w:t>
      </w:r>
    </w:p>
    <w:p w14:paraId="2B8D9726">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3.隐蔽工程由乙方自检后，填写《隐蔽工程验收单》，并通知甲方到场检查验收，甲方工地代表应在24小时内到现场检验，在验收单上签字认可后，乙方方可进行下一工序施工。</w:t>
      </w:r>
    </w:p>
    <w:p w14:paraId="4CC83405">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4.工程竣工验收，应以双方确认施工图纸、说明、技术交底纪要、设计变更通知，国家颁发的施工验收规范和质量验收标准为依据。</w:t>
      </w:r>
    </w:p>
    <w:p w14:paraId="0F3E701A">
      <w:pPr>
        <w:snapToGrid w:val="0"/>
        <w:spacing w:line="500" w:lineRule="exact"/>
        <w:ind w:firstLine="482" w:firstLineChars="200"/>
        <w:textAlignment w:val="baseline"/>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第九条</w:t>
      </w:r>
      <w:r>
        <w:rPr>
          <w:rFonts w:hint="eastAsia" w:ascii="宋体" w:hAnsi="宋体" w:cs="宋体"/>
          <w:b/>
          <w:color w:val="auto"/>
          <w:kern w:val="0"/>
          <w:sz w:val="24"/>
          <w:szCs w:val="24"/>
          <w:highlight w:val="none"/>
        </w:rPr>
        <w:tab/>
      </w:r>
      <w:r>
        <w:rPr>
          <w:rFonts w:hint="eastAsia" w:ascii="宋体" w:hAnsi="宋体" w:cs="宋体"/>
          <w:b/>
          <w:color w:val="auto"/>
          <w:kern w:val="0"/>
          <w:sz w:val="24"/>
          <w:szCs w:val="24"/>
          <w:highlight w:val="none"/>
        </w:rPr>
        <w:t xml:space="preserve">   违约责任及争议的解决方式</w:t>
      </w:r>
    </w:p>
    <w:p w14:paraId="32272E35">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因乙方原因造成工期拖延，按照合同约定的总工期天数，每延期一天，乙方支付甲方合同价款千分之二的违约金；若逾期交工超过十日，甲方有权单方解除本合同。非乙方原因造成的停电、停水及不可抗力（自然灾害、战争等）因素，甲方视情况工期予以适当顺延。</w:t>
      </w:r>
    </w:p>
    <w:p w14:paraId="18CBDA6B">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2.工程质量经甲方验收不能达到乙方承诺的合格标准，经整改后仍不能达到甲方验收标准，每发现一处质量问题，乙方自愿承担</w:t>
      </w:r>
      <w:r>
        <w:rPr>
          <w:rFonts w:hint="eastAsia" w:ascii="宋体" w:hAnsi="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rPr>
        <w:t>元经济处罚，罚款累计计算。</w:t>
      </w:r>
    </w:p>
    <w:p w14:paraId="25215287">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3.合同执行过程中如发生争议，在不影响工程进度的前提下，双方应及时协商解决。协商不成时，可向工程所在地人民法院起诉。</w:t>
      </w:r>
    </w:p>
    <w:p w14:paraId="2CFA5E4E">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4.如果乙方不能按照合同中规定的工期、质量、进度履行合同条款，甲方认为工程进度缓慢、工程质量达不到规定的质量要求，甲方有权单方面解除合同，并以函件的形式通知乙方，无须诉诸司法机关或采取其他措施；因上述原因解除合同给甲方造成的经济损失，乙方应给予赔偿。</w:t>
      </w:r>
    </w:p>
    <w:p w14:paraId="7F1D238C">
      <w:pPr>
        <w:snapToGrid w:val="0"/>
        <w:spacing w:line="500" w:lineRule="exact"/>
        <w:ind w:firstLine="480" w:firstLineChars="200"/>
        <w:textAlignment w:val="baseline"/>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5.本合同未尽事宜，双方可根据具体情况进行补充。</w:t>
      </w:r>
    </w:p>
    <w:p w14:paraId="4C99C62C">
      <w:pPr>
        <w:snapToGrid w:val="0"/>
        <w:spacing w:line="500" w:lineRule="exact"/>
        <w:ind w:firstLine="482" w:firstLineChars="200"/>
        <w:textAlignment w:val="baseline"/>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第十条</w:t>
      </w:r>
      <w:r>
        <w:rPr>
          <w:rFonts w:hint="eastAsia" w:ascii="宋体" w:hAnsi="宋体" w:cs="宋体"/>
          <w:b/>
          <w:color w:val="auto"/>
          <w:kern w:val="0"/>
          <w:sz w:val="24"/>
          <w:szCs w:val="24"/>
          <w:highlight w:val="none"/>
        </w:rPr>
        <w:tab/>
      </w:r>
      <w:r>
        <w:rPr>
          <w:rFonts w:hint="eastAsia" w:ascii="宋体" w:hAnsi="宋体" w:cs="宋体"/>
          <w:b/>
          <w:color w:val="auto"/>
          <w:kern w:val="0"/>
          <w:sz w:val="24"/>
          <w:szCs w:val="24"/>
          <w:highlight w:val="none"/>
        </w:rPr>
        <w:t xml:space="preserve"> 附   则</w:t>
      </w:r>
    </w:p>
    <w:p w14:paraId="44BD178D">
      <w:pPr>
        <w:snapToGrid w:val="0"/>
        <w:spacing w:line="500" w:lineRule="exact"/>
        <w:ind w:firstLine="480" w:firstLineChars="200"/>
        <w:textAlignment w:val="baseline"/>
        <w:rPr>
          <w:rFonts w:ascii="宋体" w:hAnsi="宋体" w:cs="宋体"/>
          <w:color w:val="auto"/>
          <w:kern w:val="0"/>
          <w:sz w:val="24"/>
          <w:szCs w:val="24"/>
          <w:highlight w:val="none"/>
        </w:rPr>
      </w:pPr>
      <w:r>
        <w:rPr>
          <w:rFonts w:hint="eastAsia" w:ascii="宋体" w:hAnsi="宋体" w:cs="宋体"/>
          <w:color w:val="auto"/>
          <w:kern w:val="0"/>
          <w:sz w:val="24"/>
          <w:szCs w:val="24"/>
          <w:highlight w:val="none"/>
        </w:rPr>
        <w:t>1.</w:t>
      </w:r>
      <w:r>
        <w:rPr>
          <w:rFonts w:hint="eastAsia" w:ascii="宋体" w:hAnsi="宋体" w:cs="宋体"/>
          <w:color w:val="auto"/>
          <w:kern w:val="0"/>
          <w:sz w:val="24"/>
          <w:szCs w:val="24"/>
          <w:highlight w:val="none"/>
        </w:rPr>
        <w:tab/>
      </w:r>
      <w:r>
        <w:rPr>
          <w:rFonts w:hint="eastAsia" w:ascii="宋体" w:hAnsi="宋体" w:cs="宋体"/>
          <w:color w:val="auto"/>
          <w:kern w:val="0"/>
          <w:sz w:val="24"/>
          <w:szCs w:val="24"/>
          <w:highlight w:val="none"/>
        </w:rPr>
        <w:t>本合同一式</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u w:val="single"/>
          <w:lang w:val="en-US" w:eastAsia="zh-CN"/>
        </w:rPr>
        <w:t>4</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份，甲方执</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u w:val="single"/>
          <w:lang w:val="en-US" w:eastAsia="zh-CN"/>
        </w:rPr>
        <w:t>2</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份，乙方执</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u w:val="single"/>
          <w:lang w:val="en-US" w:eastAsia="zh-CN"/>
        </w:rPr>
        <w:t>2</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份。</w:t>
      </w:r>
    </w:p>
    <w:p w14:paraId="11989966">
      <w:pPr>
        <w:snapToGrid w:val="0"/>
        <w:spacing w:line="500" w:lineRule="exact"/>
        <w:ind w:firstLine="480" w:firstLineChars="200"/>
        <w:textAlignment w:val="baseline"/>
        <w:rPr>
          <w:rFonts w:hint="eastAsia" w:ascii="宋体" w:hAnsi="宋体" w:cs="宋体"/>
          <w:color w:val="auto"/>
          <w:sz w:val="24"/>
          <w:szCs w:val="24"/>
          <w:highlight w:val="none"/>
        </w:rPr>
      </w:pPr>
      <w:r>
        <w:rPr>
          <w:rFonts w:hint="eastAsia" w:ascii="宋体" w:hAnsi="宋体" w:cs="宋体"/>
          <w:color w:val="auto"/>
          <w:kern w:val="0"/>
          <w:sz w:val="24"/>
          <w:szCs w:val="24"/>
          <w:highlight w:val="none"/>
        </w:rPr>
        <w:t>2.</w:t>
      </w:r>
      <w:r>
        <w:rPr>
          <w:rFonts w:hint="eastAsia" w:ascii="宋体" w:hAnsi="宋体" w:cs="宋体"/>
          <w:color w:val="auto"/>
          <w:kern w:val="0"/>
          <w:sz w:val="24"/>
          <w:szCs w:val="24"/>
          <w:highlight w:val="none"/>
        </w:rPr>
        <w:tab/>
      </w:r>
      <w:r>
        <w:rPr>
          <w:rFonts w:hint="eastAsia" w:ascii="宋体" w:hAnsi="宋体" w:cs="宋体"/>
          <w:color w:val="auto"/>
          <w:sz w:val="24"/>
          <w:szCs w:val="24"/>
          <w:highlight w:val="none"/>
        </w:rPr>
        <w:t>合同经双方盖章后生效，各条款执行完毕后终止。</w:t>
      </w:r>
    </w:p>
    <w:p w14:paraId="4497EBD9">
      <w:pPr>
        <w:pStyle w:val="2"/>
        <w:rPr>
          <w:rFonts w:hint="eastAsia" w:ascii="宋体" w:hAnsi="宋体" w:cs="宋体"/>
          <w:color w:val="auto"/>
          <w:sz w:val="24"/>
          <w:szCs w:val="24"/>
          <w:highlight w:val="none"/>
        </w:rPr>
      </w:pPr>
    </w:p>
    <w:p w14:paraId="0524DBD9"/>
    <w:tbl>
      <w:tblPr>
        <w:tblStyle w:val="6"/>
        <w:tblW w:w="8403" w:type="dxa"/>
        <w:jc w:val="center"/>
        <w:tblLayout w:type="fixed"/>
        <w:tblCellMar>
          <w:top w:w="0" w:type="dxa"/>
          <w:left w:w="108" w:type="dxa"/>
          <w:bottom w:w="0" w:type="dxa"/>
          <w:right w:w="108" w:type="dxa"/>
        </w:tblCellMar>
      </w:tblPr>
      <w:tblGrid>
        <w:gridCol w:w="4201"/>
        <w:gridCol w:w="4202"/>
      </w:tblGrid>
      <w:tr w14:paraId="22C794A6">
        <w:tblPrEx>
          <w:tblCellMar>
            <w:top w:w="0" w:type="dxa"/>
            <w:left w:w="108" w:type="dxa"/>
            <w:bottom w:w="0" w:type="dxa"/>
            <w:right w:w="108" w:type="dxa"/>
          </w:tblCellMar>
        </w:tblPrEx>
        <w:trPr>
          <w:trHeight w:val="567" w:hRule="exact"/>
          <w:jc w:val="center"/>
        </w:trPr>
        <w:tc>
          <w:tcPr>
            <w:tcW w:w="4201" w:type="dxa"/>
            <w:noWrap w:val="0"/>
            <w:vAlign w:val="center"/>
          </w:tcPr>
          <w:p w14:paraId="335EA962">
            <w:pPr>
              <w:autoSpaceDE w:val="0"/>
              <w:autoSpaceDN w:val="0"/>
              <w:adjustRightInd w:val="0"/>
              <w:spacing w:line="5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甲  方：</w:t>
            </w:r>
          </w:p>
        </w:tc>
        <w:tc>
          <w:tcPr>
            <w:tcW w:w="4202" w:type="dxa"/>
            <w:noWrap w:val="0"/>
            <w:vAlign w:val="center"/>
          </w:tcPr>
          <w:p w14:paraId="56225788">
            <w:pPr>
              <w:autoSpaceDE w:val="0"/>
              <w:autoSpaceDN w:val="0"/>
              <w:adjustRightInd w:val="0"/>
              <w:spacing w:line="5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乙  方：</w:t>
            </w:r>
          </w:p>
        </w:tc>
      </w:tr>
      <w:tr w14:paraId="3DAC0F49">
        <w:tblPrEx>
          <w:tblCellMar>
            <w:top w:w="0" w:type="dxa"/>
            <w:left w:w="108" w:type="dxa"/>
            <w:bottom w:w="0" w:type="dxa"/>
            <w:right w:w="108" w:type="dxa"/>
          </w:tblCellMar>
        </w:tblPrEx>
        <w:trPr>
          <w:trHeight w:val="567" w:hRule="exact"/>
          <w:jc w:val="center"/>
        </w:trPr>
        <w:tc>
          <w:tcPr>
            <w:tcW w:w="4201" w:type="dxa"/>
            <w:noWrap w:val="0"/>
            <w:vAlign w:val="center"/>
          </w:tcPr>
          <w:p w14:paraId="5CDC00DB">
            <w:pPr>
              <w:autoSpaceDE w:val="0"/>
              <w:autoSpaceDN w:val="0"/>
              <w:adjustRightInd w:val="0"/>
              <w:spacing w:line="500" w:lineRule="exact"/>
              <w:ind w:firstLine="1080" w:firstLineChars="450"/>
              <w:rPr>
                <w:rFonts w:ascii="宋体" w:hAnsi="宋体" w:cs="宋体"/>
                <w:color w:val="auto"/>
                <w:sz w:val="24"/>
                <w:szCs w:val="24"/>
                <w:highlight w:val="none"/>
              </w:rPr>
            </w:pPr>
            <w:r>
              <w:rPr>
                <w:rFonts w:hint="eastAsia" w:ascii="宋体" w:hAnsi="宋体" w:cs="宋体"/>
                <w:color w:val="auto"/>
                <w:sz w:val="24"/>
                <w:szCs w:val="24"/>
                <w:highlight w:val="none"/>
              </w:rPr>
              <w:t>（盖章）</w:t>
            </w:r>
          </w:p>
        </w:tc>
        <w:tc>
          <w:tcPr>
            <w:tcW w:w="4202" w:type="dxa"/>
            <w:noWrap w:val="0"/>
            <w:vAlign w:val="center"/>
          </w:tcPr>
          <w:p w14:paraId="6CF378D5">
            <w:pPr>
              <w:autoSpaceDE w:val="0"/>
              <w:autoSpaceDN w:val="0"/>
              <w:adjustRightInd w:val="0"/>
              <w:spacing w:line="500" w:lineRule="exact"/>
              <w:ind w:firstLine="840" w:firstLineChars="350"/>
              <w:rPr>
                <w:rFonts w:ascii="宋体" w:hAnsi="宋体" w:cs="宋体"/>
                <w:color w:val="auto"/>
                <w:sz w:val="24"/>
                <w:szCs w:val="24"/>
                <w:highlight w:val="none"/>
              </w:rPr>
            </w:pPr>
            <w:r>
              <w:rPr>
                <w:rFonts w:hint="eastAsia" w:ascii="宋体" w:hAnsi="宋体" w:cs="宋体"/>
                <w:color w:val="auto"/>
                <w:sz w:val="24"/>
                <w:szCs w:val="24"/>
                <w:highlight w:val="none"/>
              </w:rPr>
              <w:t>（盖章）</w:t>
            </w:r>
          </w:p>
        </w:tc>
      </w:tr>
      <w:tr w14:paraId="3956576E">
        <w:tblPrEx>
          <w:tblCellMar>
            <w:top w:w="0" w:type="dxa"/>
            <w:left w:w="108" w:type="dxa"/>
            <w:bottom w:w="0" w:type="dxa"/>
            <w:right w:w="108" w:type="dxa"/>
          </w:tblCellMar>
        </w:tblPrEx>
        <w:trPr>
          <w:trHeight w:val="567" w:hRule="exact"/>
          <w:jc w:val="center"/>
        </w:trPr>
        <w:tc>
          <w:tcPr>
            <w:tcW w:w="4201" w:type="dxa"/>
            <w:noWrap w:val="0"/>
            <w:vAlign w:val="center"/>
          </w:tcPr>
          <w:p w14:paraId="3CE2473D">
            <w:pPr>
              <w:tabs>
                <w:tab w:val="left" w:pos="0"/>
              </w:tabs>
              <w:spacing w:line="5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地址： </w:t>
            </w:r>
          </w:p>
        </w:tc>
        <w:tc>
          <w:tcPr>
            <w:tcW w:w="4202" w:type="dxa"/>
            <w:noWrap w:val="0"/>
            <w:vAlign w:val="center"/>
          </w:tcPr>
          <w:p w14:paraId="6D2A7C0C">
            <w:pPr>
              <w:tabs>
                <w:tab w:val="left" w:pos="0"/>
              </w:tabs>
              <w:spacing w:line="5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地址：</w:t>
            </w:r>
          </w:p>
        </w:tc>
      </w:tr>
      <w:tr w14:paraId="161DAF94">
        <w:tblPrEx>
          <w:tblCellMar>
            <w:top w:w="0" w:type="dxa"/>
            <w:left w:w="108" w:type="dxa"/>
            <w:bottom w:w="0" w:type="dxa"/>
            <w:right w:w="108" w:type="dxa"/>
          </w:tblCellMar>
        </w:tblPrEx>
        <w:trPr>
          <w:trHeight w:val="567" w:hRule="exact"/>
          <w:jc w:val="center"/>
        </w:trPr>
        <w:tc>
          <w:tcPr>
            <w:tcW w:w="4201" w:type="dxa"/>
            <w:noWrap w:val="0"/>
            <w:vAlign w:val="center"/>
          </w:tcPr>
          <w:p w14:paraId="78C066CE">
            <w:pPr>
              <w:tabs>
                <w:tab w:val="left" w:pos="0"/>
              </w:tabs>
              <w:spacing w:line="5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邮编：</w:t>
            </w:r>
          </w:p>
        </w:tc>
        <w:tc>
          <w:tcPr>
            <w:tcW w:w="4202" w:type="dxa"/>
            <w:noWrap w:val="0"/>
            <w:vAlign w:val="center"/>
          </w:tcPr>
          <w:p w14:paraId="75C94A98">
            <w:pPr>
              <w:tabs>
                <w:tab w:val="left" w:pos="0"/>
              </w:tabs>
              <w:spacing w:line="5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邮编：</w:t>
            </w:r>
          </w:p>
        </w:tc>
      </w:tr>
      <w:tr w14:paraId="1C61D58F">
        <w:tblPrEx>
          <w:tblCellMar>
            <w:top w:w="0" w:type="dxa"/>
            <w:left w:w="108" w:type="dxa"/>
            <w:bottom w:w="0" w:type="dxa"/>
            <w:right w:w="108" w:type="dxa"/>
          </w:tblCellMar>
        </w:tblPrEx>
        <w:trPr>
          <w:trHeight w:val="567" w:hRule="exact"/>
          <w:jc w:val="center"/>
        </w:trPr>
        <w:tc>
          <w:tcPr>
            <w:tcW w:w="4201" w:type="dxa"/>
            <w:noWrap w:val="0"/>
            <w:vAlign w:val="center"/>
          </w:tcPr>
          <w:p w14:paraId="33835BB8">
            <w:pPr>
              <w:tabs>
                <w:tab w:val="left" w:pos="0"/>
              </w:tabs>
              <w:spacing w:line="5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法定代表人： </w:t>
            </w:r>
          </w:p>
        </w:tc>
        <w:tc>
          <w:tcPr>
            <w:tcW w:w="4202" w:type="dxa"/>
            <w:noWrap w:val="0"/>
            <w:vAlign w:val="center"/>
          </w:tcPr>
          <w:p w14:paraId="64002699">
            <w:pPr>
              <w:tabs>
                <w:tab w:val="left" w:pos="0"/>
              </w:tabs>
              <w:spacing w:line="5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法定代表人：</w:t>
            </w:r>
          </w:p>
        </w:tc>
      </w:tr>
      <w:tr w14:paraId="0D235194">
        <w:tblPrEx>
          <w:tblCellMar>
            <w:top w:w="0" w:type="dxa"/>
            <w:left w:w="108" w:type="dxa"/>
            <w:bottom w:w="0" w:type="dxa"/>
            <w:right w:w="108" w:type="dxa"/>
          </w:tblCellMar>
        </w:tblPrEx>
        <w:trPr>
          <w:trHeight w:val="567" w:hRule="exact"/>
          <w:jc w:val="center"/>
        </w:trPr>
        <w:tc>
          <w:tcPr>
            <w:tcW w:w="4201" w:type="dxa"/>
            <w:noWrap w:val="0"/>
            <w:vAlign w:val="center"/>
          </w:tcPr>
          <w:p w14:paraId="793F7F79">
            <w:pPr>
              <w:tabs>
                <w:tab w:val="left" w:pos="0"/>
              </w:tabs>
              <w:spacing w:line="5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被授权代表：</w:t>
            </w:r>
          </w:p>
        </w:tc>
        <w:tc>
          <w:tcPr>
            <w:tcW w:w="4202" w:type="dxa"/>
            <w:noWrap w:val="0"/>
            <w:vAlign w:val="center"/>
          </w:tcPr>
          <w:p w14:paraId="6846C3E9">
            <w:pPr>
              <w:tabs>
                <w:tab w:val="left" w:pos="0"/>
              </w:tabs>
              <w:spacing w:line="5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被授权代表：</w:t>
            </w:r>
          </w:p>
        </w:tc>
      </w:tr>
      <w:tr w14:paraId="7914AFF6">
        <w:tblPrEx>
          <w:tblCellMar>
            <w:top w:w="0" w:type="dxa"/>
            <w:left w:w="108" w:type="dxa"/>
            <w:bottom w:w="0" w:type="dxa"/>
            <w:right w:w="108" w:type="dxa"/>
          </w:tblCellMar>
        </w:tblPrEx>
        <w:trPr>
          <w:trHeight w:val="567" w:hRule="exact"/>
          <w:jc w:val="center"/>
        </w:trPr>
        <w:tc>
          <w:tcPr>
            <w:tcW w:w="4201" w:type="dxa"/>
            <w:noWrap w:val="0"/>
            <w:vAlign w:val="center"/>
          </w:tcPr>
          <w:p w14:paraId="27F93689">
            <w:pPr>
              <w:tabs>
                <w:tab w:val="left" w:pos="0"/>
              </w:tabs>
              <w:spacing w:line="5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电话：</w:t>
            </w:r>
          </w:p>
        </w:tc>
        <w:tc>
          <w:tcPr>
            <w:tcW w:w="4202" w:type="dxa"/>
            <w:noWrap w:val="0"/>
            <w:vAlign w:val="center"/>
          </w:tcPr>
          <w:p w14:paraId="60E12AEC">
            <w:pPr>
              <w:tabs>
                <w:tab w:val="left" w:pos="0"/>
              </w:tabs>
              <w:spacing w:line="5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电话：</w:t>
            </w:r>
          </w:p>
        </w:tc>
      </w:tr>
      <w:tr w14:paraId="3733E40F">
        <w:tblPrEx>
          <w:tblCellMar>
            <w:top w:w="0" w:type="dxa"/>
            <w:left w:w="108" w:type="dxa"/>
            <w:bottom w:w="0" w:type="dxa"/>
            <w:right w:w="108" w:type="dxa"/>
          </w:tblCellMar>
        </w:tblPrEx>
        <w:trPr>
          <w:trHeight w:val="567" w:hRule="exact"/>
          <w:jc w:val="center"/>
        </w:trPr>
        <w:tc>
          <w:tcPr>
            <w:tcW w:w="4201" w:type="dxa"/>
            <w:noWrap w:val="0"/>
            <w:vAlign w:val="center"/>
          </w:tcPr>
          <w:p w14:paraId="01A5971A">
            <w:pPr>
              <w:tabs>
                <w:tab w:val="left" w:pos="0"/>
              </w:tabs>
              <w:spacing w:line="5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传真：</w:t>
            </w:r>
          </w:p>
        </w:tc>
        <w:tc>
          <w:tcPr>
            <w:tcW w:w="4202" w:type="dxa"/>
            <w:noWrap w:val="0"/>
            <w:vAlign w:val="center"/>
          </w:tcPr>
          <w:p w14:paraId="25388B2F">
            <w:pPr>
              <w:tabs>
                <w:tab w:val="left" w:pos="0"/>
              </w:tabs>
              <w:spacing w:line="5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传真：</w:t>
            </w:r>
          </w:p>
        </w:tc>
      </w:tr>
      <w:tr w14:paraId="4C8B974A">
        <w:tblPrEx>
          <w:tblCellMar>
            <w:top w:w="0" w:type="dxa"/>
            <w:left w:w="108" w:type="dxa"/>
            <w:bottom w:w="0" w:type="dxa"/>
            <w:right w:w="108" w:type="dxa"/>
          </w:tblCellMar>
        </w:tblPrEx>
        <w:trPr>
          <w:trHeight w:val="567" w:hRule="exact"/>
          <w:jc w:val="center"/>
        </w:trPr>
        <w:tc>
          <w:tcPr>
            <w:tcW w:w="4201" w:type="dxa"/>
            <w:noWrap w:val="0"/>
            <w:vAlign w:val="center"/>
          </w:tcPr>
          <w:p w14:paraId="67AED7AF">
            <w:pPr>
              <w:tabs>
                <w:tab w:val="left" w:pos="0"/>
              </w:tabs>
              <w:spacing w:line="5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开户银行：</w:t>
            </w:r>
          </w:p>
        </w:tc>
        <w:tc>
          <w:tcPr>
            <w:tcW w:w="4202" w:type="dxa"/>
            <w:noWrap w:val="0"/>
            <w:vAlign w:val="center"/>
          </w:tcPr>
          <w:p w14:paraId="00E6CC0E">
            <w:pPr>
              <w:tabs>
                <w:tab w:val="left" w:pos="0"/>
              </w:tabs>
              <w:spacing w:line="5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开户银行：</w:t>
            </w:r>
          </w:p>
        </w:tc>
      </w:tr>
      <w:tr w14:paraId="04E3AA7B">
        <w:tblPrEx>
          <w:tblCellMar>
            <w:top w:w="0" w:type="dxa"/>
            <w:left w:w="108" w:type="dxa"/>
            <w:bottom w:w="0" w:type="dxa"/>
            <w:right w:w="108" w:type="dxa"/>
          </w:tblCellMar>
        </w:tblPrEx>
        <w:trPr>
          <w:trHeight w:val="567" w:hRule="exact"/>
          <w:jc w:val="center"/>
        </w:trPr>
        <w:tc>
          <w:tcPr>
            <w:tcW w:w="4201" w:type="dxa"/>
            <w:noWrap w:val="0"/>
            <w:vAlign w:val="center"/>
          </w:tcPr>
          <w:p w14:paraId="76B7A638">
            <w:pPr>
              <w:tabs>
                <w:tab w:val="left" w:pos="0"/>
              </w:tabs>
              <w:spacing w:line="5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日期：</w:t>
            </w:r>
          </w:p>
        </w:tc>
        <w:tc>
          <w:tcPr>
            <w:tcW w:w="4202" w:type="dxa"/>
            <w:noWrap w:val="0"/>
            <w:vAlign w:val="center"/>
          </w:tcPr>
          <w:p w14:paraId="0992266B">
            <w:pPr>
              <w:tabs>
                <w:tab w:val="left" w:pos="0"/>
              </w:tabs>
              <w:spacing w:line="5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日期：</w:t>
            </w:r>
          </w:p>
        </w:tc>
      </w:tr>
    </w:tbl>
    <w:p w14:paraId="16EEB4AB">
      <w:pPr>
        <w:jc w:val="center"/>
        <w:rPr>
          <w:rFonts w:hint="eastAsia" w:ascii="Times New Roman" w:hAnsi="Times New Roman" w:eastAsia="宋体" w:cs="Times New Roman"/>
          <w:b/>
          <w:bCs/>
          <w:color w:val="auto"/>
          <w:sz w:val="28"/>
          <w:highlight w:val="none"/>
        </w:rPr>
      </w:pPr>
    </w:p>
    <w:p w14:paraId="098AB5AE">
      <w:pPr>
        <w:rPr>
          <w:rFonts w:hint="eastAsia" w:ascii="Times New Roman" w:hAnsi="Times New Roman" w:eastAsia="宋体" w:cs="Times New Roman"/>
          <w:b/>
          <w:bCs/>
          <w:color w:val="auto"/>
          <w:sz w:val="28"/>
          <w:highlight w:val="none"/>
        </w:rPr>
      </w:pPr>
      <w:r>
        <w:rPr>
          <w:rFonts w:hint="eastAsia" w:ascii="Times New Roman" w:hAnsi="Times New Roman" w:eastAsia="宋体" w:cs="Times New Roman"/>
          <w:b/>
          <w:bCs/>
          <w:color w:val="auto"/>
          <w:sz w:val="28"/>
          <w:highlight w:val="none"/>
        </w:rPr>
        <w:br w:type="page"/>
      </w:r>
    </w:p>
    <w:bookmarkEnd w:id="0"/>
    <w:bookmarkEnd w:id="1"/>
    <w:bookmarkEnd w:id="2"/>
    <w:bookmarkEnd w:id="3"/>
    <w:bookmarkEnd w:id="4"/>
    <w:bookmarkEnd w:id="5"/>
    <w:p w14:paraId="10D9D7C8">
      <w:pPr>
        <w:jc w:val="center"/>
        <w:rPr>
          <w:rFonts w:hint="eastAsia" w:ascii="Times New Roman" w:hAnsi="Times New Roman" w:eastAsia="宋体" w:cs="Times New Roman"/>
          <w:b/>
          <w:bCs/>
          <w:color w:val="auto"/>
          <w:sz w:val="24"/>
          <w:szCs w:val="22"/>
          <w:highlight w:val="none"/>
          <w:lang w:eastAsia="zh-CN"/>
        </w:rPr>
      </w:pPr>
      <w:r>
        <w:rPr>
          <w:rFonts w:hint="eastAsia" w:cs="Times New Roman"/>
          <w:b/>
          <w:bCs/>
          <w:color w:val="auto"/>
          <w:sz w:val="24"/>
          <w:szCs w:val="22"/>
          <w:highlight w:val="none"/>
          <w:lang w:eastAsia="zh-CN"/>
        </w:rPr>
        <w:t>陕西汉中朱鹮国家级自然保护区2026年花园保护站管护用房修缮维护项目</w:t>
      </w:r>
    </w:p>
    <w:p w14:paraId="65209311">
      <w:pPr>
        <w:jc w:val="center"/>
        <w:rPr>
          <w:rFonts w:hint="eastAsia"/>
          <w:b/>
          <w:bCs/>
          <w:color w:val="auto"/>
          <w:sz w:val="24"/>
          <w:szCs w:val="22"/>
          <w:highlight w:val="none"/>
        </w:rPr>
      </w:pPr>
      <w:r>
        <w:rPr>
          <w:rFonts w:hint="eastAsia"/>
          <w:b/>
          <w:bCs/>
          <w:color w:val="auto"/>
          <w:sz w:val="24"/>
          <w:szCs w:val="22"/>
          <w:highlight w:val="none"/>
        </w:rPr>
        <w:t>施工安全生产协议书</w:t>
      </w:r>
    </w:p>
    <w:p w14:paraId="675859EB">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建设单位（以下简称甲方）：</w:t>
      </w:r>
      <w:r>
        <w:rPr>
          <w:rFonts w:hint="eastAsia" w:ascii="宋体" w:hAnsi="宋体" w:eastAsia="宋体" w:cs="Times New Roman"/>
          <w:color w:val="auto"/>
          <w:sz w:val="21"/>
          <w:szCs w:val="21"/>
          <w:highlight w:val="none"/>
          <w:u w:val="single"/>
          <w:lang w:val="en-US" w:eastAsia="zh-CN"/>
        </w:rPr>
        <w:t xml:space="preserve">                   </w:t>
      </w:r>
      <w:bookmarkStart w:id="6" w:name="_GoBack"/>
      <w:bookmarkEnd w:id="6"/>
      <w:r>
        <w:rPr>
          <w:rFonts w:hint="eastAsia" w:ascii="宋体" w:hAnsi="宋体" w:eastAsia="宋体" w:cs="Times New Roman"/>
          <w:color w:val="auto"/>
          <w:sz w:val="21"/>
          <w:szCs w:val="21"/>
          <w:highlight w:val="none"/>
          <w:u w:val="single"/>
          <w:lang w:val="en-US" w:eastAsia="zh-CN"/>
        </w:rPr>
        <w:t xml:space="preserve">                    </w:t>
      </w:r>
      <w:r>
        <w:rPr>
          <w:rFonts w:hint="eastAsia"/>
          <w:color w:val="auto"/>
          <w:sz w:val="21"/>
          <w:szCs w:val="21"/>
          <w:highlight w:val="none"/>
        </w:rPr>
        <w:t xml:space="preserve">                                       </w:t>
      </w:r>
    </w:p>
    <w:p w14:paraId="5DE7740D">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施工单位（以下简称乙方）：</w:t>
      </w:r>
      <w:r>
        <w:rPr>
          <w:rFonts w:hint="eastAsia" w:ascii="宋体" w:hAnsi="宋体" w:eastAsia="宋体" w:cs="Times New Roman"/>
          <w:color w:val="auto"/>
          <w:sz w:val="21"/>
          <w:szCs w:val="21"/>
          <w:highlight w:val="none"/>
          <w:u w:val="single"/>
          <w:lang w:val="en-US" w:eastAsia="zh-CN"/>
        </w:rPr>
        <w:t xml:space="preserve">                                       </w:t>
      </w:r>
      <w:r>
        <w:rPr>
          <w:rFonts w:hint="eastAsia"/>
          <w:color w:val="auto"/>
          <w:sz w:val="21"/>
          <w:szCs w:val="21"/>
          <w:highlight w:val="none"/>
        </w:rPr>
        <w:t xml:space="preserve">                                       </w:t>
      </w:r>
    </w:p>
    <w:p w14:paraId="7C05779C">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为了明确甲方和乙方在</w:t>
      </w:r>
      <w:r>
        <w:rPr>
          <w:rFonts w:hint="eastAsia" w:ascii="宋体" w:hAnsi="宋体"/>
          <w:color w:val="auto"/>
          <w:sz w:val="21"/>
          <w:szCs w:val="21"/>
          <w:highlight w:val="none"/>
          <w:u w:val="single"/>
          <w:lang w:val="en-US" w:eastAsia="zh-CN"/>
        </w:rPr>
        <w:t xml:space="preserve">                   </w:t>
      </w:r>
      <w:r>
        <w:rPr>
          <w:rFonts w:hint="eastAsia"/>
          <w:color w:val="auto"/>
          <w:sz w:val="21"/>
          <w:szCs w:val="21"/>
          <w:highlight w:val="none"/>
        </w:rPr>
        <w:t>项目中的安全生产责任，确保施工安全，双方自愿达成本协议。</w:t>
      </w:r>
    </w:p>
    <w:p w14:paraId="386777CA">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一、实施安全生产的工程项目</w:t>
      </w:r>
    </w:p>
    <w:p w14:paraId="72A0934F">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1.1工程项目名称：</w:t>
      </w:r>
      <w:r>
        <w:rPr>
          <w:rFonts w:hint="eastAsia" w:ascii="宋体" w:hAnsi="宋体"/>
          <w:color w:val="auto"/>
          <w:sz w:val="21"/>
          <w:szCs w:val="21"/>
          <w:highlight w:val="none"/>
          <w:u w:val="single"/>
          <w:lang w:val="en-US" w:eastAsia="zh-CN"/>
        </w:rPr>
        <w:t xml:space="preserve">                                                </w:t>
      </w:r>
      <w:r>
        <w:rPr>
          <w:rFonts w:hint="eastAsia"/>
          <w:color w:val="auto"/>
          <w:sz w:val="21"/>
          <w:szCs w:val="21"/>
          <w:highlight w:val="none"/>
        </w:rPr>
        <w:t xml:space="preserve">                                                         </w:t>
      </w:r>
    </w:p>
    <w:p w14:paraId="7D33A9BA">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1.2工程项目地址：</w:t>
      </w:r>
      <w:r>
        <w:rPr>
          <w:rFonts w:hint="eastAsia" w:ascii="宋体" w:hAnsi="宋体"/>
          <w:color w:val="auto"/>
          <w:sz w:val="21"/>
          <w:szCs w:val="21"/>
          <w:highlight w:val="none"/>
          <w:u w:val="single"/>
          <w:lang w:val="en-US" w:eastAsia="zh-CN"/>
        </w:rPr>
        <w:t xml:space="preserve">                                                </w:t>
      </w:r>
      <w:r>
        <w:rPr>
          <w:rFonts w:hint="eastAsia"/>
          <w:color w:val="auto"/>
          <w:sz w:val="21"/>
          <w:szCs w:val="21"/>
          <w:highlight w:val="none"/>
        </w:rPr>
        <w:t xml:space="preserve">                                                         </w:t>
      </w:r>
    </w:p>
    <w:p w14:paraId="48DDF8BC">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1.3工程项目范围：</w:t>
      </w:r>
      <w:r>
        <w:rPr>
          <w:rFonts w:hint="eastAsia" w:ascii="宋体" w:hAnsi="宋体"/>
          <w:color w:val="auto"/>
          <w:sz w:val="21"/>
          <w:szCs w:val="21"/>
          <w:highlight w:val="none"/>
          <w:u w:val="single"/>
          <w:lang w:val="en-US" w:eastAsia="zh-CN"/>
        </w:rPr>
        <w:t xml:space="preserve">                                                </w:t>
      </w:r>
      <w:r>
        <w:rPr>
          <w:rFonts w:hint="eastAsia"/>
          <w:color w:val="auto"/>
          <w:sz w:val="21"/>
          <w:szCs w:val="21"/>
          <w:highlight w:val="none"/>
        </w:rPr>
        <w:t xml:space="preserve">                                                          </w:t>
      </w:r>
    </w:p>
    <w:p w14:paraId="6A2685EA">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1.4工程项目承包方式：</w:t>
      </w:r>
      <w:r>
        <w:rPr>
          <w:rFonts w:hint="eastAsia"/>
          <w:color w:val="auto"/>
          <w:sz w:val="21"/>
          <w:szCs w:val="21"/>
          <w:highlight w:val="none"/>
          <w:u w:val="single"/>
        </w:rPr>
        <w:t>实行包工、包料（甲供材料、发包人另行分包工程除外）、包工期、包质量、包安全、包文明施工的施工总承包。</w:t>
      </w:r>
    </w:p>
    <w:p w14:paraId="5B00A657">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1.5工程项目实施期限：自工程开工之日起至竣工验收合格为止。</w:t>
      </w:r>
    </w:p>
    <w:p w14:paraId="3FB7036D">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二、实施安全生产的基本法律法规和标准</w:t>
      </w:r>
    </w:p>
    <w:p w14:paraId="5849BF5B">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2.1《中华人民共和国建筑法》</w:t>
      </w:r>
    </w:p>
    <w:p w14:paraId="495E8DD9">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2.2《中华人民共和国安全生产法》</w:t>
      </w:r>
    </w:p>
    <w:p w14:paraId="5EB67A08">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2.3《中华人民共和国劳动法》</w:t>
      </w:r>
    </w:p>
    <w:p w14:paraId="281863C4">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2.4《中华人民共和国消防法》</w:t>
      </w:r>
    </w:p>
    <w:p w14:paraId="79F8EF56">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2.5《中华人民共和国环境保护法》</w:t>
      </w:r>
    </w:p>
    <w:p w14:paraId="2C3434E6">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2.6中华人民共和国国务院第393号《建设工程安全生产管理条例》</w:t>
      </w:r>
    </w:p>
    <w:p w14:paraId="6B313305">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2.7中华人民共和国国务院令第397号《安全生产许可证条例》</w:t>
      </w:r>
    </w:p>
    <w:p w14:paraId="76D54867">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2.8中华人民共和国建设部、国家质量监督检验检疫总局颁布的《建筑边坡工程技术规范》（国家标准GB 50330—2013）</w:t>
      </w:r>
    </w:p>
    <w:p w14:paraId="05FADBC1">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2.9 中华人民共和国住房和城乡建设部《建筑施工安全检查标准》（JGJ59-2011）</w:t>
      </w:r>
    </w:p>
    <w:p w14:paraId="254DDC1D">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2.10中华人民共和国建设部《施工企业安全生产评价标准》（JGJ／T 77—2010）</w:t>
      </w:r>
    </w:p>
    <w:p w14:paraId="73A0B25C">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三、甲方的权利义务</w:t>
      </w:r>
    </w:p>
    <w:p w14:paraId="3D703CF7">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3.1甲方应当遵守建筑安全生产的基本法律法规、国家标准和行业标准，履行其中规定给建设单位的强制性义务。</w:t>
      </w:r>
    </w:p>
    <w:p w14:paraId="5D35CA06">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3.2甲方应当将</w:t>
      </w:r>
      <w:r>
        <w:rPr>
          <w:rFonts w:hint="eastAsia"/>
          <w:color w:val="auto"/>
          <w:sz w:val="21"/>
          <w:szCs w:val="21"/>
          <w:highlight w:val="none"/>
          <w:u w:val="single"/>
        </w:rPr>
        <w:t xml:space="preserve">                                     </w:t>
      </w:r>
      <w:r>
        <w:rPr>
          <w:rFonts w:hint="eastAsia"/>
          <w:color w:val="auto"/>
          <w:sz w:val="21"/>
          <w:szCs w:val="21"/>
          <w:highlight w:val="none"/>
        </w:rPr>
        <w:t xml:space="preserve"> 项目勘查单位、设计单位提供的勘察文件、设计文件提供给乙方，以便乙方履行建设工程安全生产方面的义务。设计单位在设计文件已经注明涉及施工安全的重点部位和环节，并对防范生产安全事故提出指导意见。</w:t>
      </w:r>
    </w:p>
    <w:p w14:paraId="020F894B">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3.3按照建设工程安全生产方面的法律法规的要求，乙方委托的工程监理单位和监理工程师遵循法律、法规和工程建设强制性标准实施监理，并对建设工程安全生产承担监理责任。工程监理单位应当审查施工组织设计中的安全技术措施或者专项施工方案是否符合工程建设强制性标准。工程监理单位在实施监理过程中，发现存在安全事故隐患的，有权要求乙方整改；情况严重的，有权要求乙方暂时停止施工，并及时报告甲方。乙方拒不整改或者不停止施工的，工程监理单位有权及时向有关政府主管部门报告。</w:t>
      </w:r>
    </w:p>
    <w:p w14:paraId="428AA096">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3.4甲方应当向乙方提供施工现场及毗邻区域内供水、排水、供电、供气、供热、通信、广播电视等地下管线资料，气象和水文观测资料，相邻建筑物和构筑物、地下工程的有关资料，并保证资料的真实、准确、完整。</w:t>
      </w:r>
    </w:p>
    <w:p w14:paraId="429F55A4">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3.5有下列情形之一的，甲方应当按照国家有关规定办理申请批准手续：</w:t>
      </w:r>
    </w:p>
    <w:p w14:paraId="67D51F21">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（1）需要临时占用规划批准范围以外场地的；</w:t>
      </w:r>
    </w:p>
    <w:p w14:paraId="08349DD3">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（2）可能损坏道路、管线、电力、邮电通讯等公共设施的；</w:t>
      </w:r>
    </w:p>
    <w:p w14:paraId="70FE7F50">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（3）需要临时停水、停电、中断道路交通的；</w:t>
      </w:r>
    </w:p>
    <w:p w14:paraId="6DA547B7">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（4）需要进行爆破作业的；</w:t>
      </w:r>
    </w:p>
    <w:p w14:paraId="48D24E9A">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（5）法律、法规规定需要办理报批手续的其他情形。</w:t>
      </w:r>
    </w:p>
    <w:p w14:paraId="4EF5BBF3">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3.6涉及建筑主体和承重结构变动的装修工程，甲方应当在施工前委托原设计单位或者具有相应资质条件的设计单位提出设计方案；没有设计方案的，不得施工。</w:t>
      </w:r>
    </w:p>
    <w:p w14:paraId="0979BAEE">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3.7甲方不得对勘察、设计、施工、工程监理等单位提出不符合建设工程安全生产法律、法规和强制性标准规定的要求，不得压缩合同约定的工期。</w:t>
      </w:r>
    </w:p>
    <w:p w14:paraId="14A811AB">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3.8甲方在编制工程概算时，应当确定建设工程安全作业环境及安全施工措施所需费用。</w:t>
      </w:r>
    </w:p>
    <w:p w14:paraId="4ACE5395">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3.9甲方不得明示或者暗示施工单位购买、租赁、使用不符合安全施工要求的安全防护用具、机械设备、施工机具及配件、消防设施和器材。</w:t>
      </w:r>
    </w:p>
    <w:p w14:paraId="615DFB46">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3.10甲方在申请领取施工许可证时，应当提供建设工程有关安全施工措施的资料。依法批准开工报告的建设工程，乙方应当将保证安全施工的措施报送建设工程所在地的县级以上地方人民政府建设行政主管部门或者其他有关部门备案。</w:t>
      </w:r>
    </w:p>
    <w:p w14:paraId="147793A9">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四、乙方的权利义务</w:t>
      </w:r>
    </w:p>
    <w:p w14:paraId="42DE2619">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4.1甲方应当遵守建筑安全生产的基本法律法规、国家标准和行业标准，履行其中规定给建设单位的强制性义务。</w:t>
      </w:r>
    </w:p>
    <w:p w14:paraId="4647BC37">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4.2乙方承诺具备安全生产方面的有关法律、行政法规和国家标准或者行业标准规定的安全生产条件，依法取得相应等级的资质证书，并向甲方出具《安全生产目标责任保证书》。</w:t>
      </w:r>
    </w:p>
    <w:p w14:paraId="1FF47543">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4.3乙方应当接受甲方委托的监理单位对安全生产的管理、监督和指导，并接受建设行政主管部门的建筑安全生产的管理，并依法接受劳动行政主管部门对建筑安全生产的指导和监督。</w:t>
      </w:r>
    </w:p>
    <w:p w14:paraId="79D72FFB">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4.4乙方在编制施工组织设计时，应当根据建筑工程的特点制定相应的安全技术措施；对专业性较强的工程项目，应当编制专项安全施工组织设计，并采取安全技术措施。</w:t>
      </w:r>
    </w:p>
    <w:p w14:paraId="3D433B25">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4.5乙方应当在施工现场采取维护安全、防范危险、预防火灾等措施；有条件的，应当对施工现场实行封闭管理。施工现场对毗邻的建筑物、构筑物和特殊作业环境可能造成损害的，乙方应当采取安全防护措施。</w:t>
      </w:r>
    </w:p>
    <w:p w14:paraId="37FC3218">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4.6乙方应当遵守有关环境保护和安全生产的法律、法规的规定，采取控制和处理施工现场的各种粉尘、废气、废水、固体废物以及噪声、振动对环境的污染和危害的措施。</w:t>
      </w:r>
    </w:p>
    <w:p w14:paraId="3203DEA4">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4.7乙方应当在施工现场建立消防安全责任制度，确定消防安全责任人，制定用火、用电、使用易燃易爆材料等各项消防安全管理制度和操作规程，设置消防通道、消防水源，配备消防设施和灭火器材，并在施工现场入口处设置明显标志。</w:t>
      </w:r>
    </w:p>
    <w:p w14:paraId="2A356E4B">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4.8乙方必须依法加强对建筑安全生产的管理，执行安全生产责任制度，采取有效措施，防止伤亡和其他安全生产事故的发生。</w:t>
      </w:r>
    </w:p>
    <w:p w14:paraId="6BBAE2D9">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4.9施工现场安全由乙方负责。乙方应当设立安全生产管理机构，配备专职安全生产管理人员。乙方对列入建设工程概算的安全作业环境及安全施工措施所需费用，应当用于施工安全防护用具及设施的采购和更新、安全施工措施的落实、安全生产条件的改善，不得挪作他用。</w:t>
      </w:r>
    </w:p>
    <w:p w14:paraId="6A0D2ADA">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4.10乙方应当建立健全劳动安全生产教育培训制度，加强对职工安全生产的教育培训，其教育培训情况记入个人工作档案；未经安全生产教育培训的人员，不得上岗作业。建设工程施工前，乙方负责项目管理的技术人员应当对有关安全施工的技术要求向施工作业班组、作业人员作出详细说明，并由双方签字确认。作业人员进入新的岗位或者新的施工现场前，应当接受安全生产教育培训；未经教育培训或者教育培训考核不合格的人员，不得上岗作业。乙方在采用新技术、新工艺、新设备、新材料时，应当对作业人员进行相应的安全生产教育培训。垂直运输机械作业人员、安装拆卸工、爆破作业人员、起重信号工、登高架设作业人员等特种作业人员，必须按照国家有关规定经过专门的安全作业培训，并取得特种作业操作资格证书后，方可上岗作业。</w:t>
      </w:r>
    </w:p>
    <w:p w14:paraId="3FC4F5EF">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4.11乙方应当在施工现场入口处、施工起重机械、临时用电设施、脚手架、出入通道口、楼梯口、电梯井口、孔洞口、桥梁口、隧道口、基坑边沿、爆破物及有害危险气体和液体存放处等危险部位，设置明显的安全警示标志。安全警示标志必须符合国家标准。乙方应当根据不同施工阶段和周围环境及季节、气候的变化，在施工现场采取相应的安全施工措施。</w:t>
      </w:r>
    </w:p>
    <w:p w14:paraId="515012AD">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4.12乙方采购、租赁的安全防护用具、机械设备、施工机具及配件，应当具有生产(制造)许可证、产品合格证，并在进入施工现场前进行查验。施工现场的安全防护用具、机械设备、施工机具及配件必须由专人管理，定期进行检查、维修和保养，建立相应的资料档案，并按照国家有关规定及时报废。</w:t>
      </w:r>
    </w:p>
    <w:p w14:paraId="2FF403CE">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4.13乙方在使用施工起重机械和整体提升脚手架、模板等自升式架设设施前，应当组织有关单位进行验收，也可以委托具有相应资质的检验检测机构进行验收；使用承租的机械设备和施工机具及配件的，由施工总承包单位、分包单位、出租单位和安装单位共同进行验收。验收合格的方可使用。《特种设备安全监察条例》规定的施工起重机械，在验收前应当经有相应资质的检验检测机构监督检验合格。乙方应当自施工起重机械和整体提升脚手架、模板等自升式架设设施验收合格之日起30日内，向建设行政主管部门或者其他有关部门登记。登记标志应当置于或者附着于该设备的显著位置。</w:t>
      </w:r>
    </w:p>
    <w:p w14:paraId="7C81068E">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4.14乙方和乙方作业人员在施工过程中，应当遵守有关安全生产的法律、法规和建筑行业安全规章、规程，不得违章指挥或者违章作业。作业人员有权对影响人身健康的作业程序和作业条件提出改进意见，有权获得安全生产所需的防护用品。作业人员对危及生命安全和人身健康的行为有权提出批评、检举和控告。</w:t>
      </w:r>
    </w:p>
    <w:p w14:paraId="2FA50075">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4.15乙方应当在施工组织设计中编制安全技术措施和施工现场临时用电方案，对下列达到一定规模的危险性较大的分部分项工程编制专项施工方案，并附具安全验算结果，经施工单位技术负责人、总监理工程师签字后实施，由专职安全生产管理人员进行现场监督：</w:t>
      </w:r>
    </w:p>
    <w:p w14:paraId="2E055040">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(1)基坑支护与降水工程；</w:t>
      </w:r>
    </w:p>
    <w:p w14:paraId="52B89941">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(2)土方开挖工程；</w:t>
      </w:r>
    </w:p>
    <w:p w14:paraId="6BCFCA1D">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(3)模板工程；</w:t>
      </w:r>
    </w:p>
    <w:p w14:paraId="7D0BF027">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(4)起重吊装工程；</w:t>
      </w:r>
    </w:p>
    <w:p w14:paraId="025C2A20">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(5)脚手架工程；</w:t>
      </w:r>
    </w:p>
    <w:p w14:paraId="4C6B442A">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(6)拆除、爆破工程；</w:t>
      </w:r>
    </w:p>
    <w:p w14:paraId="65BA07CC">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(7)国务院建设行政主管部门或者其他有关部门规定的其他危险性较大的工程。</w:t>
      </w:r>
    </w:p>
    <w:p w14:paraId="56510F81">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对前款所列工程中涉及深基坑、地下暗挖工程、高大模板工程的专项施工方案，施工单位还应当组织专家进行论证、审查。</w:t>
      </w:r>
    </w:p>
    <w:p w14:paraId="08A8CE35">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4.16乙方应当将施工现场的办公、生活区与作业区分开设置，并保持安全距离；办公、生活区的选址应当符合安全性要求。职工的膳食、饮水、休息场所等应当符合卫生标准。施工单位不得在尚未竣工的建筑物内设置员工集体宿舍。施工现场临时搭建的建筑物应当符合安全使用要求。施工现场使用的装配式活动房屋应当具有产品合格证。</w:t>
      </w:r>
    </w:p>
    <w:p w14:paraId="4499E679">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4.17乙方应当为施工现场从事危险作业的人员办理意外伤害保险。意外伤害保险费由乙方支付。意外伤害保险期限自建设工程开工之日起至竣工验收合格止。</w:t>
      </w:r>
    </w:p>
    <w:p w14:paraId="7DD857AB">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4.18施工中发生事故时，乙方应当采取紧急措施减少人员伤亡和事故损失，并按照国家有关规定及时向有关部门报告。</w:t>
      </w:r>
    </w:p>
    <w:p w14:paraId="6C6286D5">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五、法律责任</w:t>
      </w:r>
    </w:p>
    <w:p w14:paraId="5FBD9AC7">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5.1乙方违反安全生产方面的法定和约定义务，给本单位职工或者第三人造成人身伤亡或者财产损失的，应当由乙方自行承担责任，无权要求甲方承担责任。</w:t>
      </w:r>
    </w:p>
    <w:p w14:paraId="370C7DE2">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5.2乙方转让、出借资质证书或者以其他方式允许他人以本企业的名义承揽工程的，对因该项承揽工程不符合规定的质量标准造成的损失，应当对甲方承担赔偿责任。</w:t>
      </w:r>
    </w:p>
    <w:p w14:paraId="550691A1">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5.3乙方将其实施的工程转包的，或者擅自进行分包的，对因转包工程或者擅自分包的工程不符合规定的质量标准造成的损失，应当对甲方承担赔偿责任。</w:t>
      </w:r>
    </w:p>
    <w:p w14:paraId="4ABEDFB6">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5.4乙方及其管理人员违反安全生产方面的法律法规，对建筑安全事故隐患不采取措施予以消除的，应当依法承担相应的行政责任和刑事责任。</w:t>
      </w:r>
    </w:p>
    <w:p w14:paraId="34AA665B">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三、协议内容</w:t>
      </w:r>
    </w:p>
    <w:p w14:paraId="0769517B">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1、发包人与承包人必须认真贯彻国家和上级劳动保护、安全生产主管部门颁布的有关生产、消防工作的方针、政策，严格执行有关劳动保护法规、条例、规定。</w:t>
      </w:r>
    </w:p>
    <w:p w14:paraId="0C58C5B2">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2、发包人与承包人都应有安全管理组织体制，包括抓安全生产的领导，各级专职和兼职的安全干部；应有各工种的安全操作规程，特种作业工人的审证考核制度及各级安全生产岗位责任制和定期安全检查制度。</w:t>
      </w:r>
    </w:p>
    <w:p w14:paraId="49440960">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3、发包人与承包人在施工前要认真勘察现场</w:t>
      </w:r>
    </w:p>
    <w:p w14:paraId="6AC09B9B">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（1）工程项目应由承包人编制施工组织设计；</w:t>
      </w:r>
    </w:p>
    <w:p w14:paraId="6D767494">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（2）工程项目由承包人按发包人的要求自行编制施工组织设计；制订有针对性的安全技术措施，承包人必须严格按施工组织设计的要求施工。</w:t>
      </w:r>
    </w:p>
    <w:p w14:paraId="5125D652">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4、发包人与承包人的领导必须认真对本单位职工进行安全生产制度及安全技术知识教育，增强法制观念，提高职工的安全生产思想意识和自我保护的能力，督促职工自觉遵守安全纪律、制度法规。</w:t>
      </w:r>
    </w:p>
    <w:p w14:paraId="6C790CE9">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5、施工前，承包人应组织召开管理、施工人员安全生产教育会议，并通知发包人委派有关人员出席会议。介绍施工中有关安全防火等规章制度及要求，承包人必须检查、督促施工人员严格遵守、认真执行。</w:t>
      </w:r>
    </w:p>
    <w:p w14:paraId="528F6650">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6、施工期间，承包人指派</w:t>
      </w:r>
      <w:r>
        <w:rPr>
          <w:rFonts w:hint="eastAsia"/>
          <w:color w:val="auto"/>
          <w:sz w:val="21"/>
          <w:szCs w:val="21"/>
          <w:highlight w:val="none"/>
          <w:u w:val="single"/>
        </w:rPr>
        <w:t xml:space="preserve">        </w:t>
      </w:r>
      <w:r>
        <w:rPr>
          <w:rFonts w:hint="eastAsia"/>
          <w:color w:val="auto"/>
          <w:sz w:val="21"/>
          <w:szCs w:val="21"/>
          <w:highlight w:val="none"/>
        </w:rPr>
        <w:t>同志负责本工程项目的有关安全、防火工作；发包人指派</w:t>
      </w:r>
      <w:r>
        <w:rPr>
          <w:rFonts w:hint="eastAsia"/>
          <w:color w:val="auto"/>
          <w:sz w:val="21"/>
          <w:szCs w:val="21"/>
          <w:highlight w:val="none"/>
          <w:u w:val="single"/>
        </w:rPr>
        <w:t xml:space="preserve">       </w:t>
      </w:r>
      <w:r>
        <w:rPr>
          <w:rFonts w:hint="eastAsia"/>
          <w:color w:val="auto"/>
          <w:sz w:val="21"/>
          <w:szCs w:val="21"/>
          <w:highlight w:val="none"/>
        </w:rPr>
        <w:t>同志负责职系予以协助督促承包人执行有关安全、防火规定。发包人与承包人应经常联系，相互协助检查工程项目中有关安全、防火工作，共同预防事故发生。</w:t>
      </w:r>
    </w:p>
    <w:p w14:paraId="6986BA46">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7、承包人在施工期间必须严格执行和遵守发包人的安全生产防火管理的各类规定，接受发包人的监督、检查和指导。发包人有协助承包人搞好安全生产防火管理以及督促检查的义务，对于查出的隐患，承包人必须限期整改，对发包人违反安全生产规定、制度等情况，承包人有要求发包人整改的权利。</w:t>
      </w:r>
    </w:p>
    <w:p w14:paraId="017F9433">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8、在生产操作过程中的个人安全防护用品，由各方自理，发包人与承包人都应监督施工现场人员自觉穿戴好安全防护用品。</w:t>
      </w:r>
    </w:p>
    <w:p w14:paraId="54BE3596">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9、发包人与承包人的人员对各自所在的施工区域、作业环境、操作施工设备、工具用具等必须认真检查，发现隐患，应即停止施工，并由有关单位落实整改后方准施工。一经施工，就表示施工单位确认施工现场。作业环境，设施设备，工具用具等符合安全要求和处于安全状态。施工单位对施工过程中产生的后果自行负责。</w:t>
      </w:r>
    </w:p>
    <w:p w14:paraId="1CFDD746">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10、承包人在安装、搭设机械设备，脚手架等设施时，应提前提供方案，经监理单位审核方案后，承包人进行安装、搭设。经相关部门按规定验收合格后承包人才能开始使用。承包人应做好验收及交付使用手续，严禁在未经验收或验收不合格的情况下投入使用，否则由此发生的后果概由擅自使用方负责。</w:t>
      </w:r>
    </w:p>
    <w:p w14:paraId="03317C4A">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11、承包人在施工期间所使用的各种设备以及工具等均应由承包人自备。如发包人与承包人必须相互借用和租赁。应由双方有关人员办理借用租赁手续。借出方应保证借出的设备和工具符合安全要求，但借入方必须进行检验。借入使用方一经接收，设备和工具的保管、维修以及在使用过程中发生的故障损坏遗失或造成伤亡事故均由借入使用方来承担责任，负责赔偿。</w:t>
      </w:r>
    </w:p>
    <w:p w14:paraId="0F51188D">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12、发包人与承包人的人员。对施工现场的脚手架、各类安全防护措施、安全标志和警告牌，不得擅自拆除、更动。如确实需要拆除更动的，必须经工地施工负责人和发包人与承包人指派的安全管理人员的同意，并采取必要、可靠的安全措施后方能拆除。任何一方人员，擅自拆除所造成的后果，均由该方人员及其单位负责承担。</w:t>
      </w:r>
    </w:p>
    <w:p w14:paraId="4A447BA2">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13、安全生产管理办法</w:t>
      </w:r>
    </w:p>
    <w:p w14:paraId="492F4F81">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13.1.发包人或监理有权对承包人的违章现象提出整改，承包人接书面整改通知后24小时内未采取相应整改措施，每次扣款千元。累计3次扣款后，每次扣款5000元。</w:t>
      </w:r>
    </w:p>
    <w:p w14:paraId="6233EC7B">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13.2.施工期间未受处罚，待承包人现场的人、机、物全部安全退场后发包人将给予一次性奖励0元。</w:t>
      </w:r>
    </w:p>
    <w:p w14:paraId="17FC669F">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13.3.必须由承包人组织,每月进行一次施工安全检查及安全教育,3天内以书面形式向监理汇报。</w:t>
      </w:r>
    </w:p>
    <w:p w14:paraId="4BF01484">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13.4.针对不同的分部分项工程，承包人在开工前必须进行安全技术交底（必须有监理人员参加），并以书面形式向监理汇报，经认同后方可开工。</w:t>
      </w:r>
    </w:p>
    <w:p w14:paraId="342A0714">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13.5.施工中若由承包人原因造成工伤事故，发包人将暂停付款直至承包人整改完毕。</w:t>
      </w:r>
    </w:p>
    <w:p w14:paraId="584FC8A9">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14、特种作业必须执行《国家特种作业人员安全技术培训考核管理规定》，经省、市、地区的特种作业安全技术考核站培训考核后持证上岗，并按规定定期审证；中小型机械的操作人员必须按规定做到“定机定人”和持证操作；起重吊装作业人员必须遵守“十不吊”规定，严禁违章，无证操作；严禁不懂电气、机械设备的人，擅自操作使用电器、机械设备。</w:t>
      </w:r>
    </w:p>
    <w:p w14:paraId="4908609E">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15、发包人与承包人必须严格执行各类防火、防爆制度。易燃易爆场所严禁吸烟及动用明火，消防器材不得挪作他用。电焊、气割作业应按规定办理动火审批手续，严格遵守“十不烧”规定，严禁使用电炉。冬季施工如必须采用明火加热防冻措施时，应取得防火主管人员同意，落实防火、防中毒措施，并指派专人值班。</w:t>
      </w:r>
    </w:p>
    <w:p w14:paraId="5556978E">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16、承包人需用发包人提供的电气设备，在使用前应先进行检测，如不符安全规定的应及时向发包人提出，发包人应积极整改，整改合格后方准使用，违反本规定或不经发包人许可，擅自乱拉电器线路造成后果均由肇事者单位负责。</w:t>
      </w:r>
    </w:p>
    <w:p w14:paraId="1FE21F0F">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17、贯彻先定合同后施工的原则。发包人不得指派承包人人员从事合同外的施工任务。承包人应拒绝合同外的施工任务，否则由此造成的一切后果均由有关方负责。</w:t>
      </w:r>
    </w:p>
    <w:p w14:paraId="6ED836E7">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18、发包人与承包人的施工中，应注意地下管线及高低压架空线路的保护，发包人对地下管线和障碍物应详细交底，承包人应贯彻交底要求，如遇有情况，应及时向发包人和有关部门联系，采取保护措施。</w:t>
      </w:r>
    </w:p>
    <w:p w14:paraId="29CDB676">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19、承包人在签订建筑安装施工合同后，应自觉地向工程所在地的公安派出所办理临时户口户籍手续，并在工程所在地的城建办（建设局）安监站、劳动局劳动保护监察部门、办理施工登记手续。</w:t>
      </w:r>
    </w:p>
    <w:p w14:paraId="125A7DC4">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20、贯彻谁施工谁负责安全原则，承包人人员在施工期间，造成伤亡、火警、火灾、机械等其它事故（包括由承包人责任造成发包人人员、他方人员、行人伤亡等），发包人有协助紧急抢救伤员的义务，承包人负责事故上报，经济赔偿及善后处理。发包人有权追究承包人对发包人造成相关损失。</w:t>
      </w:r>
    </w:p>
    <w:p w14:paraId="76B75587">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21、应自觉学习并遵守下列规定文件：切实做好安全、文明施工；</w:t>
      </w:r>
    </w:p>
    <w:p w14:paraId="712BC6B0">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1)</w:t>
      </w:r>
      <w:r>
        <w:rPr>
          <w:rFonts w:hint="eastAsia"/>
          <w:color w:val="auto"/>
          <w:sz w:val="21"/>
          <w:szCs w:val="21"/>
          <w:highlight w:val="none"/>
        </w:rPr>
        <w:tab/>
      </w:r>
      <w:r>
        <w:rPr>
          <w:rFonts w:hint="eastAsia"/>
          <w:color w:val="auto"/>
          <w:sz w:val="21"/>
          <w:szCs w:val="21"/>
          <w:highlight w:val="none"/>
        </w:rPr>
        <w:t>《咸阳市建设工程安全生产责任条例》</w:t>
      </w:r>
    </w:p>
    <w:p w14:paraId="6DB8F491">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2)</w:t>
      </w:r>
      <w:r>
        <w:rPr>
          <w:rFonts w:hint="eastAsia"/>
          <w:color w:val="auto"/>
          <w:sz w:val="21"/>
          <w:szCs w:val="21"/>
          <w:highlight w:val="none"/>
        </w:rPr>
        <w:tab/>
      </w:r>
      <w:r>
        <w:rPr>
          <w:rFonts w:hint="eastAsia"/>
          <w:color w:val="auto"/>
          <w:sz w:val="21"/>
          <w:szCs w:val="21"/>
          <w:highlight w:val="none"/>
        </w:rPr>
        <w:t>《咸阳市消防条例》</w:t>
      </w:r>
    </w:p>
    <w:p w14:paraId="4C61C66F">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3)</w:t>
      </w:r>
      <w:r>
        <w:rPr>
          <w:rFonts w:hint="eastAsia"/>
          <w:color w:val="auto"/>
          <w:sz w:val="21"/>
          <w:szCs w:val="21"/>
          <w:highlight w:val="none"/>
        </w:rPr>
        <w:tab/>
      </w:r>
      <w:r>
        <w:rPr>
          <w:rFonts w:hint="eastAsia"/>
          <w:color w:val="auto"/>
          <w:sz w:val="21"/>
          <w:szCs w:val="21"/>
          <w:highlight w:val="none"/>
        </w:rPr>
        <w:t>《关于加强施工现场安全生产管理的若干规定》（试行）</w:t>
      </w:r>
    </w:p>
    <w:p w14:paraId="33278202">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4)</w:t>
      </w:r>
      <w:r>
        <w:rPr>
          <w:rFonts w:hint="eastAsia"/>
          <w:color w:val="auto"/>
          <w:sz w:val="21"/>
          <w:szCs w:val="21"/>
          <w:highlight w:val="none"/>
        </w:rPr>
        <w:tab/>
      </w:r>
      <w:r>
        <w:rPr>
          <w:rFonts w:hint="eastAsia"/>
          <w:color w:val="auto"/>
          <w:sz w:val="21"/>
          <w:szCs w:val="21"/>
          <w:highlight w:val="none"/>
        </w:rPr>
        <w:t>《施工现场防火规定》（试行）</w:t>
      </w:r>
    </w:p>
    <w:p w14:paraId="1A77AC17">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22、应自觉遵守《咸阳市治安防范责任条例》，定期向施工人员进行法制教育，严格执行招收外来民工等有关条例，办理劳务证。加强管理力度，严禁打架斗殴、聚众赌博及任何忧民现象发生；</w:t>
      </w:r>
    </w:p>
    <w:p w14:paraId="66386397">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23、应遵守国家有关环境保护的法规、规定。采取有效措施控制施工现场的各种粉尘、废气、废水、固体废弃物以及噪声、振动对环境的污染和危害。上述条款，施工单位必须严格执行。违反规定者，按性质严重程度罚款100元-1000元，并责令停工整改。</w:t>
      </w:r>
    </w:p>
    <w:p w14:paraId="42E7F213">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24、其他：</w:t>
      </w:r>
    </w:p>
    <w:p w14:paraId="16C0C8E4">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1）承包人负责对自己施工的范围开展安全管理，并有完整的安全管理体系。必须配备专职安全员，有关安全管理资料应提供发包人备案，发包人负责检查督促。</w:t>
      </w:r>
    </w:p>
    <w:p w14:paraId="38BB04DC">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2）承包人使用劳动力必须符合陕西规定，并提供加盖承包人公章的施工人员在册人员名单，若有变动，承包人必须书面通知发包人，凡册外人员发生事故由承包人全部负责。</w:t>
      </w:r>
    </w:p>
    <w:p w14:paraId="2BBAA330">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3）工期延长，本协议顺延。</w:t>
      </w:r>
    </w:p>
    <w:p w14:paraId="58E82E81">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color w:val="auto"/>
          <w:sz w:val="21"/>
          <w:szCs w:val="21"/>
          <w:highlight w:val="none"/>
        </w:rPr>
      </w:pPr>
      <w:r>
        <w:rPr>
          <w:rFonts w:hint="eastAsia"/>
          <w:color w:val="auto"/>
          <w:sz w:val="21"/>
          <w:szCs w:val="21"/>
          <w:highlight w:val="none"/>
        </w:rPr>
        <w:t>25、本协议经双方代表签字后即生效，作为合同的附件，一式肆份，发包人执叁份，承包人执壹份。</w:t>
      </w:r>
    </w:p>
    <w:p w14:paraId="3FA0413C">
      <w:pPr>
        <w:pStyle w:val="5"/>
        <w:rPr>
          <w:rFonts w:hint="eastAsia"/>
          <w:color w:val="auto"/>
          <w:highlight w:val="none"/>
        </w:rPr>
      </w:pPr>
    </w:p>
    <w:p w14:paraId="2F851D31">
      <w:pPr>
        <w:pStyle w:val="5"/>
        <w:rPr>
          <w:rFonts w:hint="eastAsia"/>
          <w:color w:val="auto"/>
          <w:highlight w:val="none"/>
        </w:rPr>
      </w:pPr>
    </w:p>
    <w:p w14:paraId="2F00C988">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ascii="宋体" w:hAnsi="Times New Roman" w:eastAsia="宋体" w:cs="Times New Roman"/>
          <w:color w:val="auto"/>
          <w:sz w:val="21"/>
          <w:szCs w:val="21"/>
          <w:highlight w:val="none"/>
        </w:rPr>
      </w:pPr>
      <w:r>
        <w:rPr>
          <w:rFonts w:hint="eastAsia" w:ascii="宋体" w:hAnsi="Times New Roman" w:eastAsia="宋体" w:cs="Times New Roman"/>
          <w:color w:val="auto"/>
          <w:sz w:val="21"/>
          <w:szCs w:val="21"/>
          <w:highlight w:val="none"/>
        </w:rPr>
        <w:t xml:space="preserve">发包人：（单位公章）                    承包人：（单位公章）         </w:t>
      </w:r>
    </w:p>
    <w:p w14:paraId="19A0D16A">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ascii="宋体" w:hAnsi="Times New Roman" w:eastAsia="宋体" w:cs="Times New Roman"/>
          <w:color w:val="auto"/>
          <w:sz w:val="21"/>
          <w:szCs w:val="21"/>
          <w:highlight w:val="none"/>
        </w:rPr>
      </w:pPr>
      <w:r>
        <w:rPr>
          <w:rFonts w:hint="eastAsia" w:ascii="宋体" w:hAnsi="Times New Roman" w:eastAsia="宋体" w:cs="Times New Roman"/>
          <w:color w:val="auto"/>
          <w:sz w:val="21"/>
          <w:szCs w:val="21"/>
          <w:highlight w:val="none"/>
        </w:rPr>
        <w:t xml:space="preserve">法定代表人：                          </w:t>
      </w:r>
      <w:r>
        <w:rPr>
          <w:rFonts w:hint="eastAsia" w:ascii="宋体" w:hAnsi="Times New Roman" w:eastAsia="宋体" w:cs="Times New Roman"/>
          <w:color w:val="auto"/>
          <w:sz w:val="21"/>
          <w:szCs w:val="21"/>
          <w:highlight w:val="none"/>
          <w:lang w:val="en-US" w:eastAsia="zh-CN"/>
        </w:rPr>
        <w:t xml:space="preserve"> </w:t>
      </w:r>
      <w:r>
        <w:rPr>
          <w:rFonts w:hint="eastAsia" w:ascii="宋体" w:hAnsi="Times New Roman" w:eastAsia="宋体" w:cs="Times New Roman"/>
          <w:color w:val="auto"/>
          <w:sz w:val="21"/>
          <w:szCs w:val="21"/>
          <w:highlight w:val="none"/>
        </w:rPr>
        <w:t xml:space="preserve"> 法定代表人：                </w:t>
      </w:r>
    </w:p>
    <w:p w14:paraId="1BDAE3AA">
      <w:pPr>
        <w:pStyle w:val="5"/>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ascii="宋体" w:hAnsi="Times New Roman" w:eastAsia="宋体" w:cs="Times New Roman"/>
          <w:color w:val="auto"/>
          <w:sz w:val="21"/>
          <w:szCs w:val="21"/>
          <w:highlight w:val="none"/>
        </w:rPr>
      </w:pPr>
    </w:p>
    <w:p w14:paraId="75A56597">
      <w:pPr>
        <w:ind w:firstLine="420" w:firstLineChars="200"/>
      </w:pPr>
      <w:r>
        <w:rPr>
          <w:rFonts w:hint="eastAsia" w:ascii="宋体" w:hAnsi="Times New Roman" w:eastAsia="宋体" w:cs="Times New Roman"/>
          <w:color w:val="auto"/>
          <w:sz w:val="21"/>
          <w:szCs w:val="21"/>
          <w:highlight w:val="none"/>
        </w:rPr>
        <w:t>日期：                                  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1C1D7980-BF29-4047-AF8A-0A19905D9B8C}"/>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script"/>
    <w:pitch w:val="default"/>
    <w:sig w:usb0="00000001" w:usb1="08000000" w:usb2="00000000" w:usb3="00000000" w:csb0="00040000" w:csb1="00000000"/>
    <w:embedRegular r:id="rId2" w:fontKey="{EFF03507-4340-4DB7-83A3-F10D5E9361EC}"/>
  </w:font>
  <w:font w:name="仿宋_GB2312">
    <w:altName w:val="仿宋"/>
    <w:panose1 w:val="02010609030101010101"/>
    <w:charset w:val="86"/>
    <w:family w:val="modern"/>
    <w:pitch w:val="default"/>
    <w:sig w:usb0="00000000" w:usb1="00000000" w:usb2="00000000" w:usb3="00000000" w:csb0="00040000" w:csb1="00000000"/>
    <w:embedRegular r:id="rId3" w:fontKey="{136DF520-39AB-47CB-A61E-37F6045D9514}"/>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4"/>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4ZjVkZDM2Nzk0ZGZiYjA1OTA1NDdhZDliNDY4NjIifQ=="/>
  </w:docVars>
  <w:rsids>
    <w:rsidRoot w:val="00000000"/>
    <w:rsid w:val="13675B6C"/>
    <w:rsid w:val="20DC0388"/>
    <w:rsid w:val="275C1E73"/>
    <w:rsid w:val="423B3D1C"/>
    <w:rsid w:val="66DC7084"/>
    <w:rsid w:val="67BA5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utoSpaceDE w:val="0"/>
      <w:autoSpaceDN w:val="0"/>
      <w:adjustRightInd w:val="0"/>
      <w:spacing w:before="240" w:after="120" w:line="360" w:lineRule="auto"/>
      <w:ind w:left="425" w:hanging="425"/>
      <w:jc w:val="center"/>
      <w:outlineLvl w:val="0"/>
    </w:pPr>
    <w:rPr>
      <w:rFonts w:ascii="宋体" w:hAnsi="宋体"/>
      <w:b/>
      <w:bCs/>
      <w:kern w:val="44"/>
      <w:sz w:val="32"/>
      <w:szCs w:val="20"/>
    </w:rPr>
  </w:style>
  <w:style w:type="paragraph" w:styleId="4">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beforeLines="0" w:line="22" w:lineRule="atLeast"/>
    </w:pPr>
    <w:rPr>
      <w:rFonts w:ascii="宋体" w:hAnsi="宋体"/>
      <w:sz w:val="24"/>
    </w:rPr>
  </w:style>
  <w:style w:type="paragraph" w:styleId="5">
    <w:name w:val="Normal Indent"/>
    <w:basedOn w:val="1"/>
    <w:next w:val="1"/>
    <w:qFormat/>
    <w:uiPriority w:val="0"/>
    <w:pPr>
      <w:autoSpaceDE w:val="0"/>
      <w:autoSpaceDN w:val="0"/>
      <w:adjustRightInd w:val="0"/>
      <w:ind w:firstLine="420"/>
      <w:jc w:val="left"/>
    </w:pPr>
    <w:rPr>
      <w:rFonts w:ascii="宋体"/>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9709</Words>
  <Characters>9956</Characters>
  <Lines>0</Lines>
  <Paragraphs>0</Paragraphs>
  <TotalTime>0</TotalTime>
  <ScaleCrop>false</ScaleCrop>
  <LinksUpToDate>false</LinksUpToDate>
  <CharactersWithSpaces>11004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2024-03-20T10:32:00Z</dcterms:created>
  <dc:creator>liyan</dc:creator>
  <cp:lastModifiedBy>admi</cp:lastModifiedBy>
  <dcterms:modified xsi:type="dcterms:W3CDTF">2026-07-09T09:39:27Z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C690F06744024A269D28D29EF764E6F4_12</vt:lpwstr>
  </property>
  <property fmtid="{D5CDD505-2E9C-101B-9397-08002B2CF9AE}" pid="4" name="KSOTemplateDocerSaveRecord">
    <vt:lpwstr>eyJoZGlkIjoiMzEyZTEzY2IxY2QzMGEzYjcyNzZhODcwYzNhNGI4OWEiLCJ1c2VySWQiOiIyMjMwMTgwNzUifQ==</vt:lpwstr>
  </property>
</Properties>
</file>