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版本号：LYHJ-2026-02020260713001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陕西汉中朱鹮国家级自然保护区2026年花园保护站管护用房修缮维护项目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LYHJ-2026-020</w:t>
      </w:r>
      <w:r>
        <w:br/>
      </w:r>
      <w:r>
        <w:br/>
      </w:r>
      <w:r>
        <w:br/>
      </w:r>
    </w:p>
    <w:p>
      <w:pPr>
        <w:pStyle w:val="null3"/>
        <w:jc w:val="center"/>
        <w:outlineLvl w:val="2"/>
      </w:pPr>
      <w:r>
        <w:rPr>
          <w:rFonts w:ascii="仿宋_GB2312" w:hAnsi="仿宋_GB2312" w:cs="仿宋_GB2312" w:eastAsia="仿宋_GB2312"/>
          <w:sz w:val="28"/>
          <w:b/>
        </w:rPr>
        <w:t>陕西汉中朱鹮国家级自然保护区管理局</w:t>
      </w:r>
    </w:p>
    <w:p>
      <w:pPr>
        <w:pStyle w:val="null3"/>
        <w:jc w:val="center"/>
        <w:outlineLvl w:val="2"/>
      </w:pPr>
      <w:r>
        <w:rPr>
          <w:rFonts w:ascii="仿宋_GB2312" w:hAnsi="仿宋_GB2312" w:cs="仿宋_GB2312" w:eastAsia="仿宋_GB2312"/>
          <w:sz w:val="28"/>
          <w:b/>
        </w:rPr>
        <w:t>陕西朗屹恒基项目咨询管理有限公司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陕西朗屹恒基项目咨询管理有限公司</w:t>
      </w:r>
      <w:r>
        <w:rPr>
          <w:rFonts w:ascii="仿宋_GB2312" w:hAnsi="仿宋_GB2312" w:cs="仿宋_GB2312" w:eastAsia="仿宋_GB2312"/>
        </w:rPr>
        <w:t>（以下简称“代理机构”）受</w:t>
      </w:r>
      <w:r>
        <w:rPr>
          <w:rFonts w:ascii="仿宋_GB2312" w:hAnsi="仿宋_GB2312" w:cs="仿宋_GB2312" w:eastAsia="仿宋_GB2312"/>
        </w:rPr>
        <w:t>陕西汉中朱鹮国家级自然保护区管理局</w:t>
      </w:r>
      <w:r>
        <w:rPr>
          <w:rFonts w:ascii="仿宋_GB2312" w:hAnsi="仿宋_GB2312" w:cs="仿宋_GB2312" w:eastAsia="仿宋_GB2312"/>
        </w:rPr>
        <w:t>委托，拟对</w:t>
      </w:r>
      <w:r>
        <w:rPr>
          <w:rFonts w:ascii="仿宋_GB2312" w:hAnsi="仿宋_GB2312" w:cs="仿宋_GB2312" w:eastAsia="仿宋_GB2312"/>
        </w:rPr>
        <w:t>陕西汉中朱鹮国家级自然保护区2026年花园保护站管护用房修缮维护项目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LYHJ-2026-020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陕西汉中朱鹮国家级自然保护区2026年花园保护站管护用房修缮维护项目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位于朱鹮保护区核心区的花园保护站因年久失修，存在屋顶瓦片破损脱落、门窗老化、院内地面破损、墙面陈旧、水路设施不完善、公共卫生间及洗澡间设备老化、院内护栏损坏、宿舍条件简陋等问题，确需进行以下维护改造：更换破损屋顶瓦片并做防漏水处理；更新维护门窗；修复院内地面；粉刷墙壁；改造水路以在职工宿舍增设热水供应；更新维护公共卫生间及洗澡间；更换院内护栏；改造宿舍，增设卫生间与空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采购包1（陕西汉中朱鹮国家级自然保护区2026年花园保护站管护用房修缮维护项目）：属于专门面向中小企业采购。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1、企业资质：供应商须具有建筑工程施工总承包二级（含）及以上资质，并具有行政主管部门颁发的有效的安全生产许可证书。</w:t>
      </w:r>
    </w:p>
    <w:p>
      <w:pPr>
        <w:pStyle w:val="null3"/>
      </w:pPr>
      <w:r>
        <w:rPr>
          <w:rFonts w:ascii="仿宋_GB2312" w:hAnsi="仿宋_GB2312" w:cs="仿宋_GB2312" w:eastAsia="仿宋_GB2312"/>
        </w:rPr>
        <w:t>2、项⽬负责⼈：拟派项目负责人须具有建筑工程二级（含）及以上注册建造师执业资格，并具有行政主管部门颁发的安全生产考核合格证，在本单位注册且无在建工程（提供无在建工程承诺书）。</w:t>
      </w:r>
    </w:p>
    <w:p>
      <w:pPr>
        <w:pStyle w:val="null3"/>
      </w:pPr>
      <w:r>
        <w:rPr>
          <w:rFonts w:ascii="仿宋_GB2312" w:hAnsi="仿宋_GB2312" w:cs="仿宋_GB2312" w:eastAsia="仿宋_GB2312"/>
        </w:rPr>
        <w:t>3、授权委托：非法人参加投标，须出具法定代表人授权书（附法定代表人、被授权人身份证复印件）及授权代表身份证；法定代表人参加投标的，须提供法定代表人身份证明书及身份证。</w:t>
      </w:r>
    </w:p>
    <w:p>
      <w:pPr>
        <w:pStyle w:val="null3"/>
      </w:pPr>
      <w:r>
        <w:rPr>
          <w:rFonts w:ascii="仿宋_GB2312" w:hAnsi="仿宋_GB2312" w:cs="仿宋_GB2312" w:eastAsia="仿宋_GB2312"/>
        </w:rPr>
        <w:t>4、信⽤查询：供应商不得为“信用中国”网站（www.creditchina.gov.cn）中列入失信被执行人和重大税收违法失信主体名单的供应商，不得为中国政府采购网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p>
      <w:pPr>
        <w:pStyle w:val="null3"/>
      </w:pPr>
      <w:r>
        <w:rPr>
          <w:rFonts w:ascii="仿宋_GB2312" w:hAnsi="仿宋_GB2312" w:cs="仿宋_GB2312" w:eastAsia="仿宋_GB2312"/>
        </w:rPr>
        <w:t>5、企业关联声明：单位负责人为同一人或者存在直接控股、管理关系的不同投标人，不得参加同一招标项目的投标活动。</w:t>
      </w:r>
    </w:p>
    <w:p>
      <w:pPr>
        <w:pStyle w:val="null3"/>
      </w:pPr>
      <w:r>
        <w:rPr>
          <w:rFonts w:ascii="仿宋_GB2312" w:hAnsi="仿宋_GB2312" w:cs="仿宋_GB2312" w:eastAsia="仿宋_GB2312"/>
        </w:rPr>
        <w:t>6、⾮联合体投标：本项目不接受联合体投标，提供非联合体投标声明，格式自拟。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陕西汉中朱鹮国家级自然保护区管理局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陕西省汉中市洋县文明东路348号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黄宝民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0916-8212853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陕西朗屹恒基项目咨询管理有限公司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陕西省咸阳市秦都区滨河西路5号咸阳非金属矿研究设计院院内办公楼8楼中段中户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19299397951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以中标价为基数，参见国家计委颁布的《招标代理服务收费管理暂行办法》（计价格[2002]1980号）和（发改办价格[2003]857号）收费标准收取。2.中标人在领取中标通知书时向招标代理机构一次性交纳。3.采购代理服务费账户:公司名称:陕西朗屹恒基项目咨询管理有限公司:账号:26475001040028833;开户行:中国农业银行咸阳中华广场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陕西汉中朱鹮国家级自然保护区管理局</w:t>
      </w:r>
      <w:r>
        <w:rPr>
          <w:rFonts w:ascii="仿宋_GB2312" w:hAnsi="仿宋_GB2312" w:cs="仿宋_GB2312" w:eastAsia="仿宋_GB2312"/>
        </w:rPr>
        <w:t>和</w:t>
      </w:r>
      <w:r>
        <w:rPr>
          <w:rFonts w:ascii="仿宋_GB2312" w:hAnsi="仿宋_GB2312" w:cs="仿宋_GB2312" w:eastAsia="仿宋_GB2312"/>
        </w:rPr>
        <w:t>陕西朗屹恒基项目咨询管理有限公司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陕西汉中朱鹮国家级自然保护区管理局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陕西朗屹恒基项目咨询管理有限公司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陕西汉中朱鹮国家级自然保护区管理局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陕西朗屹恒基项目咨询管理有限公司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使用该项目成果后，供应商需提供相关技术资料，并承诺提供相关技术支持，采购人享有使用权（含采购人委托第三方在该项目后续开发的使用权，若有）。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按照相关施⼯标准和验收标准严格验收。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联系人：刘乐</w:t>
      </w:r>
    </w:p>
    <w:p>
      <w:pPr>
        <w:pStyle w:val="null3"/>
      </w:pPr>
      <w:r>
        <w:rPr>
          <w:rFonts w:ascii="仿宋_GB2312" w:hAnsi="仿宋_GB2312" w:cs="仿宋_GB2312" w:eastAsia="仿宋_GB2312"/>
        </w:rPr>
        <w:t>联系电话：19299397951</w:t>
      </w:r>
    </w:p>
    <w:p>
      <w:pPr>
        <w:pStyle w:val="null3"/>
      </w:pPr>
      <w:r>
        <w:rPr>
          <w:rFonts w:ascii="仿宋_GB2312" w:hAnsi="仿宋_GB2312" w:cs="仿宋_GB2312" w:eastAsia="仿宋_GB2312"/>
        </w:rPr>
        <w:t>地址：咸阳市秦都区滨河西路5号咸阳非金属矿研究设计院院内办公楼8楼中段中户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位于朱鹮保护区核⼼区的花园保护站因年久失修，存在屋顶⽡⽚破损脱落、⻔窗⽼化、院内地⾯破损、墙⾯陈旧、⽔路设施不完善、公共卫⽣间及洗澡间设备⽼化、院内护栏损坏、宿舍条件简陋等问题，确需进⾏以下维护改造：更换破损屋顶⽡⽚并做防漏⽔处理；更新维护⻔窗；修复院内地⾯；粉刷墙壁；改造⽔路以在职⼯宿舍增设热⽔供应；更新维护公共卫⽣间及洗澡间；更换院内护栏；改造宿舍，增设卫⽣间与空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539,624.34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花园保护站管护用房修缮维护</w:t>
            </w:r>
          </w:p>
        </w:tc>
        <w:tc>
          <w:tcPr>
            <w:tcW w:type="dxa" w:w="755"/>
          </w:tcPr>
          <w:p>
            <w:pPr>
              <w:pStyle w:val="null3"/>
              <w:jc w:val="right"/>
            </w:pPr>
            <w:r>
              <w:rPr>
                <w:rFonts w:ascii="仿宋_GB2312" w:hAnsi="仿宋_GB2312" w:cs="仿宋_GB2312" w:eastAsia="仿宋_GB2312"/>
              </w:rPr>
              <w:t>1,200.00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平方米</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标的名称：花园保护站管护用房修缮维护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rPr>
              <w:t>一、项目概况</w:t>
            </w:r>
          </w:p>
          <w:p>
            <w:pPr>
              <w:pStyle w:val="null3"/>
              <w:ind w:firstLine="420"/>
              <w:jc w:val="left"/>
            </w:pPr>
            <w:r>
              <w:rPr>
                <w:rFonts w:ascii="仿宋_GB2312" w:hAnsi="仿宋_GB2312" w:cs="仿宋_GB2312" w:eastAsia="仿宋_GB2312"/>
                <w:sz w:val="18"/>
              </w:rPr>
              <w:t>位于朱鹮保护区核心区的花园保护站因年久失修，存在屋顶瓦片破损脱落、门窗老化、院内地面破损、墙面陈旧、水路设施不完善、公共卫生间及洗澡间设备老化、院内护栏损坏、宿舍条件简陋等问题，确需进行以下维护改造：更换破损屋顶瓦片并做防漏水处理；更新维护门窗；修复院内地面；粉刷墙壁；改造水路以在职工宿舍增设热水供应；更新维护公共卫生间及洗澡间；更换院内护栏；改造宿舍，增设卫生间与空调。</w:t>
            </w:r>
          </w:p>
          <w:p>
            <w:pPr>
              <w:pStyle w:val="null3"/>
              <w:jc w:val="left"/>
            </w:pPr>
            <w:r>
              <w:rPr>
                <w:rFonts w:ascii="仿宋_GB2312" w:hAnsi="仿宋_GB2312" w:cs="仿宋_GB2312" w:eastAsia="仿宋_GB2312"/>
                <w:sz w:val="18"/>
                <w:b/>
              </w:rPr>
              <w:t>二、实施内容</w:t>
            </w:r>
          </w:p>
          <w:p>
            <w:pPr>
              <w:pStyle w:val="null3"/>
              <w:ind w:firstLine="420"/>
              <w:jc w:val="left"/>
            </w:pPr>
            <w:r>
              <w:rPr>
                <w:rFonts w:ascii="仿宋_GB2312" w:hAnsi="仿宋_GB2312" w:cs="仿宋_GB2312" w:eastAsia="仿宋_GB2312"/>
                <w:sz w:val="18"/>
              </w:rPr>
              <w:t>1、室内工程</w:t>
            </w:r>
          </w:p>
          <w:p>
            <w:pPr>
              <w:pStyle w:val="null3"/>
              <w:ind w:firstLine="420"/>
              <w:jc w:val="left"/>
            </w:pPr>
            <w:r>
              <w:rPr>
                <w:rFonts w:ascii="仿宋_GB2312" w:hAnsi="仿宋_GB2312" w:cs="仿宋_GB2312" w:eastAsia="仿宋_GB2312"/>
                <w:sz w:val="18"/>
              </w:rPr>
              <w:t>（1）整体防漏水处理，屋面基层打磨平整后，涂刷渗透型环氧防水底漆（增强粘结力）。满铺SBS改性沥青防水卷材（Ⅱ型聚酯胎基，厚度≥4mm），卷材搭接宽度≥100mm，采用热熔焊接工艺无缝衔接。重点处理天沟等节点：阴阳角处加铺500mm宽附加层，天沟接口采用金属压条密封。完工后执行闭水试验：屋面注水30mm深，持续24小时无渗漏。</w:t>
            </w:r>
          </w:p>
          <w:p>
            <w:pPr>
              <w:pStyle w:val="null3"/>
              <w:ind w:firstLine="420"/>
              <w:jc w:val="left"/>
            </w:pPr>
            <w:r>
              <w:rPr>
                <w:rFonts w:ascii="仿宋_GB2312" w:hAnsi="仿宋_GB2312" w:cs="仿宋_GB2312" w:eastAsia="仿宋_GB2312"/>
                <w:sz w:val="18"/>
              </w:rPr>
              <w:t>（2）对540平方米屋顶瓦片进行修复，对破损瓦片更换，全面勘查屋顶瓦片状态，标记裂缝≥2mm、缺失或松动的瓦片。彻底拆除损坏瓦片并清理基层残留物，更换为仿古水泥瓦（规格330×420mm，承载力≥1.5kN）。瓦片铺设采用错缝搭接工艺，搭接长度≥75mm，每片瓦用不锈钢螺钉+耐候结构胶双向固定，确保抗风抗震性能。</w:t>
            </w:r>
          </w:p>
          <w:p>
            <w:pPr>
              <w:pStyle w:val="null3"/>
              <w:ind w:firstLine="420"/>
              <w:jc w:val="left"/>
            </w:pPr>
            <w:r>
              <w:rPr>
                <w:rFonts w:ascii="仿宋_GB2312" w:hAnsi="仿宋_GB2312" w:cs="仿宋_GB2312" w:eastAsia="仿宋_GB2312"/>
                <w:sz w:val="18"/>
              </w:rPr>
              <w:t>（3）排水系统维护，彻底清理天沟淤泥及落叶，修复变形部位。落水管统一更换为PVC-U材质（直径≥110mm），接口处用橡胶密封圈+PVC胶水双重密封。天沟坡度调整至≥5‰，通水测试确保排水畅通无倒灌。</w:t>
            </w:r>
          </w:p>
          <w:p>
            <w:pPr>
              <w:pStyle w:val="null3"/>
              <w:ind w:firstLine="420"/>
              <w:jc w:val="left"/>
            </w:pPr>
            <w:r>
              <w:rPr>
                <w:rFonts w:ascii="仿宋_GB2312" w:hAnsi="仿宋_GB2312" w:cs="仿宋_GB2312" w:eastAsia="仿宋_GB2312"/>
                <w:sz w:val="18"/>
              </w:rPr>
              <w:t>（4）对1200平方米墙壁粉刷处理。铲除空鼓旧涂层至砂浆层，裂缝处开V型槽用聚合物抗裂砂浆填补，满挂0.8mm厚玻纤网。室内墙涂刷环保型腻子2遍+净味乳胶漆2遍（甲醛含量≤50mg/kg）；外墙采用弹性抗裂腻子+氟碳面漆（耐候性≥15年）。漆膜厚度≥60μm，验收无流挂、色差。</w:t>
            </w:r>
          </w:p>
          <w:p>
            <w:pPr>
              <w:pStyle w:val="null3"/>
              <w:ind w:firstLine="420"/>
              <w:jc w:val="left"/>
            </w:pPr>
            <w:r>
              <w:rPr>
                <w:rFonts w:ascii="仿宋_GB2312" w:hAnsi="仿宋_GB2312" w:cs="仿宋_GB2312" w:eastAsia="仿宋_GB2312"/>
                <w:sz w:val="18"/>
              </w:rPr>
              <w:t>（5）门窗更新维护</w:t>
            </w:r>
          </w:p>
          <w:p>
            <w:pPr>
              <w:pStyle w:val="null3"/>
              <w:ind w:firstLine="420"/>
              <w:jc w:val="left"/>
            </w:pPr>
            <w:r>
              <w:rPr>
                <w:rFonts w:ascii="仿宋_GB2312" w:hAnsi="仿宋_GB2312" w:cs="仿宋_GB2312" w:eastAsia="仿宋_GB2312"/>
                <w:sz w:val="18"/>
              </w:rPr>
              <w:t>对145.44平方米的门窗更换，拆除原有锈蚀/变形门窗，新装断桥铝合金门窗（型材壁厚≥1.4mm，配置5+12A+5双钢化中空玻璃）。安装时采用三维激光定位仪校准，框体与墙体间隙用聚氨酯发泡胶填充密实，外窗台预留≥10%排水坡度，窗框外侧嵌填硅酮耐候密封胶防渗水。合页、执手统一更换为304不锈钢材质，锁具具备防撬功能。更新三元乙丙橡胶密封胶条（寿命≥10年），确保气密性达国标6级、水密性达4级（GB/T7106）。</w:t>
            </w:r>
          </w:p>
          <w:p>
            <w:pPr>
              <w:pStyle w:val="null3"/>
              <w:ind w:firstLine="420"/>
              <w:jc w:val="left"/>
            </w:pPr>
            <w:r>
              <w:rPr>
                <w:rFonts w:ascii="仿宋_GB2312" w:hAnsi="仿宋_GB2312" w:cs="仿宋_GB2312" w:eastAsia="仿宋_GB2312"/>
                <w:sz w:val="18"/>
              </w:rPr>
              <w:t>（6）给排水系统改造</w:t>
            </w:r>
          </w:p>
          <w:p>
            <w:pPr>
              <w:pStyle w:val="null3"/>
              <w:ind w:firstLine="420"/>
              <w:jc w:val="left"/>
            </w:pPr>
            <w:r>
              <w:rPr>
                <w:rFonts w:ascii="仿宋_GB2312" w:hAnsi="仿宋_GB2312" w:cs="仿宋_GB2312" w:eastAsia="仿宋_GB2312"/>
                <w:sz w:val="18"/>
              </w:rPr>
              <w:t>给水管采用PPR热水管（S2.5系列，承压≥1.6MPa），埋设深度≥700mm，外包30mm橡塑保温套管。排水管采用PVC-U螺旋消音管（坡度≥3%），接口用胶黏剂+橡胶圈双密封。</w:t>
            </w:r>
          </w:p>
          <w:p>
            <w:pPr>
              <w:pStyle w:val="null3"/>
              <w:ind w:firstLine="420"/>
              <w:jc w:val="left"/>
            </w:pPr>
            <w:r>
              <w:rPr>
                <w:rFonts w:ascii="仿宋_GB2312" w:hAnsi="仿宋_GB2312" w:cs="仿宋_GB2312" w:eastAsia="仿宋_GB2312"/>
                <w:sz w:val="18"/>
              </w:rPr>
              <w:t>安装2台80L储水式电热水器（能效1级，带防漏电保护），进出水管加装304不锈钢波纹软管。洗澡间增设屏蔽式管道增压泵（扬程≥15m），水路系统完工后执行1.5倍工作压力试压（1.2MPa保压30分钟无渗漏）。</w:t>
            </w:r>
          </w:p>
          <w:p>
            <w:pPr>
              <w:pStyle w:val="null3"/>
              <w:ind w:firstLine="420"/>
              <w:jc w:val="left"/>
            </w:pPr>
            <w:r>
              <w:rPr>
                <w:rFonts w:ascii="仿宋_GB2312" w:hAnsi="仿宋_GB2312" w:cs="仿宋_GB2312" w:eastAsia="仿宋_GB2312"/>
                <w:sz w:val="18"/>
              </w:rPr>
              <w:t>（7）公共卫生间设施更新</w:t>
            </w:r>
          </w:p>
          <w:p>
            <w:pPr>
              <w:pStyle w:val="null3"/>
              <w:ind w:firstLine="420"/>
              <w:jc w:val="left"/>
            </w:pPr>
            <w:r>
              <w:rPr>
                <w:rFonts w:ascii="仿宋_GB2312" w:hAnsi="仿宋_GB2312" w:cs="仿宋_GB2312" w:eastAsia="仿宋_GB2312"/>
                <w:sz w:val="18"/>
              </w:rPr>
              <w:t>更换5套陶瓷连体坐便器+304不锈钢五金件，淋浴区铺设防滑地砖（摩擦系数≥0.6）。安装大功率排气扇（风量≥150m³/h），排水管增设存水弯防臭。</w:t>
            </w:r>
          </w:p>
          <w:p>
            <w:pPr>
              <w:pStyle w:val="null3"/>
              <w:ind w:firstLine="420"/>
              <w:jc w:val="left"/>
            </w:pPr>
            <w:r>
              <w:rPr>
                <w:rFonts w:ascii="仿宋_GB2312" w:hAnsi="仿宋_GB2312" w:cs="仿宋_GB2312" w:eastAsia="仿宋_GB2312"/>
                <w:sz w:val="18"/>
              </w:rPr>
              <w:t>2、室外工程</w:t>
            </w:r>
          </w:p>
          <w:p>
            <w:pPr>
              <w:pStyle w:val="null3"/>
              <w:ind w:firstLine="420"/>
              <w:jc w:val="left"/>
            </w:pPr>
            <w:r>
              <w:rPr>
                <w:rFonts w:ascii="仿宋_GB2312" w:hAnsi="仿宋_GB2312" w:cs="仿宋_GB2312" w:eastAsia="仿宋_GB2312"/>
                <w:sz w:val="18"/>
              </w:rPr>
              <w:t>（1）院内地面维护，面积240平方米，具体措施凿除开裂、沉降的水泥地面，基层压实后铺设φ6@200mm钢筋网，浇筑C25商品混凝土（厚度≥120mm）。表面机械磨光，按6m×6m间距切伸缩缝，灌注聚硫密封胶。完工后养护≥7天，载荷测试无开裂。</w:t>
            </w:r>
          </w:p>
          <w:p>
            <w:pPr>
              <w:pStyle w:val="null3"/>
              <w:ind w:firstLine="420"/>
              <w:jc w:val="left"/>
            </w:pPr>
            <w:r>
              <w:rPr>
                <w:rFonts w:ascii="仿宋_GB2312" w:hAnsi="仿宋_GB2312" w:cs="仿宋_GB2312" w:eastAsia="仿宋_GB2312"/>
                <w:sz w:val="18"/>
              </w:rPr>
              <w:t>（2）院墙护栏更换</w:t>
            </w:r>
          </w:p>
          <w:p>
            <w:pPr>
              <w:pStyle w:val="null3"/>
              <w:ind w:firstLine="420"/>
              <w:jc w:val="left"/>
            </w:pPr>
            <w:r>
              <w:rPr>
                <w:rFonts w:ascii="仿宋_GB2312" w:hAnsi="仿宋_GB2312" w:cs="仿宋_GB2312" w:eastAsia="仿宋_GB2312"/>
                <w:sz w:val="18"/>
              </w:rPr>
              <w:t>院墙护栏面积85平方米。拆除锈蚀护栏，新装热浸镀锌钢护栏（立柱60×60mm，横管40×40mm，镀锌层厚度≥85μm）。立柱基础深埋≥600mm，浇筑C25混凝土固定。栏片焊接点打磨光滑后喷涂环氧富锌底漆+聚氨酯面漆，整体抗风压≥1.0kN/m²。</w:t>
            </w:r>
          </w:p>
          <w:p>
            <w:pPr>
              <w:pStyle w:val="null3"/>
              <w:ind w:firstLine="420"/>
              <w:jc w:val="left"/>
            </w:pPr>
            <w:r>
              <w:rPr>
                <w:rFonts w:ascii="仿宋_GB2312" w:hAnsi="仿宋_GB2312" w:cs="仿宋_GB2312" w:eastAsia="仿宋_GB2312"/>
                <w:sz w:val="18"/>
              </w:rPr>
              <w:t>详细实施内容详见工程量清单。</w:t>
            </w:r>
          </w:p>
          <w:p>
            <w:pPr>
              <w:pStyle w:val="null3"/>
              <w:jc w:val="left"/>
            </w:pPr>
            <w:r>
              <w:rPr>
                <w:rFonts w:ascii="仿宋_GB2312" w:hAnsi="仿宋_GB2312" w:cs="仿宋_GB2312" w:eastAsia="仿宋_GB2312"/>
                <w:sz w:val="18"/>
                <w:b/>
              </w:rPr>
              <w:t>三、工程地点、计划工期等</w:t>
            </w:r>
          </w:p>
          <w:p>
            <w:pPr>
              <w:pStyle w:val="null3"/>
              <w:ind w:firstLine="420"/>
              <w:jc w:val="left"/>
            </w:pPr>
            <w:r>
              <w:rPr>
                <w:rFonts w:ascii="仿宋_GB2312" w:hAnsi="仿宋_GB2312" w:cs="仿宋_GB2312" w:eastAsia="仿宋_GB2312"/>
                <w:sz w:val="18"/>
              </w:rPr>
              <w:t>工程地点：洋县溢水镇花园村朱鹮局花园保护站。</w:t>
            </w:r>
          </w:p>
          <w:p>
            <w:pPr>
              <w:pStyle w:val="null3"/>
              <w:ind w:firstLine="420"/>
              <w:jc w:val="left"/>
            </w:pPr>
            <w:r>
              <w:rPr>
                <w:rFonts w:ascii="仿宋_GB2312" w:hAnsi="仿宋_GB2312" w:cs="仿宋_GB2312" w:eastAsia="仿宋_GB2312"/>
                <w:sz w:val="18"/>
              </w:rPr>
              <w:t>工期：120日历天。</w:t>
            </w:r>
          </w:p>
          <w:p>
            <w:pPr>
              <w:pStyle w:val="null3"/>
              <w:ind w:firstLine="420"/>
              <w:jc w:val="left"/>
            </w:pPr>
            <w:r>
              <w:rPr>
                <w:rFonts w:ascii="仿宋_GB2312" w:hAnsi="仿宋_GB2312" w:cs="仿宋_GB2312" w:eastAsia="仿宋_GB2312"/>
                <w:sz w:val="18"/>
              </w:rPr>
              <w:t>质量标准：符合国家及行业相关验收规范合格标准。</w:t>
            </w:r>
          </w:p>
          <w:p>
            <w:pPr>
              <w:pStyle w:val="null3"/>
              <w:jc w:val="left"/>
            </w:pPr>
            <w:r>
              <w:rPr>
                <w:rFonts w:ascii="仿宋_GB2312" w:hAnsi="仿宋_GB2312" w:cs="仿宋_GB2312" w:eastAsia="仿宋_GB2312"/>
                <w:sz w:val="18"/>
                <w:b/>
              </w:rPr>
              <w:t>四、付款方式</w:t>
            </w:r>
          </w:p>
          <w:p>
            <w:pPr>
              <w:pStyle w:val="null3"/>
              <w:ind w:firstLine="420"/>
              <w:jc w:val="left"/>
            </w:pPr>
            <w:r>
              <w:rPr>
                <w:rFonts w:ascii="仿宋_GB2312" w:hAnsi="仿宋_GB2312" w:cs="仿宋_GB2312" w:eastAsia="仿宋_GB2312"/>
                <w:sz w:val="18"/>
              </w:rPr>
              <w:t>合同签订后7日内，甲方向乙方支付合同总金额的50%;项目施工完毕后付合同总金额的30%；项目验收合格后付合同总金额的20%。</w:t>
            </w:r>
          </w:p>
          <w:p>
            <w:pPr>
              <w:pStyle w:val="null3"/>
              <w:jc w:val="left"/>
            </w:pPr>
            <w:r>
              <w:rPr>
                <w:rFonts w:ascii="仿宋_GB2312" w:hAnsi="仿宋_GB2312" w:cs="仿宋_GB2312" w:eastAsia="仿宋_GB2312"/>
                <w:sz w:val="18"/>
                <w:b/>
              </w:rPr>
              <w:t>五、验收及交付标准和方法</w:t>
            </w:r>
          </w:p>
          <w:p>
            <w:pPr>
              <w:pStyle w:val="null3"/>
              <w:ind w:firstLine="420"/>
              <w:jc w:val="left"/>
            </w:pPr>
            <w:r>
              <w:rPr>
                <w:rFonts w:ascii="仿宋_GB2312" w:hAnsi="仿宋_GB2312" w:cs="仿宋_GB2312" w:eastAsia="仿宋_GB2312"/>
                <w:sz w:val="18"/>
              </w:rPr>
              <w:t>本项目验收以项目招标文件、合同书、需求设计和相关政策法规等作为验收依据。</w:t>
            </w:r>
          </w:p>
          <w:p>
            <w:pPr>
              <w:pStyle w:val="null3"/>
              <w:jc w:val="left"/>
            </w:pPr>
            <w:r>
              <w:rPr>
                <w:rFonts w:ascii="仿宋_GB2312" w:hAnsi="仿宋_GB2312" w:cs="仿宋_GB2312" w:eastAsia="仿宋_GB2312"/>
                <w:sz w:val="18"/>
                <w:b/>
              </w:rPr>
              <w:t>六、售后服务要求</w:t>
            </w:r>
          </w:p>
          <w:p>
            <w:pPr>
              <w:pStyle w:val="null3"/>
              <w:ind w:firstLine="420"/>
              <w:jc w:val="left"/>
            </w:pPr>
            <w:r>
              <w:rPr>
                <w:rFonts w:ascii="仿宋_GB2312" w:hAnsi="仿宋_GB2312" w:cs="仿宋_GB2312" w:eastAsia="仿宋_GB2312"/>
                <w:sz w:val="18"/>
              </w:rPr>
              <w:t>确保各类建筑、设施、管道安装合规，符合相关要求，一年内不得出现质量问题。</w:t>
            </w:r>
          </w:p>
          <w:p>
            <w:pPr>
              <w:pStyle w:val="null3"/>
              <w:jc w:val="left"/>
            </w:pPr>
            <w:r>
              <w:rPr>
                <w:rFonts w:ascii="仿宋_GB2312" w:hAnsi="仿宋_GB2312" w:cs="仿宋_GB2312" w:eastAsia="仿宋_GB2312"/>
                <w:sz w:val="18"/>
                <w:b/>
              </w:rPr>
              <w:t>七、其他说明</w:t>
            </w:r>
          </w:p>
          <w:p>
            <w:pPr>
              <w:pStyle w:val="null3"/>
              <w:ind w:firstLine="420"/>
              <w:jc w:val="left"/>
            </w:pPr>
            <w:r>
              <w:rPr>
                <w:rFonts w:ascii="仿宋_GB2312" w:hAnsi="仿宋_GB2312" w:cs="仿宋_GB2312" w:eastAsia="仿宋_GB2312"/>
                <w:sz w:val="18"/>
              </w:rPr>
              <w:t>1、在施工期间，成交供应商必须注意人员安全，加强安全措施，对施工人员进行安全教育，并健全安全管理制度和加强教育培训。要求成交供应商在施工中做到封闭性施工。承诺明确安全责任，承诺文明施工，承诺自觉遵守采购人的管理规定。</w:t>
            </w:r>
          </w:p>
          <w:p>
            <w:pPr>
              <w:pStyle w:val="null3"/>
              <w:ind w:firstLine="420"/>
              <w:jc w:val="left"/>
            </w:pPr>
            <w:r>
              <w:rPr>
                <w:rFonts w:ascii="仿宋_GB2312" w:hAnsi="仿宋_GB2312" w:cs="仿宋_GB2312" w:eastAsia="仿宋_GB2312"/>
                <w:sz w:val="18"/>
              </w:rPr>
              <w:t>2、各供应商投标总价包括但不限于人工费、材料费、机械费、管理费、保险费、措施费、税金、以及其他完成本项目内容所包含的全部费用。投标报价为供应商在响应文件中提出各项支付金额的总和。</w:t>
            </w:r>
          </w:p>
          <w:p>
            <w:pPr>
              <w:pStyle w:val="null3"/>
            </w:pPr>
            <w:r>
              <w:rPr>
                <w:rFonts w:ascii="仿宋_GB2312" w:hAnsi="仿宋_GB2312" w:cs="仿宋_GB2312" w:eastAsia="仿宋_GB2312"/>
                <w:sz w:val="18"/>
              </w:rPr>
              <w:t xml:space="preserve">   3、本采购文件附件中的合同文件仅供参考。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 1 名，其余人员根据项目实际需要足额配备。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根据项目实际需要足额配备。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洋县溢水镇花园村朱鹮局花园保护站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本项⽬验收以项⽬招标⽂件、合同书、需求设计和相关政策法规等作为验收依据。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进度款，项目施工完毕后，达到付款条件起15个工作日内，支付合同总金额的30.0%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法典》中的相关条款执⾏。2.未按合同要求进⾏的，采购⼈有权终⽌合同，并对供应商违约⾏为进⾏追究，同时按《中华⼈⺠共和国政府采购法》的有关规定进⾏处罚。3.根据具体违约和争议内容协商，若协商未果，可向项⽬所在地⼈⺠法院诉讼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1.本项目采购活动执行下列政府采购政策：（1）《财政部 国家发展改革委关于印发〈节能产品政府采购实施意见〉的通知》（财库〔2004〕185号）；（2）《国务院办公厅关于建立政府强制采购节能产品制度的通知》（国办发〔2007〕51号）；（3）《财政部环保总局关于环境标志产品政府采购实施的意见》（财库〔2006〕90号）；（4）《财政部 司法部关于政府采购支持监狱企业发展有关问题的通知》（财库〔2014〕68号）；（5）《财政部、民政部、中国残疾人联合会关于促进残疾人就业政府采购政策的通知》（财库〔2017〕141号）；（6）《财政部 发展改革委 生态环境部 市场监管总局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其他需执行的政府采购政策； 2.本项目所属行业为建筑业。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证明资料：1.具有独立承担民事责任能力的法人、其他组织或自然人，并出具合法有效的营业执照或事业单位法人证书等国家规定的相关证明，自然人参与的提供其身份证明；2.税收缴纳证明：提供开标截止时间前一年内已缴纳的至少一个月的纳税证明或完税证明（任意税种），依法免税的单位应提供相关证明材料；3.社会保障资金缴纳证明：提供开标截止时间前一年内已缴存的至少一个月的社会保障资金缴存凭证或社保机构开具的社会保险参保证明，依法不需要缴纳社会保障资金的单位应提供相关证明材料；4.承诺声明：提供具有履行合同所必需的设备和专业技术能力的承诺声明；5.书面声明：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供应商资格证明相关资料.docx 投标函 供应商拒绝贿赂承诺书.docx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经审计的完整的2025年度财务报告（成立时间至投标文件递交截止时间不足一年的，可提供成立后任意时段的资产负债表），或投标文件递交截止时间前三个月内其开户银行出具的资信证明和基本存款账户开户许可证（两者须同时提供）。</w:t>
            </w:r>
          </w:p>
        </w:tc>
        <w:tc>
          <w:tcPr>
            <w:tcW w:type="dxa" w:w="1661"/>
          </w:tcPr>
          <w:p>
            <w:pPr>
              <w:pStyle w:val="null3"/>
            </w:pPr>
            <w:r>
              <w:rPr>
                <w:rFonts w:ascii="仿宋_GB2312" w:hAnsi="仿宋_GB2312" w:cs="仿宋_GB2312" w:eastAsia="仿宋_GB2312"/>
              </w:rPr>
              <w:t>供应商资格证明相关资料.docx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供应商资格证明相关资料.docx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供应商须具有建筑工程施工总承包二级（含）及以上资质，并具有行政主管部门颁发的有效的安全生产许可证书。</w:t>
            </w:r>
          </w:p>
        </w:tc>
        <w:tc>
          <w:tcPr>
            <w:tcW w:type="dxa" w:w="1661"/>
          </w:tcPr>
          <w:p>
            <w:pPr>
              <w:pStyle w:val="null3"/>
            </w:pPr>
            <w:r>
              <w:rPr>
                <w:rFonts w:ascii="仿宋_GB2312" w:hAnsi="仿宋_GB2312" w:cs="仿宋_GB2312" w:eastAsia="仿宋_GB2312"/>
              </w:rPr>
              <w:t>供应商资格证明相关资料.docx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项⽬负责⼈</w:t>
            </w:r>
          </w:p>
        </w:tc>
        <w:tc>
          <w:tcPr>
            <w:tcW w:type="dxa" w:w="3322"/>
          </w:tcPr>
          <w:p>
            <w:pPr>
              <w:pStyle w:val="null3"/>
            </w:pPr>
            <w:r>
              <w:rPr>
                <w:rFonts w:ascii="仿宋_GB2312" w:hAnsi="仿宋_GB2312" w:cs="仿宋_GB2312" w:eastAsia="仿宋_GB2312"/>
              </w:rPr>
              <w:t>拟派项目负责人须具有建筑工程二级（含）及以上注册建造师执业资格，并具有行政主管部门颁发的安全生产考核合格证，在本单位注册且无在建工程（提供无在建工程承诺书）。</w:t>
            </w:r>
          </w:p>
        </w:tc>
        <w:tc>
          <w:tcPr>
            <w:tcW w:type="dxa" w:w="1661"/>
          </w:tcPr>
          <w:p>
            <w:pPr>
              <w:pStyle w:val="null3"/>
            </w:pPr>
            <w:r>
              <w:rPr>
                <w:rFonts w:ascii="仿宋_GB2312" w:hAnsi="仿宋_GB2312" w:cs="仿宋_GB2312" w:eastAsia="仿宋_GB2312"/>
              </w:rPr>
              <w:t>项目管理机构组成表.docx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非法人参加投标，须出具法定代表人授权书（附法定代表人、被授权人身份证复印件）及授权代表身份证；法定代表人参加投标的，须提供法定代表人身份证明书及身份证。</w:t>
            </w:r>
          </w:p>
        </w:tc>
        <w:tc>
          <w:tcPr>
            <w:tcW w:type="dxa" w:w="1661"/>
          </w:tcPr>
          <w:p>
            <w:pPr>
              <w:pStyle w:val="null3"/>
            </w:pPr>
            <w:r>
              <w:rPr>
                <w:rFonts w:ascii="仿宋_GB2312" w:hAnsi="仿宋_GB2312" w:cs="仿宋_GB2312" w:eastAsia="仿宋_GB2312"/>
              </w:rPr>
              <w:t>供应商资格证明相关资料.docx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供应商资格证明相关资料.docx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企业关联声明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单位负责人为同一人或者存在直接控股、管理关系的不同投标人，不得参加同一招标项目的投标活动。</w:t>
            </w:r>
          </w:p>
        </w:tc>
        <w:tc>
          <w:tcPr>
            <w:tcW w:type="dxa" w:w="1661"/>
          </w:tcPr>
          <w:p>
            <w:pPr>
              <w:pStyle w:val="null3"/>
            </w:pPr>
            <w:r>
              <w:rPr>
                <w:rFonts w:ascii="仿宋_GB2312" w:hAnsi="仿宋_GB2312" w:cs="仿宋_GB2312" w:eastAsia="仿宋_GB2312"/>
              </w:rPr>
              <w:t>供应商资格证明相关资料.docx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本项目不接受联合体投标，提供非联合体投标声明，格式自拟。</w:t>
            </w:r>
          </w:p>
        </w:tc>
        <w:tc>
          <w:tcPr>
            <w:tcW w:type="dxa" w:w="1661"/>
          </w:tcPr>
          <w:p>
            <w:pPr>
              <w:pStyle w:val="null3"/>
            </w:pPr>
            <w:r>
              <w:rPr>
                <w:rFonts w:ascii="仿宋_GB2312" w:hAnsi="仿宋_GB2312" w:cs="仿宋_GB2312" w:eastAsia="仿宋_GB2312"/>
              </w:rPr>
              <w:t>供应商资格证明相关资料.docx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已标价工程量清单.docx 供应商资格证明相关资料.docx 投标函 中小企业声明函 残疾人福利性单位声明函 供应商拒绝贿赂承诺书.docx 标的清单 项目管理机构组成表.docx 投标文件封面 采购需求偏离表.docx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只能有一个有效报价，不得提交选择性报价，且报价不超过招标文件规定的采购预算金额或最高限价</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供应商资格证明相关资料.docx 投标函 中小企业声明函 残疾人福利性单位声明函 供应商拒绝贿赂承诺书.docx 标的清单 投标文件封面 采购需求偏离表.docx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未出现法律法规或招标文件明确规定的其他被视为“无效投标”的情形</w:t>
            </w:r>
          </w:p>
        </w:tc>
        <w:tc>
          <w:tcPr>
            <w:tcW w:type="dxa" w:w="1661"/>
          </w:tcPr>
          <w:p>
            <w:pPr>
              <w:pStyle w:val="null3"/>
            </w:pPr>
            <w:r>
              <w:rPr>
                <w:rFonts w:ascii="仿宋_GB2312" w:hAnsi="仿宋_GB2312" w:cs="仿宋_GB2312" w:eastAsia="仿宋_GB2312"/>
              </w:rPr>
              <w:t>开标一览表 已标价工程量清单.docx 供应商资格证明相关资料.docx 投标函 供应商拒绝贿赂承诺书.docx 标的清单 采购需求偏离表.docx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针对本项目编制总体施工方案及技术措施。方案合理完善，技术措施针对性、可操作性强，完全贴合本项目施工实际得6分；方案整体合理，技术措施齐全到位，满足项目施工核心要求得4分；方案基本合规无错误，技术措施偏通用，针对性不足，仅满足基础施工需求得2分；方案存在缺陷，技术措施空洞缺失，无法指导现场施工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针对本项目编制工程质量技术组织措施。工程质量措施完善闭环，质量管控措施全面详实，可有效保障工程质量得6分；质量体系健全，管控措施完整，可满足项目质量标准要求得4分；质量体系基本完善，措施常规通用，细节细化不足得2分；质量体系不健全，无有效质量管控措施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工程质量技术组织措施.docx</w:t>
            </w:r>
          </w:p>
        </w:tc>
      </w:tr>
      <w:tr>
        <w:tc>
          <w:tcPr>
            <w:tcW w:type="dxa" w:w="831"/>
            <w:vMerge/>
          </w:tcPr>
          <w:p/>
        </w:tc>
        <w:tc>
          <w:tcPr>
            <w:tcW w:type="dxa" w:w="1661"/>
          </w:tcPr>
          <w:p>
            <w:pPr>
              <w:pStyle w:val="null3"/>
            </w:pPr>
            <w:r>
              <w:rPr>
                <w:rFonts w:ascii="仿宋_GB2312" w:hAnsi="仿宋_GB2312" w:cs="仿宋_GB2312" w:eastAsia="仿宋_GB2312"/>
              </w:rPr>
              <w:t>安全生产组织措施</w:t>
            </w:r>
          </w:p>
        </w:tc>
        <w:tc>
          <w:tcPr>
            <w:tcW w:type="dxa" w:w="2492"/>
          </w:tcPr>
          <w:p>
            <w:pPr>
              <w:pStyle w:val="null3"/>
            </w:pPr>
            <w:r>
              <w:rPr>
                <w:rFonts w:ascii="仿宋_GB2312" w:hAnsi="仿宋_GB2312" w:cs="仿宋_GB2312" w:eastAsia="仿宋_GB2312"/>
              </w:rPr>
              <w:t>针对本项目编制安全生产组织措施。安全生产组织措施健全完善，安全保障措施针对性强、落地性好，全面规避施工风险得6分；安全体系完整，防护措施齐全，可满足现场安全管控标准得4分；安全体系基本健全，仅具备通用措施，无项目专项管控内容得2分；安全体系残缺，安全保障措施无效或缺失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安全生产组织措施.docx</w:t>
            </w:r>
          </w:p>
        </w:tc>
      </w:tr>
      <w:tr>
        <w:tc>
          <w:tcPr>
            <w:tcW w:type="dxa" w:w="831"/>
            <w:vMerge/>
          </w:tcPr>
          <w:p/>
        </w:tc>
        <w:tc>
          <w:tcPr>
            <w:tcW w:type="dxa" w:w="1661"/>
          </w:tcPr>
          <w:p>
            <w:pPr>
              <w:pStyle w:val="null3"/>
            </w:pPr>
            <w:r>
              <w:rPr>
                <w:rFonts w:ascii="仿宋_GB2312" w:hAnsi="仿宋_GB2312" w:cs="仿宋_GB2312" w:eastAsia="仿宋_GB2312"/>
              </w:rPr>
              <w:t>文明施工、环保及扬尘防治措施</w:t>
            </w:r>
          </w:p>
        </w:tc>
        <w:tc>
          <w:tcPr>
            <w:tcW w:type="dxa" w:w="2492"/>
          </w:tcPr>
          <w:p>
            <w:pPr>
              <w:pStyle w:val="null3"/>
            </w:pPr>
            <w:r>
              <w:rPr>
                <w:rFonts w:ascii="仿宋_GB2312" w:hAnsi="仿宋_GB2312" w:cs="仿宋_GB2312" w:eastAsia="仿宋_GB2312"/>
              </w:rPr>
              <w:t>针对本项目编制文明施工、环保及扬尘防治措施。各项措施齐全规范、贴合项目实际，保障有力，符合标准化施工要求得6分；措施完整合规，核心管控内容齐全，满足文明环保施工要求得4分；措施基本具备，内容简单常规，细化不足得2分；措施缺失严重，不满足基础管理标准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文明施工、环保及扬尘防治措施.docx</w:t>
            </w:r>
          </w:p>
        </w:tc>
      </w:tr>
      <w:tr>
        <w:tc>
          <w:tcPr>
            <w:tcW w:type="dxa" w:w="831"/>
            <w:vMerge/>
          </w:tcPr>
          <w:p/>
        </w:tc>
        <w:tc>
          <w:tcPr>
            <w:tcW w:type="dxa" w:w="1661"/>
          </w:tcPr>
          <w:p>
            <w:pPr>
              <w:pStyle w:val="null3"/>
            </w:pPr>
            <w:r>
              <w:rPr>
                <w:rFonts w:ascii="仿宋_GB2312" w:hAnsi="仿宋_GB2312" w:cs="仿宋_GB2312" w:eastAsia="仿宋_GB2312"/>
              </w:rPr>
              <w:t>施工进度计划保证措施</w:t>
            </w:r>
          </w:p>
        </w:tc>
        <w:tc>
          <w:tcPr>
            <w:tcW w:type="dxa" w:w="2492"/>
          </w:tcPr>
          <w:p>
            <w:pPr>
              <w:pStyle w:val="null3"/>
            </w:pPr>
            <w:r>
              <w:rPr>
                <w:rFonts w:ascii="仿宋_GB2312" w:hAnsi="仿宋_GB2312" w:cs="仿宋_GB2312" w:eastAsia="仿宋_GB2312"/>
              </w:rPr>
              <w:t>针对本项目编制施工进度计划保证措施。进度计划清晰细化、节点科学，工期保障措施全面有力，可确保按期完工得6分；进度排布合理，关键节点明确，工期可控性强得4分。进度计划基本合规，保障措施单一，针对性一般得2分；进度计划混乱，无有效工期保障措施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施工进度计划保证措施.docx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编制施工机械配备和材料投入计划。机械、材料投入计划科学精准，与施工进度、现场工况高度匹配得5分。配置计划完整合理，可保障项目连续施工得3分。计划基本齐全，仅满足基础施工需求，适配性一般得1分。配置不合理、计划残缺，无法满足施工要求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针对本项目编制突发事件的应急措施和解决方案。应急预案完整详实，贴合项目风险，落地性强得5分；预案框架完整，覆盖主要施工风险得3分；仅有简单应急描述，预案不完善得1分；未提供不得分。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突发事件的应急措施和解决方案.docx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项目团队关键岗位人员配置齐全（项目经理、技术负责人、施工员、安全员、质量员），证书有效、专业匹配，岗位职责清晰完整，得15分。每缺少一个关键岗位或关键岗位人员无资质证书扣3分，扣完为止。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供应商2023年7月1日至投标截止日期前，每提供一份类似项目业绩得2.5分，最多得10分（业绩评审以合同或中标通知书为依据）。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项目经理类似业绩</w:t>
            </w:r>
          </w:p>
        </w:tc>
        <w:tc>
          <w:tcPr>
            <w:tcW w:type="dxa" w:w="2492"/>
          </w:tcPr>
          <w:p>
            <w:pPr>
              <w:pStyle w:val="null3"/>
            </w:pPr>
            <w:r>
              <w:rPr>
                <w:rFonts w:ascii="仿宋_GB2312" w:hAnsi="仿宋_GB2312" w:cs="仿宋_GB2312" w:eastAsia="仿宋_GB2312"/>
              </w:rPr>
              <w:t>项目经理2023年7月1日至投标截止日期前，每提供一份类似项目业绩得2.5分，最多得5分（评审时以合同或中标通知书为准，且合同或中标通知书中须体现项目经理信息，否则不得分）。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项目经理职称及学历</w:t>
            </w:r>
          </w:p>
        </w:tc>
        <w:tc>
          <w:tcPr>
            <w:tcW w:type="dxa" w:w="2492"/>
          </w:tcPr>
          <w:p>
            <w:pPr>
              <w:pStyle w:val="null3"/>
            </w:pPr>
            <w:r>
              <w:rPr>
                <w:rFonts w:ascii="仿宋_GB2312" w:hAnsi="仿宋_GB2312" w:cs="仿宋_GB2312" w:eastAsia="仿宋_GB2312"/>
              </w:rPr>
              <w:t>项目经理具有相关专业中级职称得2分，高级职称得3分；项目经理大专学历得1分，本科学历得3分，本项累计最高得5分（学历证明 2001 年之前以扫描件并加盖投标人公章为准，2001 年以后以“学信网”查询截图并加盖公章为准）。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件，其投标报价为有效投标报价，对符合政策性扣减的供应商的有效投标价格进⾏政策性扣减，并依据扣减后的价格（评审价格）进⾏价格评审（本项目专门面向中小企业采购，不执行政策性扣减）。 2.满⾜招标⽂件要求且投标报价最低的为评标基准价，其价格分为满分。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详见附件：安全生产组织措施.docx</w:t>
      </w:r>
    </w:p>
    <w:p>
      <w:pPr>
        <w:pStyle w:val="null3"/>
        <w:ind w:firstLine="960"/>
      </w:pPr>
      <w:r>
        <w:rPr>
          <w:rFonts w:ascii="仿宋_GB2312" w:hAnsi="仿宋_GB2312" w:cs="仿宋_GB2312" w:eastAsia="仿宋_GB2312"/>
        </w:rPr>
        <w:t>详见附件：工程质量技术组织措施.docx</w:t>
      </w:r>
    </w:p>
    <w:p>
      <w:pPr>
        <w:pStyle w:val="null3"/>
        <w:ind w:firstLine="960"/>
      </w:pPr>
      <w:r>
        <w:rPr>
          <w:rFonts w:ascii="仿宋_GB2312" w:hAnsi="仿宋_GB2312" w:cs="仿宋_GB2312" w:eastAsia="仿宋_GB2312"/>
        </w:rPr>
        <w:t>详见附件：供应商拒绝贿赂承诺书.docx</w:t>
      </w:r>
    </w:p>
    <w:p>
      <w:pPr>
        <w:pStyle w:val="null3"/>
        <w:ind w:firstLine="960"/>
      </w:pPr>
      <w:r>
        <w:rPr>
          <w:rFonts w:ascii="仿宋_GB2312" w:hAnsi="仿宋_GB2312" w:cs="仿宋_GB2312" w:eastAsia="仿宋_GB2312"/>
        </w:rPr>
        <w:t>详见附件：施工机械配备和材料投入计划.docx</w:t>
      </w:r>
    </w:p>
    <w:p>
      <w:pPr>
        <w:pStyle w:val="null3"/>
        <w:ind w:firstLine="960"/>
      </w:pPr>
      <w:r>
        <w:rPr>
          <w:rFonts w:ascii="仿宋_GB2312" w:hAnsi="仿宋_GB2312" w:cs="仿宋_GB2312" w:eastAsia="仿宋_GB2312"/>
        </w:rPr>
        <w:t>详见附件：施工进度计划保证措施.docx</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详见附件：突发事件的应急措施和解决方案.docx</w:t>
      </w:r>
    </w:p>
    <w:p>
      <w:pPr>
        <w:pStyle w:val="null3"/>
        <w:ind w:firstLine="960"/>
      </w:pPr>
      <w:r>
        <w:rPr>
          <w:rFonts w:ascii="仿宋_GB2312" w:hAnsi="仿宋_GB2312" w:cs="仿宋_GB2312" w:eastAsia="仿宋_GB2312"/>
        </w:rPr>
        <w:t>详见附件：文明施工、环保及扬尘防治措施.docx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详见附件：供应商资格证明相关资料.docx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