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版本号：ZJMZB-CK2026-01420260910002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贫困地区儿童营养改善项目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ZJMZB-CK2026-014</w:t>
      </w:r>
      <w:r>
        <w:br/>
      </w:r>
      <w:r>
        <w:br/>
      </w:r>
      <w:r>
        <w:br/>
      </w:r>
    </w:p>
    <w:p>
      <w:pPr>
        <w:pStyle w:val="null3"/>
        <w:jc w:val="center"/>
        <w:outlineLvl w:val="2"/>
      </w:pPr>
      <w:r>
        <w:rPr>
          <w:rFonts w:ascii="仿宋_GB2312" w:hAnsi="仿宋_GB2312" w:cs="仿宋_GB2312" w:eastAsia="仿宋_GB2312"/>
          <w:sz w:val="28"/>
          <w:b/>
        </w:rPr>
        <w:t>西安市周至县妇幼保健计划生育服务中心</w:t>
      </w:r>
    </w:p>
    <w:p>
      <w:pPr>
        <w:pStyle w:val="null3"/>
        <w:jc w:val="center"/>
        <w:outlineLvl w:val="2"/>
      </w:pPr>
      <w:r>
        <w:rPr>
          <w:rFonts w:ascii="仿宋_GB2312" w:hAnsi="仿宋_GB2312" w:cs="仿宋_GB2312" w:eastAsia="仿宋_GB2312"/>
          <w:sz w:val="28"/>
          <w:b/>
        </w:rPr>
        <w:t>志进明(陕西)项目管理有限公司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志进明(陕西)项目管理有限公司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西安市周至县妇幼保健计划生育服务中心</w:t>
      </w:r>
      <w:r>
        <w:rPr>
          <w:rFonts w:ascii="仿宋_GB2312" w:hAnsi="仿宋_GB2312" w:cs="仿宋_GB2312" w:eastAsia="仿宋_GB2312"/>
        </w:rPr>
        <w:t>委托，拟对</w:t>
      </w:r>
      <w:r>
        <w:rPr>
          <w:rFonts w:ascii="仿宋_GB2312" w:hAnsi="仿宋_GB2312" w:cs="仿宋_GB2312" w:eastAsia="仿宋_GB2312"/>
        </w:rPr>
        <w:t>贫困地区儿童营养改善项目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ZJMZB-CK2026-014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贫困地区儿童营养改善项目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贫困地区儿童营养改善项目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1、营业执照等证明⽂件：提供合格有效的法⼈或者其他组织的营业执照等证明⽂件，⾃然⼈的⾝份证明；</w:t>
      </w:r>
    </w:p>
    <w:p>
      <w:pPr>
        <w:pStyle w:val="null3"/>
      </w:pPr>
      <w:r>
        <w:rPr>
          <w:rFonts w:ascii="仿宋_GB2312" w:hAnsi="仿宋_GB2312" w:cs="仿宋_GB2312" w:eastAsia="仿宋_GB2312"/>
        </w:rPr>
        <w:t>2、法定代表⼈授权书：提供法定代表⼈授权书（附法定代表⼈、被授权⼈⾝份证复印件）,法定代表⼈直 接参加投标，须提供法定代表⼈⾝份证明及⾝份证复印件；</w:t>
      </w:r>
    </w:p>
    <w:p>
      <w:pPr>
        <w:pStyle w:val="null3"/>
      </w:pPr>
      <w:r>
        <w:rPr>
          <w:rFonts w:ascii="仿宋_GB2312" w:hAnsi="仿宋_GB2312" w:cs="仿宋_GB2312" w:eastAsia="仿宋_GB2312"/>
        </w:rPr>
        <w:t>3、财务审计报告：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p>
      <w:pPr>
        <w:pStyle w:val="null3"/>
      </w:pPr>
      <w:r>
        <w:rPr>
          <w:rFonts w:ascii="仿宋_GB2312" w:hAnsi="仿宋_GB2312" w:cs="仿宋_GB2312" w:eastAsia="仿宋_GB2312"/>
        </w:rPr>
        <w:t>4、税收缴纳证明：提供递交投标⽂件截⽌⽇前⼀年内已缴纳的⾄少⼀个⽉的纳税证明或完税证明（任意税种），依法免税的单位应提供相关证明材料；</w:t>
      </w:r>
    </w:p>
    <w:p>
      <w:pPr>
        <w:pStyle w:val="null3"/>
      </w:pPr>
      <w:r>
        <w:rPr>
          <w:rFonts w:ascii="仿宋_GB2312" w:hAnsi="仿宋_GB2312" w:cs="仿宋_GB2312" w:eastAsia="仿宋_GB2312"/>
        </w:rPr>
        <w:t>5、社会保障资⾦缴纳证明：提供递交投标⽂件截⽌⽇前⼀年内已缴存的⾄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查询相关主体信⽤记录：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7、营养包相关食品生产许可证：生产厂家投标须出具市场监管部门颁发的营养包相关食品生产许可证，副本(或副页）中载明辅食营养补充品（或辅食营养素补充食品）生产明细，且在有效期内；代理商投标需提供食品经营许可证及上述生产厂家许可证明；</w:t>
      </w:r>
    </w:p>
    <w:p>
      <w:pPr>
        <w:pStyle w:val="null3"/>
      </w:pPr>
      <w:r>
        <w:rPr>
          <w:rFonts w:ascii="仿宋_GB2312" w:hAnsi="仿宋_GB2312" w:cs="仿宋_GB2312" w:eastAsia="仿宋_GB2312"/>
        </w:rPr>
        <w:t>8、安全管理体系和质量管理体系认证：投标人应当通过食品安全管理体系（ISO22000或 GB/T22000或HACCP）和质量管理体系（IS09001或GB/T19001）认证，并提供证明文件。</w:t>
      </w:r>
    </w:p>
    <w:p>
      <w:pPr>
        <w:pStyle w:val="null3"/>
      </w:pPr>
      <w:r>
        <w:rPr>
          <w:rFonts w:ascii="仿宋_GB2312" w:hAnsi="仿宋_GB2312" w:cs="仿宋_GB2312" w:eastAsia="仿宋_GB2312"/>
        </w:rPr>
        <w:t>9、没有因食品安全问题导致产品召回的书面声明：投标人在投标截止日前一年内，在同类营养包项目供货过程中因存在食品安全问题导致产品一级召回或二级召回的不得参与本次投标。投标人需提供1年内在同类营养包项目供货过程中没有因食品安全问题导致产品一级召回或二级召回的书面声明。</w:t>
      </w:r>
    </w:p>
    <w:p>
      <w:pPr>
        <w:pStyle w:val="null3"/>
      </w:pPr>
      <w:r>
        <w:rPr>
          <w:rFonts w:ascii="仿宋_GB2312" w:hAnsi="仿宋_GB2312" w:cs="仿宋_GB2312" w:eastAsia="仿宋_GB2312"/>
        </w:rPr>
        <w:t>10、说明及承诺书：提供具有履⾏本合同所必须的设备和专业技术能⼒的说明及承诺书；</w:t>
      </w:r>
    </w:p>
    <w:p>
      <w:pPr>
        <w:pStyle w:val="null3"/>
      </w:pPr>
      <w:r>
        <w:rPr>
          <w:rFonts w:ascii="仿宋_GB2312" w:hAnsi="仿宋_GB2312" w:cs="仿宋_GB2312" w:eastAsia="仿宋_GB2312"/>
        </w:rPr>
        <w:t>11、书⾯声明：参加政府采购活动前3年内，在经营活动中没有重⼤违法记录的书⾯声明；</w:t>
      </w:r>
    </w:p>
    <w:p>
      <w:pPr>
        <w:pStyle w:val="null3"/>
      </w:pPr>
      <w:r>
        <w:rPr>
          <w:rFonts w:ascii="仿宋_GB2312" w:hAnsi="仿宋_GB2312" w:cs="仿宋_GB2312" w:eastAsia="仿宋_GB2312"/>
        </w:rPr>
        <w:t>12、控股管理关系：提供直接控股和管理关系清单。若与其他供应商存在单位负责⼈为同⼀⼈或者存在直接控股、管理关系的，则投标⽆效；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13、不接受联合体投标：本项⽬不接受联合体投标（提供承诺书）；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周至县妇幼保健计划生育服务中心经办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15829277866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志进明(陕西)项目管理有限公司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18092142076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采购包1：1,832,900.00元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西安市周至县妇幼保健计划生育服务中心</w:t>
      </w:r>
      <w:r>
        <w:rPr>
          <w:rFonts w:ascii="仿宋_GB2312" w:hAnsi="仿宋_GB2312" w:cs="仿宋_GB2312" w:eastAsia="仿宋_GB2312"/>
        </w:rPr>
        <w:t>和</w:t>
      </w:r>
      <w:r>
        <w:rPr>
          <w:rFonts w:ascii="仿宋_GB2312" w:hAnsi="仿宋_GB2312" w:cs="仿宋_GB2312" w:eastAsia="仿宋_GB2312"/>
        </w:rPr>
        <w:t>志进明(陕西)项目管理有限公司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西安市周至县妇幼保健计划生育服务中心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志进明(陕西)项目管理有限公司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志进明(陕西)项目管理有限公司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联系人：夏魁</w:t>
      </w:r>
    </w:p>
    <w:p>
      <w:pPr>
        <w:pStyle w:val="null3"/>
      </w:pPr>
      <w:r>
        <w:rPr>
          <w:rFonts w:ascii="仿宋_GB2312" w:hAnsi="仿宋_GB2312" w:cs="仿宋_GB2312" w:eastAsia="仿宋_GB2312"/>
        </w:rPr>
        <w:t>联系电话：13324521519</w:t>
      </w:r>
    </w:p>
    <w:p>
      <w:pPr>
        <w:pStyle w:val="null3"/>
      </w:pPr>
      <w:r>
        <w:rPr>
          <w:rFonts w:ascii="仿宋_GB2312" w:hAnsi="仿宋_GB2312" w:cs="仿宋_GB2312" w:eastAsia="仿宋_GB2312"/>
        </w:rPr>
        <w:t>地址：陕西省西安市莲湖区高新路西部国际广场B座2903室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贫困地区儿童营养改善项目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1,832,900.00</w:t>
      </w:r>
    </w:p>
    <w:p>
      <w:pPr>
        <w:pStyle w:val="null3"/>
      </w:pPr>
      <w:r>
        <w:rPr>
          <w:rFonts w:ascii="仿宋_GB2312" w:hAnsi="仿宋_GB2312" w:cs="仿宋_GB2312" w:eastAsia="仿宋_GB2312"/>
        </w:rPr>
        <w:t>采购包最高限价（元）: 1,832,900.00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贫困地区儿童营养改善项目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1,832,900.00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标的名称：贫困地区儿童营养改善项目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b/>
                <w:color w:val="000000"/>
              </w:rPr>
              <w:t>一、婴幼儿辅食营养包</w:t>
            </w:r>
          </w:p>
          <w:p>
            <w:pPr>
              <w:pStyle w:val="null3"/>
              <w:ind w:firstLine="422"/>
            </w:pPr>
            <w:r>
              <w:rPr>
                <w:rFonts w:ascii="仿宋_GB2312" w:hAnsi="仿宋_GB2312" w:cs="仿宋_GB2312" w:eastAsia="仿宋_GB2312"/>
                <w:sz w:val="24"/>
                <w:color w:val="000000"/>
              </w:rPr>
              <w:t>项目营养包质量应当符合《食品安全国家标准辅食营养补充品》（</w:t>
            </w:r>
            <w:r>
              <w:rPr>
                <w:rFonts w:ascii="仿宋_GB2312" w:hAnsi="仿宋_GB2312" w:cs="仿宋_GB2312" w:eastAsia="仿宋_GB2312"/>
                <w:sz w:val="24"/>
                <w:color w:val="000000"/>
              </w:rPr>
              <w:t>GB 22570-2014）的要求。</w:t>
            </w:r>
          </w:p>
          <w:p>
            <w:pPr>
              <w:pStyle w:val="null3"/>
              <w:ind w:firstLine="422"/>
            </w:pPr>
            <w:r>
              <w:rPr>
                <w:rFonts w:ascii="仿宋_GB2312" w:hAnsi="仿宋_GB2312" w:cs="仿宋_GB2312" w:eastAsia="仿宋_GB2312"/>
                <w:sz w:val="24"/>
                <w:color w:val="000000"/>
              </w:rPr>
              <w:t>（一）</w:t>
            </w:r>
            <w:r>
              <w:rPr>
                <w:rFonts w:ascii="仿宋_GB2312" w:hAnsi="仿宋_GB2312" w:cs="仿宋_GB2312" w:eastAsia="仿宋_GB2312"/>
                <w:sz w:val="24"/>
                <w:color w:val="000000"/>
              </w:rPr>
              <w:t>项目营养包质量规格书</w:t>
            </w:r>
          </w:p>
          <w:p>
            <w:pPr>
              <w:pStyle w:val="null3"/>
              <w:ind w:left="480"/>
            </w:pPr>
            <w:r>
              <w:rPr>
                <w:rFonts w:ascii="仿宋_GB2312" w:hAnsi="仿宋_GB2312" w:cs="仿宋_GB2312" w:eastAsia="仿宋_GB2312"/>
                <w:sz w:val="24"/>
                <w:color w:val="000000"/>
              </w:rPr>
              <w:t>1.产品：婴幼儿辅食营养包</w:t>
            </w:r>
          </w:p>
          <w:p>
            <w:pPr>
              <w:pStyle w:val="null3"/>
              <w:ind w:left="480"/>
            </w:pPr>
            <w:r>
              <w:rPr>
                <w:rFonts w:ascii="仿宋_GB2312" w:hAnsi="仿宋_GB2312" w:cs="仿宋_GB2312" w:eastAsia="仿宋_GB2312"/>
                <w:sz w:val="24"/>
                <w:color w:val="000000"/>
              </w:rPr>
              <w:t>2.包装规格：12g/袋×30袋/盒。</w:t>
            </w:r>
          </w:p>
          <w:p>
            <w:pPr>
              <w:pStyle w:val="null3"/>
              <w:ind w:left="480"/>
            </w:pPr>
            <w:r>
              <w:rPr>
                <w:rFonts w:ascii="仿宋_GB2312" w:hAnsi="仿宋_GB2312" w:cs="仿宋_GB2312" w:eastAsia="仿宋_GB2312"/>
                <w:sz w:val="24"/>
                <w:color w:val="000000"/>
              </w:rPr>
              <w:t>3.数量：</w:t>
            </w:r>
            <w:r>
              <w:rPr>
                <w:rFonts w:ascii="仿宋_GB2312" w:hAnsi="仿宋_GB2312" w:cs="仿宋_GB2312" w:eastAsia="仿宋_GB2312"/>
                <w:sz w:val="24"/>
                <w:color w:val="000000"/>
              </w:rPr>
              <w:t>项目资金全部用于营养包项目采购，结算数量以实际采购数量为准</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.适宜人群：6-36月龄婴幼儿。</w:t>
            </w:r>
          </w:p>
          <w:p>
            <w:pPr>
              <w:pStyle w:val="null3"/>
              <w:ind w:firstLine="480"/>
            </w:pPr>
            <w:r>
              <w:rPr>
                <w:rFonts w:ascii="仿宋_GB2312" w:hAnsi="仿宋_GB2312" w:cs="仿宋_GB2312" w:eastAsia="仿宋_GB2312"/>
                <w:sz w:val="24"/>
                <w:color w:val="000000"/>
              </w:rPr>
              <w:t>5</w:t>
            </w:r>
            <w:r>
              <w:rPr>
                <w:rFonts w:ascii="仿宋_GB2312" w:hAnsi="仿宋_GB2312" w:cs="仿宋_GB2312" w:eastAsia="仿宋_GB2312"/>
                <w:sz w:val="24"/>
                <w:color w:val="000000"/>
              </w:rPr>
              <w:t>.保质期：至少12个月。</w:t>
            </w:r>
          </w:p>
          <w:p>
            <w:pPr>
              <w:pStyle w:val="null3"/>
              <w:ind w:firstLine="480"/>
            </w:pPr>
            <w:r>
              <w:rPr>
                <w:rFonts w:ascii="仿宋_GB2312" w:hAnsi="仿宋_GB2312" w:cs="仿宋_GB2312" w:eastAsia="仿宋_GB2312"/>
                <w:sz w:val="24"/>
                <w:color w:val="000000"/>
              </w:rPr>
              <w:t>6</w:t>
            </w:r>
            <w:r>
              <w:rPr>
                <w:rFonts w:ascii="仿宋_GB2312" w:hAnsi="仿宋_GB2312" w:cs="仿宋_GB2312" w:eastAsia="仿宋_GB2312"/>
                <w:sz w:val="24"/>
                <w:color w:val="000000"/>
              </w:rPr>
              <w:t>.感官要求：淡黄色粉状或微粒状，松散无结块，具有本品特有的滋味和气味，无异味和不良气味，不应有正常视力可见的外来异物，易冲调成均匀稀薄糊状。</w:t>
            </w:r>
          </w:p>
          <w:p>
            <w:pPr>
              <w:pStyle w:val="null3"/>
              <w:spacing w:after="150"/>
              <w:ind w:firstLine="480"/>
            </w:pPr>
            <w:r>
              <w:rPr>
                <w:rFonts w:ascii="仿宋_GB2312" w:hAnsi="仿宋_GB2312" w:cs="仿宋_GB2312" w:eastAsia="仿宋_GB2312"/>
                <w:sz w:val="24"/>
                <w:color w:val="000000"/>
              </w:rPr>
              <w:t>7</w:t>
            </w:r>
            <w:r>
              <w:rPr>
                <w:rFonts w:ascii="仿宋_GB2312" w:hAnsi="仿宋_GB2312" w:cs="仿宋_GB2312" w:eastAsia="仿宋_GB2312"/>
                <w:sz w:val="24"/>
                <w:color w:val="000000"/>
              </w:rPr>
              <w:t>.营养成分：</w:t>
            </w:r>
          </w:p>
          <w:tbl>
            <w:tblPr>
              <w:tblBorders>
                <w:top w:val="none" w:color="000000" w:sz="4"/>
                <w:left w:val="none" w:color="000000" w:sz="4"/>
                <w:bottom w:val="none" w:color="000000" w:sz="4"/>
                <w:right w:val="none" w:color="000000" w:sz="4"/>
                <w:insideH w:val="none"/>
                <w:insideV w:val="none"/>
              </w:tblBorders>
            </w:tblPr>
            <w:tblGrid>
              <w:gridCol w:w="708"/>
              <w:gridCol w:w="1204"/>
              <w:gridCol w:w="641"/>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营养素</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标识每日份含量（</w:t>
                  </w:r>
                  <w:r>
                    <w:rPr>
                      <w:rFonts w:ascii="仿宋_GB2312" w:hAnsi="仿宋_GB2312" w:cs="仿宋_GB2312" w:eastAsia="仿宋_GB2312"/>
                      <w:sz w:val="24"/>
                      <w:color w:val="000000"/>
                    </w:rPr>
                    <w:t>12g/袋）</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含量范围要求</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r>
                    <w:rPr>
                      <w:rFonts w:ascii="仿宋_GB2312" w:hAnsi="仿宋_GB2312" w:cs="仿宋_GB2312" w:eastAsia="仿宋_GB2312"/>
                      <w:sz w:val="24"/>
                      <w:color w:val="000000"/>
                    </w:rPr>
                    <w:t>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3</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r>
                    <w:rPr>
                      <w:rFonts w:ascii="仿宋_GB2312" w:hAnsi="仿宋_GB2312" w:cs="仿宋_GB2312" w:eastAsia="仿宋_GB2312"/>
                      <w:sz w:val="24"/>
                      <w:color w:val="000000"/>
                    </w:rPr>
                    <w:t>mg)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180-240</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r>
                    <w:rPr>
                      <w:rFonts w:ascii="仿宋_GB2312" w:hAnsi="仿宋_GB2312" w:cs="仿宋_GB2312" w:eastAsia="仿宋_GB2312"/>
                      <w:sz w:val="24"/>
                      <w:color w:val="000000"/>
                    </w:rPr>
                    <w:t>mg)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6.0-9.0</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r>
                    <w:rPr>
                      <w:rFonts w:ascii="仿宋_GB2312" w:hAnsi="仿宋_GB2312" w:cs="仿宋_GB2312" w:eastAsia="仿宋_GB2312"/>
                      <w:sz w:val="24"/>
                      <w:color w:val="000000"/>
                    </w:rPr>
                    <w:t>mg)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2.4-6.0</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A(μg)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200-360</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D(μg)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4.0-9.0</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(mg)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0.4</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(mg)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0.4</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r>
                    <w:rPr>
                      <w:rFonts w:ascii="仿宋_GB2312" w:hAnsi="仿宋_GB2312" w:cs="仿宋_GB2312" w:eastAsia="仿宋_GB2312"/>
                      <w:sz w:val="24"/>
                      <w:color w:val="000000"/>
                    </w:rPr>
                    <w:t>μg)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60-150</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12</w:t>
                  </w:r>
                  <w:r>
                    <w:rPr>
                      <w:rFonts w:ascii="仿宋_GB2312" w:hAnsi="仿宋_GB2312" w:cs="仿宋_GB2312" w:eastAsia="仿宋_GB2312"/>
                      <w:sz w:val="24"/>
                      <w:color w:val="000000"/>
                    </w:rPr>
                    <w:t>(μg)</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0.4</w:t>
                  </w:r>
                </w:p>
              </w:tc>
            </w:tr>
          </w:tbl>
          <w:tbl>
            <w:tblPr>
              <w:tblInd w:type="dxa" w:w="135"/>
              <w:tblBorders>
                <w:top w:val="none" w:color="000000" w:sz="4"/>
                <w:left w:val="none" w:color="000000" w:sz="4"/>
                <w:bottom w:val="none" w:color="000000" w:sz="4"/>
                <w:right w:val="none" w:color="000000" w:sz="4"/>
                <w:insideH w:val="none"/>
                <w:insideV w:val="none"/>
              </w:tblBorders>
            </w:tblPr>
            <w:tblGrid>
              <w:gridCol w:w="728"/>
              <w:gridCol w:w="232"/>
              <w:gridCol w:w="215"/>
              <w:gridCol w:w="286"/>
              <w:gridCol w:w="145"/>
              <w:gridCol w:w="145"/>
              <w:gridCol w:w="802"/>
            </w:tblGrid>
            <w:tr>
              <w:tc>
                <w:tcPr>
                  <w:tcW w:type="dxa" w:w="2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污染物限量</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目</w:t>
                  </w:r>
                </w:p>
              </w:tc>
              <w:tc>
                <w:tcPr>
                  <w:tcW w:type="dxa" w:w="87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标</w:t>
                  </w:r>
                </w:p>
              </w:tc>
              <w:tc>
                <w:tcPr>
                  <w:tcW w:type="dxa" w:w="9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w:t>
                  </w:r>
                  <w:r>
                    <w:rPr>
                      <w:rFonts w:ascii="仿宋_GB2312" w:hAnsi="仿宋_GB2312" w:cs="仿宋_GB2312" w:eastAsia="仿宋_GB2312"/>
                      <w:sz w:val="19"/>
                    </w:rPr>
                    <w:t xml:space="preserve">  </w:t>
                  </w:r>
                  <w:r>
                    <w:rPr>
                      <w:rFonts w:ascii="仿宋_GB2312" w:hAnsi="仿宋_GB2312" w:cs="仿宋_GB2312" w:eastAsia="仿宋_GB2312"/>
                      <w:sz w:val="24"/>
                      <w:color w:val="000000"/>
                    </w:rPr>
                    <w:t>注</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铅</w:t>
                  </w:r>
                  <w:r>
                    <w:rPr>
                      <w:rFonts w:ascii="仿宋_GB2312" w:hAnsi="仿宋_GB2312" w:cs="仿宋_GB2312" w:eastAsia="仿宋_GB2312"/>
                      <w:sz w:val="24"/>
                      <w:color w:val="000000"/>
                    </w:rPr>
                    <w:t>/(mg/kg)</w:t>
                  </w:r>
                </w:p>
              </w:tc>
              <w:tc>
                <w:tcPr>
                  <w:tcW w:type="dxa" w:w="8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9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GB2762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总砷</w:t>
                  </w:r>
                  <w:r>
                    <w:rPr>
                      <w:rFonts w:ascii="仿宋_GB2312" w:hAnsi="仿宋_GB2312" w:cs="仿宋_GB2312" w:eastAsia="仿宋_GB2312"/>
                      <w:sz w:val="24"/>
                      <w:color w:val="000000"/>
                    </w:rPr>
                    <w:t>/(mg/kg)</w:t>
                  </w:r>
                </w:p>
              </w:tc>
              <w:tc>
                <w:tcPr>
                  <w:tcW w:type="dxa" w:w="8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9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GB2762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硝酸盐（以</w:t>
                  </w:r>
                  <w:r>
                    <w:rPr>
                      <w:rFonts w:ascii="仿宋_GB2312" w:hAnsi="仿宋_GB2312" w:cs="仿宋_GB2312" w:eastAsia="仿宋_GB2312"/>
                      <w:sz w:val="24"/>
                      <w:color w:val="000000"/>
                    </w:rPr>
                    <w:t>NaNO</w:t>
                  </w:r>
                  <w:r>
                    <w:rPr>
                      <w:rFonts w:ascii="仿宋_GB2312" w:hAnsi="仿宋_GB2312" w:cs="仿宋_GB2312" w:eastAsia="仿宋_GB2312"/>
                      <w:sz w:val="24"/>
                      <w:color w:val="000000"/>
                      <w:vertAlign w:val="subscript"/>
                    </w:rPr>
                    <w:t>3</w:t>
                  </w:r>
                  <w:r>
                    <w:rPr>
                      <w:rFonts w:ascii="仿宋_GB2312" w:hAnsi="仿宋_GB2312" w:cs="仿宋_GB2312" w:eastAsia="仿宋_GB2312"/>
                      <w:sz w:val="24"/>
                      <w:color w:val="000000"/>
                    </w:rPr>
                    <w:t>计）</w:t>
                  </w:r>
                  <w:r>
                    <w:rPr>
                      <w:rFonts w:ascii="仿宋_GB2312" w:hAnsi="仿宋_GB2312" w:cs="仿宋_GB2312" w:eastAsia="仿宋_GB2312"/>
                      <w:sz w:val="24"/>
                      <w:color w:val="000000"/>
                    </w:rPr>
                    <w:t>ª/(mg/kg)</w:t>
                  </w:r>
                </w:p>
              </w:tc>
              <w:tc>
                <w:tcPr>
                  <w:tcW w:type="dxa" w:w="8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9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vertAlign w:val="superscript"/>
                    </w:rPr>
                    <w:t>a</w:t>
                  </w:r>
                  <w:r>
                    <w:rPr>
                      <w:rFonts w:ascii="仿宋_GB2312" w:hAnsi="仿宋_GB2312" w:cs="仿宋_GB2312" w:eastAsia="仿宋_GB2312"/>
                      <w:sz w:val="24"/>
                      <w:color w:val="000000"/>
                    </w:rPr>
                    <w:t>不适用于添加蔬菜和水果的产品。</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真菌毒素限量</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目</w:t>
                  </w:r>
                </w:p>
              </w:tc>
              <w:tc>
                <w:tcPr>
                  <w:tcW w:type="dxa" w:w="87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标</w:t>
                  </w:r>
                </w:p>
              </w:tc>
              <w:tc>
                <w:tcPr>
                  <w:tcW w:type="dxa" w:w="9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明</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vertAlign w:val="superscript"/>
                    </w:rPr>
                    <w:t xml:space="preserve">a </w:t>
                  </w:r>
                  <w:r>
                    <w:rPr>
                      <w:rFonts w:ascii="仿宋_GB2312" w:hAnsi="仿宋_GB2312" w:cs="仿宋_GB2312" w:eastAsia="仿宋_GB2312"/>
                      <w:sz w:val="24"/>
                      <w:color w:val="000000"/>
                    </w:rPr>
                    <w:t>(μg/kg)</w:t>
                  </w:r>
                </w:p>
              </w:tc>
              <w:tc>
                <w:tcPr>
                  <w:tcW w:type="dxa" w:w="8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94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vertAlign w:val="superscript"/>
                    </w:rPr>
                    <w:t xml:space="preserve">a </w:t>
                  </w: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只限于含乳类的产品。</w:t>
                  </w:r>
                </w:p>
                <w:p>
                  <w:pPr>
                    <w:pStyle w:val="null3"/>
                    <w:jc w:val="left"/>
                  </w:pPr>
                  <w:r>
                    <w:rPr>
                      <w:rFonts w:ascii="仿宋_GB2312" w:hAnsi="仿宋_GB2312" w:cs="仿宋_GB2312" w:eastAsia="仿宋_GB2312"/>
                      <w:sz w:val="24"/>
                      <w:color w:val="000000"/>
                      <w:vertAlign w:val="superscript"/>
                    </w:rPr>
                    <w:t>b</w:t>
                  </w: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只限于含谷类、坚果和豆类的产品。</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vertAlign w:val="superscript"/>
                    </w:rPr>
                    <w:t xml:space="preserve">b </w:t>
                  </w:r>
                  <w:r>
                    <w:rPr>
                      <w:rFonts w:ascii="仿宋_GB2312" w:hAnsi="仿宋_GB2312" w:cs="仿宋_GB2312" w:eastAsia="仿宋_GB2312"/>
                      <w:sz w:val="24"/>
                      <w:color w:val="000000"/>
                    </w:rPr>
                    <w:t>(μg/kg)</w:t>
                  </w:r>
                </w:p>
              </w:tc>
              <w:tc>
                <w:tcPr>
                  <w:tcW w:type="dxa" w:w="8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微生物限量</w:t>
                  </w:r>
                </w:p>
              </w:tc>
            </w:tr>
            <w:tr>
              <w:tc>
                <w:tcPr>
                  <w:tcW w:type="dxa" w:w="7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4"/>
                      <w:color w:val="000000"/>
                    </w:rPr>
                    <w:t>目</w:t>
                  </w:r>
                </w:p>
              </w:tc>
              <w:tc>
                <w:tcPr>
                  <w:tcW w:type="dxa" w:w="102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采样方案</w:t>
                  </w:r>
                  <w:r>
                    <w:rPr>
                      <w:rFonts w:ascii="仿宋_GB2312" w:hAnsi="仿宋_GB2312" w:cs="仿宋_GB2312" w:eastAsia="仿宋_GB2312"/>
                      <w:sz w:val="24"/>
                      <w:color w:val="000000"/>
                      <w:vertAlign w:val="superscript"/>
                    </w:rPr>
                    <w:t>a</w:t>
                  </w:r>
                  <w:r>
                    <w:rPr>
                      <w:rFonts w:ascii="仿宋_GB2312" w:hAnsi="仿宋_GB2312" w:cs="仿宋_GB2312" w:eastAsia="仿宋_GB2312"/>
                      <w:sz w:val="24"/>
                      <w:color w:val="000000"/>
                    </w:rPr>
                    <w:t>及限量</w:t>
                  </w:r>
                </w:p>
                <w:p>
                  <w:pPr>
                    <w:pStyle w:val="null3"/>
                    <w:jc w:val="center"/>
                  </w:pPr>
                  <w:r>
                    <w:rPr>
                      <w:rFonts w:ascii="仿宋_GB2312" w:hAnsi="仿宋_GB2312" w:cs="仿宋_GB2312" w:eastAsia="仿宋_GB2312"/>
                      <w:sz w:val="24"/>
                      <w:color w:val="000000"/>
                    </w:rPr>
                    <w:t>（若非指定，均以</w:t>
                  </w:r>
                  <w:r>
                    <w:rPr>
                      <w:rFonts w:ascii="仿宋_GB2312" w:hAnsi="仿宋_GB2312" w:cs="仿宋_GB2312" w:eastAsia="仿宋_GB2312"/>
                      <w:sz w:val="24"/>
                      <w:color w:val="000000"/>
                    </w:rPr>
                    <w:t>CFU/g表示）</w:t>
                  </w:r>
                </w:p>
              </w:tc>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明</w:t>
                  </w:r>
                </w:p>
              </w:tc>
            </w:tr>
            <w:tr>
              <w:tc>
                <w:tcPr>
                  <w:tcW w:type="dxa" w:w="728"/>
                  <w:vMerge/>
                  <w:tcBorders>
                    <w:top w:val="none" w:color="000000" w:sz="4"/>
                    <w:left w:val="single" w:color="000000" w:sz="4"/>
                    <w:bottom w:val="single" w:color="000000" w:sz="4"/>
                    <w:right w:val="singl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29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8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样品的分析及处理按</w:t>
                  </w:r>
                  <w:r>
                    <w:rPr>
                      <w:rFonts w:ascii="仿宋_GB2312" w:hAnsi="仿宋_GB2312" w:cs="仿宋_GB2312" w:eastAsia="仿宋_GB2312"/>
                      <w:sz w:val="24"/>
                      <w:color w:val="000000"/>
                    </w:rPr>
                    <w:t>GB 4789.1执行。</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菌落总数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大肠菌群</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沙门氏菌</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0/25g</w:t>
                  </w:r>
                </w:p>
              </w:tc>
              <w:tc>
                <w:tcPr>
                  <w:tcW w:type="dxa" w:w="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_</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脲酶活性</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目</w:t>
                  </w:r>
                </w:p>
              </w:tc>
              <w:tc>
                <w:tcPr>
                  <w:tcW w:type="dxa" w:w="87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标</w:t>
                  </w:r>
                </w:p>
              </w:tc>
              <w:tc>
                <w:tcPr>
                  <w:tcW w:type="dxa" w:w="9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说</w:t>
                  </w:r>
                  <w:r>
                    <w:rPr>
                      <w:rFonts w:ascii="仿宋_GB2312" w:hAnsi="仿宋_GB2312" w:cs="仿宋_GB2312" w:eastAsia="仿宋_GB2312"/>
                      <w:sz w:val="24"/>
                      <w:color w:val="000000"/>
                    </w:rPr>
                    <w:t>明</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脲酶活性定性</w:t>
                  </w:r>
                </w:p>
              </w:tc>
              <w:tc>
                <w:tcPr>
                  <w:tcW w:type="dxa" w:w="8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性</w:t>
                  </w:r>
                </w:p>
              </w:tc>
              <w:tc>
                <w:tcPr>
                  <w:tcW w:type="dxa" w:w="9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bl>
          <w:p>
            <w:pPr>
              <w:pStyle w:val="null3"/>
              <w:spacing w:before="150" w:after="150"/>
              <w:ind w:firstLine="482"/>
            </w:pPr>
            <w:r>
              <w:rPr>
                <w:rFonts w:ascii="仿宋_GB2312" w:hAnsi="仿宋_GB2312" w:cs="仿宋_GB2312" w:eastAsia="仿宋_GB2312"/>
                <w:sz w:val="24"/>
                <w:color w:val="000000"/>
              </w:rPr>
              <w:t>8</w:t>
            </w:r>
            <w:r>
              <w:rPr>
                <w:rFonts w:ascii="仿宋_GB2312" w:hAnsi="仿宋_GB2312" w:cs="仿宋_GB2312" w:eastAsia="仿宋_GB2312"/>
                <w:sz w:val="24"/>
                <w:color w:val="000000"/>
              </w:rPr>
              <w:t>.其他指标要求：</w:t>
            </w:r>
          </w:p>
          <w:p>
            <w:pPr>
              <w:pStyle w:val="null3"/>
              <w:spacing w:before="150"/>
              <w:ind w:firstLine="482"/>
            </w:pPr>
            <w:r>
              <w:rPr>
                <w:rFonts w:ascii="仿宋_GB2312" w:hAnsi="仿宋_GB2312" w:cs="仿宋_GB2312" w:eastAsia="仿宋_GB2312"/>
                <w:sz w:val="24"/>
                <w:color w:val="000000"/>
              </w:rPr>
              <w:t>（二）项目营养包配料要求</w:t>
            </w:r>
          </w:p>
          <w:p>
            <w:pPr>
              <w:pStyle w:val="null3"/>
              <w:ind w:firstLine="480"/>
            </w:pPr>
            <w:r>
              <w:rPr>
                <w:rFonts w:ascii="仿宋_GB2312" w:hAnsi="仿宋_GB2312" w:cs="仿宋_GB2312" w:eastAsia="仿宋_GB2312"/>
                <w:sz w:val="24"/>
                <w:color w:val="000000"/>
              </w:rPr>
              <w:t>1.食物基质：</w:t>
            </w:r>
            <w:r>
              <w:rPr>
                <w:rFonts w:ascii="仿宋_GB2312" w:hAnsi="仿宋_GB2312" w:cs="仿宋_GB2312" w:eastAsia="仿宋_GB2312"/>
                <w:sz w:val="24"/>
                <w:color w:val="000000"/>
              </w:rPr>
              <w:t>采用非转基因</w:t>
            </w:r>
            <w:r>
              <w:rPr>
                <w:rFonts w:ascii="仿宋_GB2312" w:hAnsi="仿宋_GB2312" w:cs="仿宋_GB2312" w:eastAsia="仿宋_GB2312"/>
                <w:sz w:val="24"/>
                <w:color w:val="000000"/>
              </w:rPr>
              <w:t>I类速溶豆粉，每袋豆粉≥8.4g，执行GB/T18738；大豆必须高温脱除抗营养因子，脲酶活性阴性，消除胰蛋白酶抑制剂</w:t>
            </w:r>
            <w:r>
              <w:rPr>
                <w:rFonts w:ascii="仿宋_GB2312" w:hAnsi="仿宋_GB2312" w:cs="仿宋_GB2312" w:eastAsia="仿宋_GB2312"/>
                <w:sz w:val="24"/>
                <w:color w:val="000000"/>
              </w:rPr>
              <w:t>;</w:t>
            </w:r>
            <w:r>
              <w:rPr>
                <w:rFonts w:ascii="仿宋_GB2312" w:hAnsi="仿宋_GB2312" w:cs="仿宋_GB2312" w:eastAsia="仿宋_GB2312"/>
                <w:sz w:val="24"/>
                <w:color w:val="000000"/>
              </w:rPr>
              <w:t>基质原料全部符合食品安全国标</w:t>
            </w:r>
            <w:r>
              <w:rPr>
                <w:rFonts w:ascii="仿宋_GB2312" w:hAnsi="仿宋_GB2312" w:cs="仿宋_GB2312" w:eastAsia="仿宋_GB2312"/>
                <w:sz w:val="24"/>
                <w:color w:val="000000"/>
              </w:rPr>
              <w:t>；</w:t>
            </w:r>
            <w:r>
              <w:rPr>
                <w:rFonts w:ascii="仿宋_GB2312" w:hAnsi="仿宋_GB2312" w:cs="仿宋_GB2312" w:eastAsia="仿宋_GB2312"/>
                <w:sz w:val="24"/>
                <w:color w:val="000000"/>
              </w:rPr>
              <w:t>禁</w:t>
            </w:r>
            <w:r>
              <w:rPr>
                <w:rFonts w:ascii="仿宋_GB2312" w:hAnsi="仿宋_GB2312" w:cs="仿宋_GB2312" w:eastAsia="仿宋_GB2312"/>
                <w:sz w:val="24"/>
                <w:color w:val="000000"/>
              </w:rPr>
              <w:t>止转基因原料</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2.维生素和矿物质：</w:t>
            </w:r>
          </w:p>
          <w:tbl>
            <w:tblPr>
              <w:tblBorders>
                <w:top w:val="none" w:color="000000" w:sz="4"/>
                <w:left w:val="none" w:color="000000" w:sz="4"/>
                <w:bottom w:val="none" w:color="000000" w:sz="4"/>
                <w:right w:val="none" w:color="000000" w:sz="4"/>
                <w:insideH w:val="none"/>
                <w:insideV w:val="none"/>
              </w:tblBorders>
            </w:tblPr>
            <w:tblGrid>
              <w:gridCol w:w="446"/>
              <w:gridCol w:w="2107"/>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营养素</w:t>
                  </w:r>
                </w:p>
              </w:tc>
              <w:tc>
                <w:tcPr>
                  <w:tcW w:type="dxa" w:w="2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营养强化剂</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微囊化冷水分散型粉末</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D</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D3的微囊化冷水分散型粉末</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硝酸硫胺素或盐酸硫胺素</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核黄素</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B12</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氰钴胺</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叶酸</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叶酸</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钙</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碳酸钙</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 mg 来自乙二胺四乙酸铁钠；5 mg 来自富马酸亚铁或焦磷酸铁</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锌</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氧化锌</w:t>
                  </w:r>
                </w:p>
              </w:tc>
            </w:tr>
          </w:tbl>
          <w:p>
            <w:pPr>
              <w:pStyle w:val="null3"/>
            </w:pPr>
            <w:r>
              <w:rPr>
                <w:rFonts w:ascii="仿宋_GB2312" w:hAnsi="仿宋_GB2312" w:cs="仿宋_GB2312" w:eastAsia="仿宋_GB2312"/>
                <w:sz w:val="24"/>
                <w:color w:val="000000"/>
              </w:rPr>
              <w:t>（三）包装及标签标识要求</w:t>
            </w:r>
          </w:p>
          <w:p>
            <w:pPr>
              <w:pStyle w:val="null3"/>
              <w:ind w:firstLine="482"/>
            </w:pPr>
            <w:r>
              <w:rPr>
                <w:rFonts w:ascii="仿宋_GB2312" w:hAnsi="仿宋_GB2312" w:cs="仿宋_GB2312" w:eastAsia="仿宋_GB2312"/>
                <w:sz w:val="24"/>
                <w:color w:val="000000"/>
              </w:rPr>
              <w:t>1.包装材料要求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1）内包装材质：采用食品包装用塑料与铝箔复合袋，材质质量应符合《食品包装用塑料与铝箔复合膜、袋》（GB/T 28118）的要求及相应的食品安全标准，其中铝层厚度不低于7微米。</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2）纸盒：采用至少300 g/㎡规格的白卡纸制作，用于包装30袋营养包，白卡纸质量应当符合《涂布纸和纸板 涂布白卡纸》（GB/T 10335.3）的要求。</w:t>
            </w:r>
          </w:p>
          <w:p>
            <w:pPr>
              <w:pStyle w:val="null3"/>
              <w:ind w:firstLine="482"/>
            </w:pPr>
            <w:r>
              <w:rPr>
                <w:rFonts w:ascii="仿宋_GB2312" w:hAnsi="仿宋_GB2312" w:cs="仿宋_GB2312" w:eastAsia="仿宋_GB2312"/>
                <w:sz w:val="24"/>
                <w:color w:val="000000"/>
              </w:rPr>
              <w:t>2.标识内容要求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1）应当符合《食品安全国家标准 辅食营养补充品》（GB 22570）、《食品安全国家标准 预包装食品标签通则》（GB 7718）、《食品安全国家标准 预包装特殊膳食用食品标签》（GB 13432）及国家项目标识要求。具体要求如下：</w:t>
            </w:r>
          </w:p>
          <w:p>
            <w:pPr>
              <w:pStyle w:val="null3"/>
              <w:ind w:firstLine="480"/>
            </w:pPr>
            <w:r>
              <w:rPr>
                <w:rFonts w:ascii="仿宋_GB2312" w:hAnsi="仿宋_GB2312" w:cs="仿宋_GB2312" w:eastAsia="仿宋_GB2312"/>
                <w:sz w:val="24"/>
                <w:color w:val="000000"/>
              </w:rPr>
              <w:t>儿童营养改善项目专用</w:t>
            </w:r>
          </w:p>
          <w:p>
            <w:pPr>
              <w:pStyle w:val="null3"/>
              <w:ind w:firstLine="480"/>
            </w:pPr>
            <w:r>
              <w:rPr>
                <w:rFonts w:ascii="仿宋_GB2312" w:hAnsi="仿宋_GB2312" w:cs="仿宋_GB2312" w:eastAsia="仿宋_GB2312"/>
                <w:sz w:val="24"/>
                <w:color w:val="000000"/>
              </w:rPr>
              <w:t>产品名称：婴幼儿辅食营养包（辅食营养补充品）</w:t>
            </w:r>
          </w:p>
          <w:p>
            <w:pPr>
              <w:pStyle w:val="null3"/>
              <w:ind w:firstLine="480"/>
            </w:pPr>
            <w:r>
              <w:rPr>
                <w:rFonts w:ascii="仿宋_GB2312" w:hAnsi="仿宋_GB2312" w:cs="仿宋_GB2312" w:eastAsia="仿宋_GB2312"/>
                <w:sz w:val="24"/>
                <w:color w:val="000000"/>
              </w:rPr>
              <w:t>配料表：企业根据营养包实际配料并按</w:t>
            </w:r>
            <w:r>
              <w:rPr>
                <w:rFonts w:ascii="仿宋_GB2312" w:hAnsi="仿宋_GB2312" w:cs="仿宋_GB2312" w:eastAsia="仿宋_GB2312"/>
                <w:sz w:val="24"/>
                <w:color w:val="000000"/>
              </w:rPr>
              <w:t>GB 7718和GB 13432列出。</w:t>
            </w:r>
          </w:p>
          <w:p>
            <w:pPr>
              <w:pStyle w:val="null3"/>
              <w:ind w:firstLine="480"/>
            </w:pPr>
            <w:r>
              <w:rPr>
                <w:rFonts w:ascii="仿宋_GB2312" w:hAnsi="仿宋_GB2312" w:cs="仿宋_GB2312" w:eastAsia="仿宋_GB2312"/>
                <w:sz w:val="24"/>
                <w:color w:val="000000"/>
              </w:rPr>
              <w:t>适宜人群：</w:t>
            </w:r>
            <w:r>
              <w:rPr>
                <w:rFonts w:ascii="仿宋_GB2312" w:hAnsi="仿宋_GB2312" w:cs="仿宋_GB2312" w:eastAsia="仿宋_GB2312"/>
                <w:sz w:val="24"/>
                <w:color w:val="000000"/>
              </w:rPr>
              <w:t>6-36月龄婴幼儿。</w:t>
            </w:r>
          </w:p>
          <w:p>
            <w:pPr>
              <w:pStyle w:val="null3"/>
              <w:ind w:firstLine="480"/>
            </w:pPr>
            <w:r>
              <w:rPr>
                <w:rFonts w:ascii="仿宋_GB2312" w:hAnsi="仿宋_GB2312" w:cs="仿宋_GB2312" w:eastAsia="仿宋_GB2312"/>
                <w:sz w:val="24"/>
                <w:color w:val="000000"/>
              </w:rPr>
              <w:t>净含量</w:t>
            </w:r>
            <w:r>
              <w:rPr>
                <w:rFonts w:ascii="仿宋_GB2312" w:hAnsi="仿宋_GB2312" w:cs="仿宋_GB2312" w:eastAsia="仿宋_GB2312"/>
                <w:sz w:val="24"/>
                <w:color w:val="000000"/>
              </w:rPr>
              <w:t>/规格：360 g（12 g×30 袋）。</w:t>
            </w:r>
          </w:p>
          <w:p>
            <w:pPr>
              <w:pStyle w:val="null3"/>
              <w:ind w:firstLine="480"/>
            </w:pPr>
            <w:r>
              <w:rPr>
                <w:rFonts w:ascii="仿宋_GB2312" w:hAnsi="仿宋_GB2312" w:cs="仿宋_GB2312" w:eastAsia="仿宋_GB2312"/>
                <w:sz w:val="24"/>
                <w:color w:val="000000"/>
              </w:rPr>
              <w:t>产品标准号：</w:t>
            </w:r>
            <w:r>
              <w:rPr>
                <w:rFonts w:ascii="仿宋_GB2312" w:hAnsi="仿宋_GB2312" w:cs="仿宋_GB2312" w:eastAsia="仿宋_GB2312"/>
                <w:sz w:val="24"/>
                <w:color w:val="000000"/>
              </w:rPr>
              <w:t>GB 22570</w:t>
            </w:r>
          </w:p>
          <w:p>
            <w:pPr>
              <w:pStyle w:val="null3"/>
              <w:ind w:firstLine="480"/>
            </w:pPr>
            <w:r>
              <w:rPr>
                <w:rFonts w:ascii="仿宋_GB2312" w:hAnsi="仿宋_GB2312" w:cs="仿宋_GB2312" w:eastAsia="仿宋_GB2312"/>
                <w:sz w:val="24"/>
                <w:color w:val="000000"/>
              </w:rPr>
              <w:t>食用方法及食用量：每日</w:t>
            </w:r>
            <w:r>
              <w:rPr>
                <w:rFonts w:ascii="仿宋_GB2312" w:hAnsi="仿宋_GB2312" w:cs="仿宋_GB2312" w:eastAsia="仿宋_GB2312"/>
                <w:sz w:val="24"/>
                <w:color w:val="000000"/>
              </w:rPr>
              <w:t>1袋，拌入婴幼儿辅食中或直接以温开水调成糊状食用。（附使用示意图）</w:t>
            </w:r>
          </w:p>
          <w:p>
            <w:pPr>
              <w:pStyle w:val="null3"/>
              <w:ind w:firstLine="480"/>
            </w:pPr>
            <w:r>
              <w:rPr>
                <w:rFonts w:ascii="仿宋_GB2312" w:hAnsi="仿宋_GB2312" w:cs="仿宋_GB2312" w:eastAsia="仿宋_GB2312"/>
                <w:sz w:val="24"/>
                <w:color w:val="000000"/>
              </w:rPr>
              <w:t>生产日期：</w:t>
            </w:r>
          </w:p>
          <w:p>
            <w:pPr>
              <w:pStyle w:val="null3"/>
              <w:ind w:firstLine="480"/>
            </w:pPr>
            <w:r>
              <w:rPr>
                <w:rFonts w:ascii="仿宋_GB2312" w:hAnsi="仿宋_GB2312" w:cs="仿宋_GB2312" w:eastAsia="仿宋_GB2312"/>
                <w:sz w:val="24"/>
                <w:color w:val="000000"/>
              </w:rPr>
              <w:t>批号：</w:t>
            </w:r>
          </w:p>
          <w:p>
            <w:pPr>
              <w:pStyle w:val="null3"/>
              <w:ind w:firstLine="480"/>
            </w:pPr>
            <w:r>
              <w:rPr>
                <w:rFonts w:ascii="仿宋_GB2312" w:hAnsi="仿宋_GB2312" w:cs="仿宋_GB2312" w:eastAsia="仿宋_GB2312"/>
                <w:sz w:val="24"/>
                <w:color w:val="000000"/>
              </w:rPr>
              <w:t>保质期：</w:t>
            </w:r>
          </w:p>
          <w:p>
            <w:pPr>
              <w:pStyle w:val="null3"/>
              <w:ind w:firstLine="480"/>
            </w:pPr>
            <w:r>
              <w:rPr>
                <w:rFonts w:ascii="仿宋_GB2312" w:hAnsi="仿宋_GB2312" w:cs="仿宋_GB2312" w:eastAsia="仿宋_GB2312"/>
                <w:sz w:val="24"/>
                <w:color w:val="000000"/>
              </w:rPr>
              <w:t>贮存条件：置于室内阴凉干燥处保存。</w:t>
            </w:r>
          </w:p>
          <w:p>
            <w:pPr>
              <w:pStyle w:val="null3"/>
              <w:ind w:firstLine="480"/>
            </w:pPr>
            <w:r>
              <w:rPr>
                <w:rFonts w:ascii="仿宋_GB2312" w:hAnsi="仿宋_GB2312" w:cs="仿宋_GB2312" w:eastAsia="仿宋_GB2312"/>
                <w:sz w:val="24"/>
                <w:color w:val="000000"/>
              </w:rPr>
              <w:t>注意事项：本品不能代替母乳及婴幼儿辅助食品；本品添加多种微量营养素，与其他同类产品同时食用时应注意用量。</w:t>
            </w:r>
          </w:p>
          <w:p>
            <w:pPr>
              <w:pStyle w:val="null3"/>
              <w:ind w:firstLine="480"/>
            </w:pPr>
            <w:r>
              <w:rPr>
                <w:rFonts w:ascii="仿宋_GB2312" w:hAnsi="仿宋_GB2312" w:cs="仿宋_GB2312" w:eastAsia="仿宋_GB2312"/>
                <w:sz w:val="24"/>
                <w:color w:val="000000"/>
              </w:rPr>
              <w:t>生产商：（名称、地址、联系电话）</w:t>
            </w:r>
          </w:p>
          <w:p>
            <w:pPr>
              <w:pStyle w:val="null3"/>
              <w:ind w:firstLine="480"/>
            </w:pPr>
            <w:r>
              <w:rPr>
                <w:rFonts w:ascii="仿宋_GB2312" w:hAnsi="仿宋_GB2312" w:cs="仿宋_GB2312" w:eastAsia="仿宋_GB2312"/>
                <w:sz w:val="24"/>
                <w:color w:val="000000"/>
              </w:rPr>
              <w:t>营养成分表：</w:t>
            </w:r>
          </w:p>
          <w:tbl>
            <w:tblPr>
              <w:tblBorders>
                <w:top w:val="none" w:color="000000" w:sz="4"/>
                <w:left w:val="none" w:color="000000" w:sz="4"/>
                <w:bottom w:val="none" w:color="000000" w:sz="4"/>
                <w:right w:val="none" w:color="000000" w:sz="4"/>
                <w:insideH w:val="none"/>
                <w:insideV w:val="none"/>
              </w:tblBorders>
            </w:tblPr>
            <w:tblGrid>
              <w:gridCol w:w="1534"/>
              <w:gridCol w:w="1019"/>
            </w:tblGrid>
            <w:tr>
              <w:tc>
                <w:tcPr>
                  <w:tcW w:type="dxa" w:w="153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营养成分</w:t>
                  </w:r>
                </w:p>
              </w:tc>
              <w:tc>
                <w:tcPr>
                  <w:tcW w:type="dxa" w:w="10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每份（</w:t>
                  </w:r>
                  <w:r>
                    <w:rPr>
                      <w:rFonts w:ascii="仿宋_GB2312" w:hAnsi="仿宋_GB2312" w:cs="仿宋_GB2312" w:eastAsia="仿宋_GB2312"/>
                      <w:sz w:val="24"/>
                      <w:color w:val="000000"/>
                    </w:rPr>
                    <w:t>12 g)</w:t>
                  </w:r>
                </w:p>
              </w:tc>
            </w:tr>
            <w:tr>
              <w:tc>
                <w:tcPr>
                  <w:tcW w:type="dxa" w:w="1534"/>
                  <w:vMerge/>
                  <w:tcBorders>
                    <w:top w:val="single" w:color="000000" w:sz="4"/>
                    <w:left w:val="single" w:color="000000" w:sz="4"/>
                    <w:bottom w:val="single" w:color="000000" w:sz="4"/>
                    <w:right w:val="single" w:color="000000" w:sz="4"/>
                  </w:tcBorders>
                </w:tcPr>
                <w:p/>
              </w:tc>
              <w:tc>
                <w:tcPr>
                  <w:tcW w:type="dxa" w:w="1019"/>
                  <w:vMerge/>
                  <w:tcBorders>
                    <w:top w:val="single" w:color="000000" w:sz="4"/>
                    <w:left w:val="single" w:color="000000" w:sz="4"/>
                    <w:bottom w:val="single" w:color="000000" w:sz="4"/>
                    <w:right w:val="single" w:color="000000" w:sz="4"/>
                  </w:tcBorders>
                </w:tcP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能量（</w:t>
                  </w:r>
                  <w:r>
                    <w:rPr>
                      <w:rFonts w:ascii="仿宋_GB2312" w:hAnsi="仿宋_GB2312" w:cs="仿宋_GB2312" w:eastAsia="仿宋_GB2312"/>
                      <w:sz w:val="24"/>
                      <w:color w:val="000000"/>
                    </w:rPr>
                    <w:t>kJ）</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r>
                    <w:rPr>
                      <w:rFonts w:ascii="仿宋_GB2312" w:hAnsi="仿宋_GB2312" w:cs="仿宋_GB2312" w:eastAsia="仿宋_GB2312"/>
                      <w:sz w:val="24"/>
                      <w:color w:val="000000"/>
                    </w:rPr>
                    <w:t>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r>
                    <w:rPr>
                      <w:rFonts w:ascii="仿宋_GB2312" w:hAnsi="仿宋_GB2312" w:cs="仿宋_GB2312" w:eastAsia="仿宋_GB2312"/>
                      <w:sz w:val="24"/>
                      <w:color w:val="000000"/>
                    </w:rPr>
                    <w:t>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碳水化合物（</w:t>
                  </w:r>
                  <w:r>
                    <w:rPr>
                      <w:rFonts w:ascii="仿宋_GB2312" w:hAnsi="仿宋_GB2312" w:cs="仿宋_GB2312" w:eastAsia="仿宋_GB2312"/>
                      <w:sz w:val="24"/>
                      <w:color w:val="000000"/>
                    </w:rPr>
                    <w:t>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w:t>
                  </w:r>
                  <w:r>
                    <w:rPr>
                      <w:rFonts w:ascii="仿宋_GB2312" w:hAnsi="仿宋_GB2312" w:cs="仿宋_GB2312" w:eastAsia="仿宋_GB2312"/>
                      <w:sz w:val="24"/>
                      <w:color w:val="000000"/>
                    </w:rPr>
                    <w:t>mg）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r>
                    <w:rPr>
                      <w:rFonts w:ascii="仿宋_GB2312" w:hAnsi="仿宋_GB2312" w:cs="仿宋_GB2312" w:eastAsia="仿宋_GB2312"/>
                      <w:sz w:val="24"/>
                      <w:color w:val="000000"/>
                    </w:rPr>
                    <w:t>mg）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r>
                    <w:rPr>
                      <w:rFonts w:ascii="仿宋_GB2312" w:hAnsi="仿宋_GB2312" w:cs="仿宋_GB2312" w:eastAsia="仿宋_GB2312"/>
                      <w:sz w:val="24"/>
                      <w:color w:val="000000"/>
                    </w:rPr>
                    <w:t>mg）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r>
                    <w:rPr>
                      <w:rFonts w:ascii="仿宋_GB2312" w:hAnsi="仿宋_GB2312" w:cs="仿宋_GB2312" w:eastAsia="仿宋_GB2312"/>
                      <w:sz w:val="24"/>
                      <w:color w:val="000000"/>
                    </w:rPr>
                    <w:t>mg）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A（μg RE）</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D（μg）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mg）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mg）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r>
                    <w:rPr>
                      <w:rFonts w:ascii="仿宋_GB2312" w:hAnsi="仿宋_GB2312" w:cs="仿宋_GB2312" w:eastAsia="仿宋_GB2312"/>
                      <w:sz w:val="24"/>
                      <w:color w:val="000000"/>
                    </w:rPr>
                    <w:t>μg）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w:t>
                  </w:r>
                </w:p>
              </w:tc>
            </w:tr>
            <w:tr>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μg）</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r>
          </w:tbl>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2）项目专用包装应当以项目名称为主，生产企业标识为辅；</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3）以图文并茂的方式详细说明营养包用法。</w:t>
            </w:r>
          </w:p>
          <w:p>
            <w:pPr>
              <w:pStyle w:val="null3"/>
              <w:ind w:firstLine="480"/>
            </w:pPr>
            <w:r>
              <w:rPr>
                <w:rFonts w:ascii="仿宋_GB2312" w:hAnsi="仿宋_GB2312" w:cs="仿宋_GB2312" w:eastAsia="仿宋_GB2312"/>
                <w:sz w:val="24"/>
                <w:color w:val="000000"/>
              </w:rPr>
              <w:t>3.小袋标识：产品名称，并醒目标识“儿童营养改善项目专用”字样。</w:t>
            </w:r>
          </w:p>
          <w:p>
            <w:pPr>
              <w:pStyle w:val="null3"/>
              <w:ind w:firstLine="480"/>
              <w:jc w:val="left"/>
            </w:pPr>
            <w:r>
              <w:rPr>
                <w:rFonts w:ascii="仿宋_GB2312" w:hAnsi="仿宋_GB2312" w:cs="仿宋_GB2312" w:eastAsia="仿宋_GB2312"/>
                <w:sz w:val="24"/>
                <w:color w:val="000000"/>
              </w:rPr>
              <w:t>4.外盒标识：在醒目位置标识“儿童营养改善项目专用”和“国家免费”字样、主办单位名称、生产商、产品名称、类别、配料、营养成分表及含量声称、适用人群、批号、生产日期、保质期、贮存条件、注意事项、图表性标识食用方法和食用量、净含量/规格、厂商地址、电话等。</w:t>
            </w:r>
          </w:p>
          <w:p>
            <w:pPr>
              <w:pStyle w:val="null3"/>
              <w:ind w:firstLine="480"/>
            </w:pPr>
            <w:r>
              <w:rPr>
                <w:rFonts w:ascii="仿宋_GB2312" w:hAnsi="仿宋_GB2312" w:cs="仿宋_GB2312" w:eastAsia="仿宋_GB2312"/>
                <w:sz w:val="24"/>
                <w:color w:val="000000"/>
              </w:rPr>
              <w:t>5.外箱标识：醒目位置标识“儿童营养改善项目专用”和“国家免费”字样、主办单位名称、生产商、产品名称、净含量（盒/箱×袋/盒，重量g）、生产日期和/或批号、厂商地址、电话。</w:t>
            </w:r>
          </w:p>
          <w:p>
            <w:pPr>
              <w:pStyle w:val="null3"/>
              <w:ind w:firstLine="482"/>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）企业生产和服务要求</w:t>
            </w:r>
          </w:p>
          <w:p>
            <w:pPr>
              <w:pStyle w:val="null3"/>
              <w:ind w:firstLine="482"/>
            </w:pPr>
            <w:r>
              <w:rPr>
                <w:rFonts w:ascii="仿宋_GB2312" w:hAnsi="仿宋_GB2312" w:cs="仿宋_GB2312" w:eastAsia="仿宋_GB2312"/>
                <w:sz w:val="24"/>
                <w:color w:val="000000"/>
              </w:rPr>
              <w:t>1、</w:t>
            </w:r>
            <w:r>
              <w:rPr>
                <w:rFonts w:ascii="仿宋_GB2312" w:hAnsi="仿宋_GB2312" w:cs="仿宋_GB2312" w:eastAsia="仿宋_GB2312"/>
                <w:sz w:val="24"/>
                <w:color w:val="000000"/>
              </w:rPr>
              <w:t>生产要求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建立并运行全面的食品安全管理体系、质量管理体系、食品安全防御性计划。</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生产企业必须具备《食品安全国家标准</w:t>
            </w:r>
            <w:r>
              <w:rPr>
                <w:rFonts w:ascii="仿宋_GB2312" w:hAnsi="仿宋_GB2312" w:cs="仿宋_GB2312" w:eastAsia="仿宋_GB2312"/>
                <w:sz w:val="24"/>
                <w:color w:val="000000"/>
              </w:rPr>
              <w:t>辅食营养补充品》（</w:t>
            </w:r>
            <w:r>
              <w:rPr>
                <w:rFonts w:ascii="仿宋_GB2312" w:hAnsi="仿宋_GB2312" w:cs="仿宋_GB2312" w:eastAsia="仿宋_GB2312"/>
                <w:sz w:val="24"/>
                <w:color w:val="000000"/>
              </w:rPr>
              <w:t>GB22570）技术要求的检测能力，包括感官、蛋白质、钙、铁、锌、维生素A、维生素D、维生素B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、叶酸、维生素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12</w:t>
            </w:r>
            <w:r>
              <w:rPr>
                <w:rFonts w:ascii="仿宋_GB2312" w:hAnsi="仿宋_GB2312" w:cs="仿宋_GB2312" w:eastAsia="仿宋_GB2312"/>
                <w:sz w:val="24"/>
                <w:color w:val="000000"/>
              </w:rPr>
              <w:t>、铅、总砷、硝酸盐、黄曲霉毒素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和黄曲霉毒素</w:t>
            </w:r>
            <w:r>
              <w:rPr>
                <w:rFonts w:ascii="仿宋_GB2312" w:hAnsi="仿宋_GB2312" w:cs="仿宋_GB2312" w:eastAsia="仿宋_GB2312"/>
                <w:sz w:val="24"/>
                <w:color w:val="000000"/>
              </w:rPr>
              <w:t>M</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；脲酶活性；菌落总数、大肠菌群、沙门氏菌。</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提供项目产品检测报告。</w:t>
            </w:r>
          </w:p>
          <w:p>
            <w:pPr>
              <w:pStyle w:val="null3"/>
              <w:ind w:firstLine="480"/>
            </w:pPr>
            <w:r>
              <w:rPr>
                <w:rFonts w:ascii="仿宋_GB2312" w:hAnsi="仿宋_GB2312" w:cs="仿宋_GB2312" w:eastAsia="仿宋_GB2312"/>
                <w:sz w:val="24"/>
                <w:color w:val="000000"/>
              </w:rPr>
              <w:t>按以下要求，在项目实施后，需提供项目营养包的检验报告至县项目办。</w:t>
            </w:r>
          </w:p>
          <w:p>
            <w:pPr>
              <w:pStyle w:val="null3"/>
              <w:ind w:firstLine="480"/>
            </w:pPr>
            <w:r>
              <w:rPr>
                <w:rFonts w:ascii="仿宋_GB2312" w:hAnsi="仿宋_GB2312" w:cs="仿宋_GB2312" w:eastAsia="仿宋_GB2312"/>
                <w:sz w:val="24"/>
                <w:color w:val="000000"/>
              </w:rPr>
              <w:t>a、</w:t>
            </w:r>
            <w:r>
              <w:rPr>
                <w:rFonts w:ascii="仿宋_GB2312" w:hAnsi="仿宋_GB2312" w:cs="仿宋_GB2312" w:eastAsia="仿宋_GB2312"/>
                <w:sz w:val="24"/>
                <w:color w:val="000000"/>
              </w:rPr>
              <w:t>批次出厂检验报告。每批次检验报告项目必须包括：感官、蛋白质、钙、铁、锌、维生素</w:t>
            </w:r>
            <w:r>
              <w:rPr>
                <w:rFonts w:ascii="仿宋_GB2312" w:hAnsi="仿宋_GB2312" w:cs="仿宋_GB2312" w:eastAsia="仿宋_GB2312"/>
                <w:sz w:val="24"/>
                <w:color w:val="000000"/>
              </w:rPr>
              <w:t>A、维生素D、维生素B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、叶酸、维生素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12</w:t>
            </w:r>
            <w:r>
              <w:rPr>
                <w:rFonts w:ascii="仿宋_GB2312" w:hAnsi="仿宋_GB2312" w:cs="仿宋_GB2312" w:eastAsia="仿宋_GB2312"/>
                <w:sz w:val="24"/>
                <w:color w:val="000000"/>
              </w:rPr>
              <w:t>、铅、总砷、硝酸盐、黄曲霉毒素</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和</w:t>
            </w:r>
            <w:r>
              <w:rPr>
                <w:rFonts w:ascii="仿宋_GB2312" w:hAnsi="仿宋_GB2312" w:cs="仿宋_GB2312" w:eastAsia="仿宋_GB2312"/>
                <w:sz w:val="24"/>
                <w:color w:val="000000"/>
              </w:rPr>
              <w:t>/或黄曲霉毒素M</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、脲酶活性、菌落总数、大肠菌群、沙门氏菌。</w:t>
            </w:r>
          </w:p>
          <w:p>
            <w:pPr>
              <w:pStyle w:val="null3"/>
              <w:ind w:firstLine="480"/>
            </w:pPr>
            <w:r>
              <w:rPr>
                <w:rFonts w:ascii="仿宋_GB2312" w:hAnsi="仿宋_GB2312" w:cs="仿宋_GB2312" w:eastAsia="仿宋_GB2312"/>
                <w:sz w:val="24"/>
                <w:color w:val="000000"/>
              </w:rPr>
              <w:t>b、</w:t>
            </w:r>
            <w:r>
              <w:rPr>
                <w:rFonts w:ascii="仿宋_GB2312" w:hAnsi="仿宋_GB2312" w:cs="仿宋_GB2312" w:eastAsia="仿宋_GB2312"/>
                <w:sz w:val="24"/>
                <w:color w:val="000000"/>
              </w:rPr>
              <w:t>型式检验报告。每半年</w:t>
            </w:r>
            <w:r>
              <w:rPr>
                <w:rFonts w:ascii="仿宋_GB2312" w:hAnsi="仿宋_GB2312" w:cs="仿宋_GB2312" w:eastAsia="仿宋_GB2312"/>
                <w:sz w:val="24"/>
                <w:color w:val="000000"/>
              </w:rPr>
              <w:t>1次，第1次提供报告时间为开始履约供应项目营养包的前3个月内，按项目产品的相关标准要求对项目营养包进行全项检验，并提供由有资质的第三方食品检验机构出具的检验报告。</w:t>
            </w:r>
          </w:p>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应按国家法律法规的规定组织生产，保障产品质量并对产品质量负责。</w:t>
            </w:r>
          </w:p>
          <w:p>
            <w:pPr>
              <w:pStyle w:val="null3"/>
              <w:ind w:firstLine="480"/>
            </w:pPr>
            <w:r>
              <w:rPr>
                <w:rFonts w:ascii="仿宋_GB2312" w:hAnsi="仿宋_GB2312" w:cs="仿宋_GB2312" w:eastAsia="仿宋_GB2312"/>
                <w:sz w:val="24"/>
                <w:color w:val="000000"/>
              </w:rPr>
              <w:t>(5)</w:t>
            </w:r>
            <w:r>
              <w:rPr>
                <w:rFonts w:ascii="仿宋_GB2312" w:hAnsi="仿宋_GB2312" w:cs="仿宋_GB2312" w:eastAsia="仿宋_GB2312"/>
                <w:sz w:val="24"/>
                <w:color w:val="000000"/>
              </w:rPr>
              <w:t>供应商在国家级、省级监管部门食品安全抽检中，应无不合格记录，提供书面声明以及</w:t>
            </w:r>
            <w:r>
              <w:rPr>
                <w:rFonts w:ascii="仿宋_GB2312" w:hAnsi="仿宋_GB2312" w:cs="仿宋_GB2312" w:eastAsia="仿宋_GB2312"/>
                <w:sz w:val="24"/>
                <w:color w:val="000000"/>
              </w:rPr>
              <w:t>“婴幼儿辅食营养包”抽检记录查询截图（查询网站：食品安全抽检公布结果查询系统，查询网址：spcjsac.gsxt.gov.cn）。</w:t>
            </w:r>
          </w:p>
          <w:p>
            <w:pPr>
              <w:pStyle w:val="null3"/>
              <w:ind w:firstLine="480"/>
            </w:pPr>
            <w:r>
              <w:rPr>
                <w:rFonts w:ascii="仿宋_GB2312" w:hAnsi="仿宋_GB2312" w:cs="仿宋_GB2312" w:eastAsia="仿宋_GB2312"/>
                <w:sz w:val="24"/>
                <w:color w:val="000000"/>
              </w:rPr>
              <w:t>(6)</w:t>
            </w:r>
            <w:r>
              <w:rPr>
                <w:rFonts w:ascii="仿宋_GB2312" w:hAnsi="仿宋_GB2312" w:cs="仿宋_GB2312" w:eastAsia="仿宋_GB2312"/>
                <w:sz w:val="24"/>
                <w:color w:val="000000"/>
              </w:rPr>
              <w:t>项目营养包须符合清真食品要求。</w:t>
            </w:r>
          </w:p>
          <w:p>
            <w:pPr>
              <w:pStyle w:val="null3"/>
              <w:ind w:firstLine="482"/>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中标企业应当按照采购合同要求负责运送项目产品至各项目县指定地点。为保障营养包安全有效，营养包生产后应在</w:t>
            </w:r>
            <w:r>
              <w:rPr>
                <w:rFonts w:ascii="仿宋_GB2312" w:hAnsi="仿宋_GB2312" w:cs="仿宋_GB2312" w:eastAsia="仿宋_GB2312"/>
                <w:sz w:val="24"/>
                <w:color w:val="000000"/>
              </w:rPr>
              <w:t>3个月内配送。</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中标企业首次配送产品时，为项目县发放点提供符合储存食品要求、防潮防鼠防漏的产品保藏设备，如塑料储存箱等容器，容器储存量约为</w:t>
            </w:r>
            <w:r>
              <w:rPr>
                <w:rFonts w:ascii="仿宋_GB2312" w:hAnsi="仿宋_GB2312" w:cs="仿宋_GB2312" w:eastAsia="仿宋_GB2312"/>
                <w:sz w:val="24"/>
                <w:color w:val="000000"/>
              </w:rPr>
              <w:t>20人×2月用量。</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企业在供货过程中，营养包出现包装破损、标签不清、污损等问题，应当无条件退货。在保质期内，营养包出现感官等质量问题，经县级项目管理办公室组织确认，接收方有权要求退货，原则上终止供货合同。若判定为不安全食品，应按国家相关法规处置，予以召回。</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中标企业提供电话咨询服务，解答营养包食用中遇到的问题。</w:t>
            </w:r>
          </w:p>
          <w:p>
            <w:pPr>
              <w:pStyle w:val="null3"/>
              <w:ind w:firstLine="482"/>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）投标送样要求</w:t>
            </w:r>
          </w:p>
          <w:p>
            <w:pPr>
              <w:pStyle w:val="null3"/>
              <w:ind w:firstLine="480"/>
            </w:pPr>
            <w:r>
              <w:rPr>
                <w:rFonts w:ascii="仿宋_GB2312" w:hAnsi="仿宋_GB2312" w:cs="仿宋_GB2312" w:eastAsia="仿宋_GB2312"/>
                <w:sz w:val="24"/>
                <w:color w:val="000000"/>
              </w:rPr>
              <w:t>供应商须提供满足招标文件要求的投标营养包封样样品（完整包装）</w:t>
            </w:r>
            <w:r>
              <w:rPr>
                <w:rFonts w:ascii="仿宋_GB2312" w:hAnsi="仿宋_GB2312" w:cs="仿宋_GB2312" w:eastAsia="仿宋_GB2312"/>
                <w:sz w:val="24"/>
                <w:color w:val="000000"/>
              </w:rPr>
              <w:t>2份，封样签上应当有企业质量负责人签字并加盖企业公章，每份2盒（12g/袋×30袋），投标时还须提供包装纸箱样品1个，递交截止时间同在线递交投标电子文件截止时间一致，投标人提供的样品均由代理机构统一保管，不再退还。</w:t>
            </w:r>
          </w:p>
          <w:p>
            <w:pPr>
              <w:pStyle w:val="null3"/>
              <w:ind w:firstLine="480"/>
            </w:pPr>
            <w:r>
              <w:rPr>
                <w:rFonts w:ascii="仿宋_GB2312" w:hAnsi="仿宋_GB2312" w:cs="仿宋_GB2312" w:eastAsia="仿宋_GB2312"/>
                <w:sz w:val="24"/>
                <w:color w:val="000000"/>
              </w:rPr>
              <w:t>样本提交地址：陕西省西安市未央区风城一路东段百寰国际</w:t>
            </w:r>
            <w:r>
              <w:rPr>
                <w:rFonts w:ascii="仿宋_GB2312" w:hAnsi="仿宋_GB2312" w:cs="仿宋_GB2312" w:eastAsia="仿宋_GB2312"/>
                <w:sz w:val="24"/>
                <w:color w:val="000000"/>
              </w:rPr>
              <w:t>1幢1单元27层270</w:t>
            </w:r>
            <w:r>
              <w:rPr>
                <w:rFonts w:ascii="仿宋_GB2312" w:hAnsi="仿宋_GB2312" w:cs="仿宋_GB2312" w:eastAsia="仿宋_GB2312"/>
                <w:sz w:val="24"/>
                <w:color w:val="000000"/>
              </w:rPr>
              <w:t>4</w:t>
            </w:r>
            <w:r>
              <w:rPr>
                <w:rFonts w:ascii="仿宋_GB2312" w:hAnsi="仿宋_GB2312" w:cs="仿宋_GB2312" w:eastAsia="仿宋_GB2312"/>
                <w:sz w:val="24"/>
                <w:color w:val="000000"/>
              </w:rPr>
              <w:t>号房</w:t>
            </w:r>
          </w:p>
          <w:p>
            <w:pPr>
              <w:pStyle w:val="null3"/>
              <w:ind w:firstLine="480"/>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项目宣传</w:t>
            </w:r>
            <w:r>
              <w:rPr>
                <w:rFonts w:ascii="仿宋_GB2312" w:hAnsi="仿宋_GB2312" w:cs="仿宋_GB2312" w:eastAsia="仿宋_GB2312"/>
                <w:sz w:val="24"/>
                <w:b/>
                <w:color w:val="000000"/>
              </w:rPr>
              <w:t>及</w:t>
            </w:r>
            <w:r>
              <w:rPr>
                <w:rFonts w:ascii="仿宋_GB2312" w:hAnsi="仿宋_GB2312" w:cs="仿宋_GB2312" w:eastAsia="仿宋_GB2312"/>
                <w:sz w:val="24"/>
                <w:b/>
                <w:color w:val="000000"/>
              </w:rPr>
              <w:t>培训等</w:t>
            </w:r>
            <w:r>
              <w:rPr>
                <w:rFonts w:ascii="仿宋_GB2312" w:hAnsi="仿宋_GB2312" w:cs="仿宋_GB2312" w:eastAsia="仿宋_GB2312"/>
                <w:sz w:val="24"/>
                <w:b/>
                <w:color w:val="000000"/>
              </w:rPr>
              <w:t>12项</w:t>
            </w:r>
          </w:p>
          <w:p>
            <w:pPr>
              <w:pStyle w:val="null3"/>
            </w:pPr>
            <w:r>
              <w:rPr>
                <w:rFonts w:ascii="仿宋_GB2312" w:hAnsi="仿宋_GB2312" w:cs="仿宋_GB2312" w:eastAsia="仿宋_GB2312"/>
                <w:sz w:val="24"/>
                <w:color w:val="000000"/>
              </w:rPr>
              <w:t>中标供应商负责提供如下相关配套资料，具体为：</w:t>
            </w:r>
          </w:p>
          <w:tbl>
            <w:tblPr>
              <w:tblBorders>
                <w:top w:val="none" w:color="000000" w:sz="4"/>
                <w:left w:val="none" w:color="000000" w:sz="4"/>
                <w:bottom w:val="none" w:color="000000" w:sz="4"/>
                <w:right w:val="none" w:color="000000" w:sz="4"/>
                <w:insideH w:val="none"/>
                <w:insideV w:val="none"/>
              </w:tblBorders>
            </w:tblPr>
            <w:tblGrid>
              <w:gridCol w:w="235"/>
              <w:gridCol w:w="388"/>
              <w:gridCol w:w="1398"/>
              <w:gridCol w:w="266"/>
              <w:gridCol w:w="266"/>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产品名称</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规格型号</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培训教材</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纸张</w:t>
                  </w:r>
                  <w:r>
                    <w:rPr>
                      <w:rFonts w:ascii="仿宋_GB2312" w:hAnsi="仿宋_GB2312" w:cs="仿宋_GB2312" w:eastAsia="仿宋_GB2312"/>
                      <w:sz w:val="24"/>
                      <w:color w:val="000000"/>
                    </w:rPr>
                    <w:t>70g/m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正</w:t>
                  </w:r>
                  <w:r>
                    <w:rPr>
                      <w:rFonts w:ascii="仿宋_GB2312" w:hAnsi="仿宋_GB2312" w:cs="仿宋_GB2312" w:eastAsia="仿宋_GB2312"/>
                      <w:sz w:val="24"/>
                      <w:color w:val="000000"/>
                    </w:rPr>
                    <w:t>A4,封面彩印</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宣传海报</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200g铜板纸，大对开</w:t>
                  </w:r>
                  <w:r>
                    <w:rPr>
                      <w:rFonts w:ascii="仿宋_GB2312" w:hAnsi="仿宋_GB2312" w:cs="仿宋_GB2312" w:eastAsia="仿宋_GB2312"/>
                      <w:sz w:val="24"/>
                      <w:color w:val="000000"/>
                    </w:rPr>
                    <w:t>，</w:t>
                  </w:r>
                  <w:r>
                    <w:rPr>
                      <w:rFonts w:ascii="仿宋_GB2312" w:hAnsi="仿宋_GB2312" w:cs="仿宋_GB2312" w:eastAsia="仿宋_GB2312"/>
                      <w:sz w:val="24"/>
                      <w:color w:val="000000"/>
                    </w:rPr>
                    <w:t>860mmX560mm，彩印</w:t>
                  </w:r>
                  <w:r>
                    <w:rPr>
                      <w:rFonts w:ascii="仿宋_GB2312" w:hAnsi="仿宋_GB2312" w:cs="仿宋_GB2312" w:eastAsia="仿宋_GB2312"/>
                      <w:sz w:val="24"/>
                      <w:color w:val="000000"/>
                    </w:rPr>
                    <w:t>。</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宣传</w:t>
                  </w:r>
                  <w:r>
                    <w:rPr>
                      <w:rFonts w:ascii="仿宋_GB2312" w:hAnsi="仿宋_GB2312" w:cs="仿宋_GB2312" w:eastAsia="仿宋_GB2312"/>
                      <w:sz w:val="24"/>
                      <w:color w:val="000000"/>
                    </w:rPr>
                    <w:t>U盘</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储存空间</w:t>
                  </w:r>
                  <w:r>
                    <w:rPr>
                      <w:rFonts w:ascii="仿宋_GB2312" w:hAnsi="仿宋_GB2312" w:cs="仿宋_GB2312" w:eastAsia="仿宋_GB2312"/>
                      <w:sz w:val="24"/>
                      <w:color w:val="000000"/>
                    </w:rPr>
                    <w:t>32G，提前拷贝项日宣传动画、培训教材电子版等</w:t>
                  </w:r>
                  <w:r>
                    <w:rPr>
                      <w:rFonts w:ascii="仿宋_GB2312" w:hAnsi="仿宋_GB2312" w:cs="仿宋_GB2312" w:eastAsia="仿宋_GB2312"/>
                      <w:sz w:val="24"/>
                      <w:color w:val="000000"/>
                    </w:rPr>
                    <w:t>内容。</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营养包使用手册</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70g A4彩页</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6050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家长知情同意书</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70g A4彩页。</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6050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收货（验收）登记单</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每本</w:t>
                  </w:r>
                  <w:r>
                    <w:rPr>
                      <w:rFonts w:ascii="仿宋_GB2312" w:hAnsi="仿宋_GB2312" w:cs="仿宋_GB2312" w:eastAsia="仿宋_GB2312"/>
                      <w:sz w:val="24"/>
                      <w:color w:val="000000"/>
                    </w:rPr>
                    <w:t>30张，一式四联</w:t>
                  </w:r>
                  <w:r>
                    <w:rPr>
                      <w:rFonts w:ascii="仿宋_GB2312" w:hAnsi="仿宋_GB2312" w:cs="仿宋_GB2312" w:eastAsia="仿宋_GB2312"/>
                      <w:sz w:val="24"/>
                      <w:color w:val="000000"/>
                    </w:rPr>
                    <w:t>（即一张为</w:t>
                  </w:r>
                  <w:r>
                    <w:rPr>
                      <w:rFonts w:ascii="仿宋_GB2312" w:hAnsi="仿宋_GB2312" w:cs="仿宋_GB2312" w:eastAsia="仿宋_GB2312"/>
                      <w:sz w:val="24"/>
                      <w:color w:val="000000"/>
                    </w:rPr>
                    <w:t>一式四联</w:t>
                  </w:r>
                  <w:r>
                    <w:rPr>
                      <w:rFonts w:ascii="仿宋_GB2312" w:hAnsi="仿宋_GB2312" w:cs="仿宋_GB2312" w:eastAsia="仿宋_GB2312"/>
                      <w:sz w:val="24"/>
                      <w:color w:val="000000"/>
                    </w:rPr>
                    <w:t>）</w:t>
                  </w:r>
                  <w:r>
                    <w:rPr>
                      <w:rFonts w:ascii="仿宋_GB2312" w:hAnsi="仿宋_GB2312" w:cs="仿宋_GB2312" w:eastAsia="仿宋_GB2312"/>
                      <w:sz w:val="24"/>
                      <w:color w:val="000000"/>
                    </w:rPr>
                    <w:t>，单面印制，</w:t>
                  </w:r>
                  <w:r>
                    <w:rPr>
                      <w:rFonts w:ascii="仿宋_GB2312" w:hAnsi="仿宋_GB2312" w:cs="仿宋_GB2312" w:eastAsia="仿宋_GB2312"/>
                      <w:sz w:val="24"/>
                      <w:color w:val="000000"/>
                    </w:rPr>
                    <w:t>A4</w:t>
                  </w:r>
                  <w:r>
                    <w:rPr>
                      <w:rFonts w:ascii="仿宋_GB2312" w:hAnsi="仿宋_GB2312" w:cs="仿宋_GB2312" w:eastAsia="仿宋_GB2312"/>
                      <w:sz w:val="24"/>
                      <w:color w:val="000000"/>
                    </w:rPr>
                    <w:t>纸</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营养包接受登记单</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每本</w:t>
                  </w:r>
                  <w:r>
                    <w:rPr>
                      <w:rFonts w:ascii="仿宋_GB2312" w:hAnsi="仿宋_GB2312" w:cs="仿宋_GB2312" w:eastAsia="仿宋_GB2312"/>
                      <w:sz w:val="24"/>
                      <w:color w:val="000000"/>
                    </w:rPr>
                    <w:t>30张，一式</w:t>
                  </w:r>
                  <w:r>
                    <w:rPr>
                      <w:rFonts w:ascii="仿宋_GB2312" w:hAnsi="仿宋_GB2312" w:cs="仿宋_GB2312" w:eastAsia="仿宋_GB2312"/>
                      <w:sz w:val="24"/>
                      <w:color w:val="000000"/>
                    </w:rPr>
                    <w:t>二</w:t>
                  </w:r>
                  <w:r>
                    <w:rPr>
                      <w:rFonts w:ascii="仿宋_GB2312" w:hAnsi="仿宋_GB2312" w:cs="仿宋_GB2312" w:eastAsia="仿宋_GB2312"/>
                      <w:sz w:val="24"/>
                      <w:color w:val="000000"/>
                    </w:rPr>
                    <w:t>联</w:t>
                  </w:r>
                  <w:r>
                    <w:rPr>
                      <w:rFonts w:ascii="仿宋_GB2312" w:hAnsi="仿宋_GB2312" w:cs="仿宋_GB2312" w:eastAsia="仿宋_GB2312"/>
                      <w:sz w:val="24"/>
                      <w:color w:val="000000"/>
                    </w:rPr>
                    <w:t>（即一张为</w:t>
                  </w:r>
                  <w:r>
                    <w:rPr>
                      <w:rFonts w:ascii="仿宋_GB2312" w:hAnsi="仿宋_GB2312" w:cs="仿宋_GB2312" w:eastAsia="仿宋_GB2312"/>
                      <w:sz w:val="24"/>
                      <w:color w:val="000000"/>
                    </w:rPr>
                    <w:t>一式</w:t>
                  </w:r>
                  <w:r>
                    <w:rPr>
                      <w:rFonts w:ascii="仿宋_GB2312" w:hAnsi="仿宋_GB2312" w:cs="仿宋_GB2312" w:eastAsia="仿宋_GB2312"/>
                      <w:sz w:val="24"/>
                      <w:color w:val="000000"/>
                    </w:rPr>
                    <w:t>二</w:t>
                  </w:r>
                  <w:r>
                    <w:rPr>
                      <w:rFonts w:ascii="仿宋_GB2312" w:hAnsi="仿宋_GB2312" w:cs="仿宋_GB2312" w:eastAsia="仿宋_GB2312"/>
                      <w:sz w:val="24"/>
                      <w:color w:val="000000"/>
                    </w:rPr>
                    <w:t>联</w:t>
                  </w:r>
                  <w:r>
                    <w:rPr>
                      <w:rFonts w:ascii="仿宋_GB2312" w:hAnsi="仿宋_GB2312" w:cs="仿宋_GB2312" w:eastAsia="仿宋_GB2312"/>
                      <w:sz w:val="24"/>
                      <w:color w:val="000000"/>
                    </w:rPr>
                    <w:t>）</w:t>
                  </w:r>
                  <w:r>
                    <w:rPr>
                      <w:rFonts w:ascii="仿宋_GB2312" w:hAnsi="仿宋_GB2312" w:cs="仿宋_GB2312" w:eastAsia="仿宋_GB2312"/>
                      <w:sz w:val="24"/>
                      <w:color w:val="000000"/>
                    </w:rPr>
                    <w:t>，单面印制，</w:t>
                  </w:r>
                  <w:r>
                    <w:rPr>
                      <w:rFonts w:ascii="仿宋_GB2312" w:hAnsi="仿宋_GB2312" w:cs="仿宋_GB2312" w:eastAsia="仿宋_GB2312"/>
                      <w:sz w:val="24"/>
                      <w:color w:val="000000"/>
                    </w:rPr>
                    <w:t>A4</w:t>
                  </w:r>
                  <w:r>
                    <w:rPr>
                      <w:rFonts w:ascii="仿宋_GB2312" w:hAnsi="仿宋_GB2312" w:cs="仿宋_GB2312" w:eastAsia="仿宋_GB2312"/>
                      <w:sz w:val="24"/>
                      <w:color w:val="000000"/>
                    </w:rPr>
                    <w:t>纸</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营养包发放出入库登记</w:t>
                  </w:r>
                  <w:r>
                    <w:rPr>
                      <w:rFonts w:ascii="仿宋_GB2312" w:hAnsi="仿宋_GB2312" w:cs="仿宋_GB2312" w:eastAsia="仿宋_GB2312"/>
                      <w:sz w:val="24"/>
                      <w:color w:val="000000"/>
                    </w:rPr>
                    <w:t>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每本</w:t>
                  </w:r>
                  <w:r>
                    <w:rPr>
                      <w:rFonts w:ascii="仿宋_GB2312" w:hAnsi="仿宋_GB2312" w:cs="仿宋_GB2312" w:eastAsia="仿宋_GB2312"/>
                      <w:sz w:val="24"/>
                      <w:color w:val="000000"/>
                    </w:rPr>
                    <w:t>50张，每张10格，A4纸</w:t>
                  </w:r>
                  <w:r>
                    <w:rPr>
                      <w:rFonts w:ascii="仿宋_GB2312" w:hAnsi="仿宋_GB2312" w:cs="仿宋_GB2312" w:eastAsia="仿宋_GB2312"/>
                      <w:sz w:val="24"/>
                      <w:color w:val="000000"/>
                    </w:rPr>
                    <w:t>。</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营养包发放统计报表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每本</w:t>
                  </w:r>
                  <w:r>
                    <w:rPr>
                      <w:rFonts w:ascii="仿宋_GB2312" w:hAnsi="仿宋_GB2312" w:cs="仿宋_GB2312" w:eastAsia="仿宋_GB2312"/>
                      <w:sz w:val="24"/>
                      <w:color w:val="000000"/>
                    </w:rPr>
                    <w:t>50张，每张10格，A4纸</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营养包发放统计表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每本</w:t>
                  </w:r>
                  <w:r>
                    <w:rPr>
                      <w:rFonts w:ascii="仿宋_GB2312" w:hAnsi="仿宋_GB2312" w:cs="仿宋_GB2312" w:eastAsia="仿宋_GB2312"/>
                      <w:sz w:val="24"/>
                      <w:color w:val="000000"/>
                    </w:rPr>
                    <w:t>50张，每张10格，A4纸</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储存容器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能够防潮防暑防漏保藏产品的塑料储存容器（容器材料符合国家市食品安全储藏、环保产品要求，无异味），每个容器储存量大于</w:t>
                  </w:r>
                  <w:r>
                    <w:rPr>
                      <w:rFonts w:ascii="仿宋_GB2312" w:hAnsi="仿宋_GB2312" w:cs="仿宋_GB2312" w:eastAsia="仿宋_GB2312"/>
                      <w:sz w:val="24"/>
                      <w:color w:val="000000"/>
                    </w:rPr>
                    <w:t>20人×2月用量营养包</w:t>
                  </w:r>
                  <w:r>
                    <w:rPr>
                      <w:rFonts w:ascii="仿宋_GB2312" w:hAnsi="仿宋_GB2312" w:cs="仿宋_GB2312" w:eastAsia="仿宋_GB2312"/>
                      <w:sz w:val="24"/>
                      <w:color w:val="000000"/>
                    </w:rPr>
                    <w:t>。</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项目培训</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320人培训一天，请师资3人</w:t>
                  </w:r>
                  <w:r>
                    <w:rPr>
                      <w:rFonts w:ascii="仿宋_GB2312" w:hAnsi="仿宋_GB2312" w:cs="仿宋_GB2312" w:eastAsia="仿宋_GB2312"/>
                      <w:sz w:val="24"/>
                      <w:color w:val="000000"/>
                    </w:rPr>
                    <w:t>。</w:t>
                  </w:r>
                  <w:r>
                    <w:rPr>
                      <w:rFonts w:ascii="仿宋_GB2312" w:hAnsi="仿宋_GB2312" w:cs="仿宋_GB2312" w:eastAsia="仿宋_GB2312"/>
                      <w:sz w:val="24"/>
                      <w:color w:val="000000"/>
                    </w:rPr>
                    <w:t>婴幼儿辅食添加科学喂养及营养包发放、监测评估、基线调查等内容</w:t>
                  </w:r>
                  <w:r>
                    <w:rPr>
                      <w:rFonts w:ascii="仿宋_GB2312" w:hAnsi="仿宋_GB2312" w:cs="仿宋_GB2312" w:eastAsia="仿宋_GB2312"/>
                      <w:sz w:val="24"/>
                      <w:color w:val="000000"/>
                    </w:rPr>
                    <w:t>。</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r>
          </w:tbl>
          <w:p>
            <w:pPr>
              <w:pStyle w:val="null3"/>
              <w:ind w:firstLine="482"/>
            </w:pPr>
            <w:r>
              <w:rPr>
                <w:rFonts w:ascii="仿宋_GB2312" w:hAnsi="仿宋_GB2312" w:cs="仿宋_GB2312" w:eastAsia="仿宋_GB2312"/>
                <w:sz w:val="24"/>
                <w:color w:val="000000"/>
              </w:rPr>
              <w:t>说明：涉及上述要求的宣传资料由采购人提供基本模版、内容，中标人根据基本模版及内容进行设计（所有宣传资料须包含</w:t>
            </w:r>
            <w:r>
              <w:rPr>
                <w:rFonts w:ascii="仿宋_GB2312" w:hAnsi="仿宋_GB2312" w:cs="仿宋_GB2312" w:eastAsia="仿宋_GB2312"/>
                <w:sz w:val="24"/>
                <w:color w:val="000000"/>
              </w:rPr>
              <w:t>“国家免费”字样），中标人报价须包含上述所有产品及配套服务。印制前，中标人必须提供上述产品样本各一套，经采购人确认合格后再印制，上述产品与营养包首次供货时同步发放至各点。</w:t>
            </w:r>
          </w:p>
          <w:p>
            <w:pPr>
              <w:pStyle w:val="null3"/>
              <w:ind w:firstLine="482"/>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、产品验收</w:t>
            </w:r>
          </w:p>
          <w:p>
            <w:pPr>
              <w:pStyle w:val="null3"/>
              <w:ind w:firstLine="480"/>
              <w:jc w:val="both"/>
            </w:pPr>
            <w:r>
              <w:rPr>
                <w:rFonts w:ascii="仿宋_GB2312" w:hAnsi="仿宋_GB2312" w:cs="仿宋_GB2312" w:eastAsia="仿宋_GB2312"/>
                <w:sz w:val="24"/>
                <w:color w:val="000000"/>
              </w:rPr>
              <w:t>按《食品安全国家标准辅食</w:t>
            </w:r>
            <w:r>
              <w:rPr>
                <w:rFonts w:ascii="仿宋_GB2312" w:hAnsi="仿宋_GB2312" w:cs="仿宋_GB2312" w:eastAsia="仿宋_GB2312"/>
                <w:sz w:val="24"/>
                <w:color w:val="000000"/>
              </w:rPr>
              <w:t>营养补充品》（</w:t>
            </w:r>
            <w:r>
              <w:rPr>
                <w:rFonts w:ascii="仿宋_GB2312" w:hAnsi="仿宋_GB2312" w:cs="仿宋_GB2312" w:eastAsia="仿宋_GB2312"/>
                <w:sz w:val="24"/>
                <w:color w:val="000000"/>
              </w:rPr>
              <w:t>GB 22570）</w:t>
            </w:r>
            <w:r>
              <w:rPr>
                <w:rFonts w:ascii="仿宋_GB2312" w:hAnsi="仿宋_GB2312" w:cs="仿宋_GB2312" w:eastAsia="仿宋_GB2312"/>
                <w:sz w:val="24"/>
                <w:color w:val="000000"/>
              </w:rPr>
              <w:t>和项目产品技术要求进行。</w:t>
            </w:r>
          </w:p>
          <w:p>
            <w:pPr>
              <w:pStyle w:val="null3"/>
              <w:jc w:val="both"/>
            </w:pPr>
            <w:r>
              <w:rPr>
                <w:rFonts w:ascii="仿宋_GB2312" w:hAnsi="仿宋_GB2312" w:cs="仿宋_GB2312" w:eastAsia="仿宋_GB2312"/>
                <w:sz w:val="24"/>
                <w:b/>
                <w:color w:val="000000"/>
              </w:rPr>
              <w:t>四、其他事项要求及说明</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项目宣传</w:t>
            </w:r>
            <w:r>
              <w:rPr>
                <w:rFonts w:ascii="仿宋_GB2312" w:hAnsi="仿宋_GB2312" w:cs="仿宋_GB2312" w:eastAsia="仿宋_GB2312"/>
                <w:sz w:val="24"/>
                <w:color w:val="000000"/>
              </w:rPr>
              <w:t>及</w:t>
            </w:r>
            <w:r>
              <w:rPr>
                <w:rFonts w:ascii="仿宋_GB2312" w:hAnsi="仿宋_GB2312" w:cs="仿宋_GB2312" w:eastAsia="仿宋_GB2312"/>
                <w:sz w:val="24"/>
                <w:color w:val="000000"/>
              </w:rPr>
              <w:t>业务培训等共</w:t>
            </w:r>
            <w:r>
              <w:rPr>
                <w:rFonts w:ascii="仿宋_GB2312" w:hAnsi="仿宋_GB2312" w:cs="仿宋_GB2312" w:eastAsia="仿宋_GB2312"/>
                <w:sz w:val="24"/>
                <w:color w:val="000000"/>
              </w:rPr>
              <w:t>12项内容，合计41868.00元，</w:t>
            </w:r>
            <w:r>
              <w:rPr>
                <w:rFonts w:ascii="仿宋_GB2312" w:hAnsi="仿宋_GB2312" w:cs="仿宋_GB2312" w:eastAsia="仿宋_GB2312"/>
                <w:sz w:val="24"/>
                <w:color w:val="000000"/>
              </w:rPr>
              <w:t>该部分为固定金额</w:t>
            </w:r>
            <w:r>
              <w:rPr>
                <w:rFonts w:ascii="仿宋_GB2312" w:hAnsi="仿宋_GB2312" w:cs="仿宋_GB2312" w:eastAsia="仿宋_GB2312"/>
                <w:sz w:val="24"/>
                <w:color w:val="000000"/>
              </w:rPr>
              <w:t>，属于不可竞争性费用，投标人不得对该项费用进行修改、下浮、让利，未按该金额填报的按无效投标处理。</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本项目单价限价：</w:t>
            </w:r>
            <w:r>
              <w:rPr>
                <w:rFonts w:ascii="仿宋_GB2312" w:hAnsi="仿宋_GB2312" w:cs="仿宋_GB2312" w:eastAsia="仿宋_GB2312"/>
                <w:sz w:val="24"/>
                <w:b/>
                <w:color w:val="000000"/>
              </w:rPr>
              <w:t>0.43元/袋。</w:t>
            </w:r>
          </w:p>
          <w:p>
            <w:pPr>
              <w:pStyle w:val="null3"/>
              <w:ind w:firstLine="480"/>
            </w:pPr>
            <w:r>
              <w:rPr>
                <w:rFonts w:ascii="仿宋_GB2312" w:hAnsi="仿宋_GB2312" w:cs="仿宋_GB2312" w:eastAsia="仿宋_GB2312"/>
                <w:sz w:val="24"/>
                <w:b/>
                <w:color w:val="000000"/>
              </w:rPr>
              <w:t>3、产品的各项指标要求均按照国家行业现行最新有效的标准规范执行。</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供货周期一年，具体数量，按采购人需求分次提供，按时送到。</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进度款，第一批货到后，达到付款条件起30个工作日内，支付合同总金额的50.0%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进度款，第二批货到后，达到付款条件起30个工作日内，支付合同总金额的30.0%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进度款，待所有产品供货完毕后，达到付款条件起30个工作日内，支付合同总金额的20.0%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详见附件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提供法定代表⼈授权书（附法定代表⼈、被授权⼈⾝份证复印件）,法定代表⼈直 接参加投标，须提供法定代表⼈⾝份证明及⾝份证复印件；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提供递交投标⽂件截⽌⽇前⼀年内已缴纳的⾄少⼀个⽉的纳税证明或完税证明（任意税种），依法免税的单位应提供相关证明材料；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提供递交投标⽂件截⽌⽇前⼀年内已缴存的⾄少⼀个⽉的社会保障资⾦缴存单据或社保机构开具的社会保险参保缴费情况证明，依法不需要缴纳社会保障资⾦的单位应提供相关证明材料；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查询相关主体信⽤记录</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营养包相关食品生产许可证</w:t>
            </w:r>
          </w:p>
        </w:tc>
        <w:tc>
          <w:tcPr>
            <w:tcW w:type="dxa" w:w="3322"/>
          </w:tcPr>
          <w:p>
            <w:pPr>
              <w:pStyle w:val="null3"/>
            </w:pPr>
            <w:r>
              <w:rPr>
                <w:rFonts w:ascii="仿宋_GB2312" w:hAnsi="仿宋_GB2312" w:cs="仿宋_GB2312" w:eastAsia="仿宋_GB2312"/>
              </w:rPr>
              <w:t>生产厂家投标须出具市场监管部门颁发的营养包相关食品生产许可证，副本(或副页）中载明辅食营养补充品（或辅食营养素补充食品）生产明细，且在有效期内；代理商投标需提供食品经营许可证及上述生产厂家许可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安全管理体系和质量管理体系认证</w:t>
            </w:r>
          </w:p>
        </w:tc>
        <w:tc>
          <w:tcPr>
            <w:tcW w:type="dxa" w:w="3322"/>
          </w:tcPr>
          <w:p>
            <w:pPr>
              <w:pStyle w:val="null3"/>
            </w:pPr>
            <w:r>
              <w:rPr>
                <w:rFonts w:ascii="仿宋_GB2312" w:hAnsi="仿宋_GB2312" w:cs="仿宋_GB2312" w:eastAsia="仿宋_GB2312"/>
              </w:rPr>
              <w:t>投标人应当通过食品安全管理体系（ISO22000或 GB/T22000或HACCP）和质量管理体系（IS09001或GB/T19001）认证，并提供证明文件。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没有因食品安全问题导致产品召回的书面声明</w:t>
            </w:r>
          </w:p>
        </w:tc>
        <w:tc>
          <w:tcPr>
            <w:tcW w:type="dxa" w:w="3322"/>
          </w:tcPr>
          <w:p>
            <w:pPr>
              <w:pStyle w:val="null3"/>
            </w:pPr>
            <w:r>
              <w:rPr>
                <w:rFonts w:ascii="仿宋_GB2312" w:hAnsi="仿宋_GB2312" w:cs="仿宋_GB2312" w:eastAsia="仿宋_GB2312"/>
              </w:rPr>
              <w:t>投标人在投标截止日前一年内，在同类营养包项目供货过程中因存在食品安全问题导致产品一级召回或二级召回的不得参与本次投标。投标人需提供1年内在同类营养包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提供具有履⾏本合同所必须的设备和专业技术能⼒的说明及承诺书；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开标一览表 投标方案.docx 业绩.docx 中小企业声明函 货物参数响应表.xlsx 商务应答表 产品技术参数表 分项报价表.docx 供应商应提交的相关资格证明材料.docx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 的规定。</w:t>
            </w:r>
          </w:p>
        </w:tc>
        <w:tc>
          <w:tcPr>
            <w:tcW w:type="dxa" w:w="1661"/>
          </w:tcPr>
          <w:p>
            <w:pPr>
              <w:pStyle w:val="null3"/>
            </w:pPr>
            <w:r>
              <w:rPr>
                <w:rFonts w:ascii="仿宋_GB2312" w:hAnsi="仿宋_GB2312" w:cs="仿宋_GB2312" w:eastAsia="仿宋_GB2312"/>
              </w:rPr>
              <w:t>开标一览表 投标方案.docx 业绩.docx 中小企业声明函 货物参数响应表.xlsx 商务应答表 产品技术参数表 分项报价表.docx 供应商应提交的相关资格证明材料.docx 投标函 残疾人福利性单位声明函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生产设备自动化</w:t>
            </w:r>
          </w:p>
        </w:tc>
        <w:tc>
          <w:tcPr>
            <w:tcW w:type="dxa" w:w="2492"/>
          </w:tcPr>
          <w:p>
            <w:pPr>
              <w:pStyle w:val="null3"/>
            </w:pPr>
            <w:r>
              <w:rPr>
                <w:rFonts w:ascii="仿宋_GB2312" w:hAnsi="仿宋_GB2312" w:cs="仿宋_GB2312" w:eastAsia="仿宋_GB2312"/>
              </w:rPr>
              <w:t>1、（1分）生产自动化程度高，从营养包原辅料投料至内包装全过程通过密闭管道粉体输送自动完成，得1分；有一定自动化，物料输送采用部分人工方式，得0.5分。 提供项目营养包生产从投料、筛分、混合到分装的流程图及设备照片。2、（1分） 内包装小袋标识的生产日期和批次， 是在生产线上采用激光打码的， 得1分；外盒采用喷墨、喷码等其他不可擦拭修改方式对生厂日期及批号进行标识的， 得 0. 5分。 评价样品， 查看外盒和小袋上信息；可擦拭的不得分。 3、（1分）具有在线检出异物并自动剔除装置，以及重量不合格盒装产品自动剔除装置的生产线，得1分；其他不得分。提供设备照片。</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宣传及培训方案</w:t>
            </w:r>
          </w:p>
        </w:tc>
        <w:tc>
          <w:tcPr>
            <w:tcW w:type="dxa" w:w="2492"/>
          </w:tcPr>
          <w:p>
            <w:pPr>
              <w:pStyle w:val="null3"/>
            </w:pPr>
            <w:r>
              <w:rPr>
                <w:rFonts w:ascii="仿宋_GB2312" w:hAnsi="仿宋_GB2312" w:cs="仿宋_GB2312" w:eastAsia="仿宋_GB2312"/>
              </w:rPr>
              <w:t>根据本项目要求，投标人提供相关宣传、培训方案，列出详细的宣传、培训内容、方式等说明，方案合理周到，内容详细全面，按其响应程度计0.5-2.5分。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产品配送保障</w:t>
            </w:r>
          </w:p>
        </w:tc>
        <w:tc>
          <w:tcPr>
            <w:tcW w:type="dxa" w:w="2492"/>
          </w:tcPr>
          <w:p>
            <w:pPr>
              <w:pStyle w:val="null3"/>
            </w:pPr>
            <w:r>
              <w:rPr>
                <w:rFonts w:ascii="仿宋_GB2312" w:hAnsi="仿宋_GB2312" w:cs="仿宋_GB2312" w:eastAsia="仿宋_GB2312"/>
              </w:rPr>
              <w:t>根据投标人的营养包配送计划和配送方案的合理、详细、周到程度，以及营养包及配套资料安全、及时送达的配送能力和保障措施，按其响应程度综合比得0.5-2.5分。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投标人在开标当日提供双份营养包样品作为评标时的测试样品，即 2份*2盒/份*30袋/盒*12g/袋，每份封样包装，封条上签署质量管理部门负责人并加盖企业公章，一份用于评标现场专家评测使用，另一份由采购方留存备查。 由评标专家横向评价各投标人样品的包装、色泽、气味、溶解性、 口感： 1、（1分）产品色泽：淡黄色或与所添加原料相符的色泽，色泽均匀， 粉末状的，得1分。如颜色暗沉或过于鲜艳，色泽不均，非粉末状得 0分。 2、（1分）产品气味：气味应属于新鲜豆粉味，或有乳粉香气的，得1分。 气味一般的，得0分。 3、（2分）产品冲调性：产品冲调后应能迅速溶解，无结块、无分层的，得2分；冲调性一般的，得1分；如冲调性差，放置后有明显结块或分层严重得0分。（注：冲调过稀在底部有棕色沉淀物为富马酸亚铁，属正常现象） 4、（1分）产品口感：应当口感细腻润滑，无粗糙或砂砾感，甜味适中的，得1分，如口感粗糙或过甜得0分。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纸箱、盒装、小袋装产品包装及外观品质的评价： 1、(1分） 内包装 ：材质符合GB/T 28118的要求， 有第三方检测报告， 未提供选择证明和检测报告的不得分。 2、（2分）外包装：①纸盒：装30袋营养包的纸盒应清洁、牢固、无破 损，而且盒外印刷油墨牢固、不脱落、不褪色、无污染，选择证明或检测结果等优于招标要求的，得1分，否则不得分。②纸箱： 箱体牢固、无凹瘪、无破损和塌陷、无霉变和异味、箱外印刷油墨牢固、不脱落、不褪色、无污染，选择证明或检测结果等优于招标要求的，得1分，否则不得分。 3、（1分）外观品质的评价：由评标专家横向评价投标人样品的外盒和内包装小袋，对盒装产品的外观和纸盒材质厚度、挺度，以及内包装小袋的外观、材质进行总体打分，排名第一的，得1分，排名第二的，得0.5分，其他不得分。 （提供纸箱、盒装产品样品，投标文件中有包装材料选择证明或检测报告等，以及对纸箱、纸盒的强度进行说明）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1、（2分）按照售后服务要求 ，投标人提供的售后服务内容全面，包括但不限于质量问题退换货、缺少补货、应急预案、提供每批次样本、检验报告等内容。方案最佳的得2分，其他酌情减分，未提供的不得分。 2、（1分）中标企业配备专门负责营养包使用过程中24小时电话咨询服务人员，得1分，无配备不得分。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投标人对所投产品技术要求逐条进行明确响应，响应指标每出现一项负偏扣0.5分，扣完为止。 产品类技术指标须提供相关证明材料，服务类技术指标无需提供。证明材料：1、证明材料包括但不限于产品检测报告、产品白皮书、彩页、使用手册等。 2.投标文件技术要求响应情况内容应与证明材料内容一致，当不一致时，按负偏离评审。 3.供应商需对所提供的证明材料的真实性负责，如有虚假，将依法承担相应责任。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1、（2分） 投标人的营养包产品已在市场销售，两年以上得2分，未满两年的得1分，未销售不得分。 （投标人提供开具的市场销售增值税专用发票底联复印件并加盖公章，未提供 的不得分。） 2、（2分） 投标人资助过辅食营养补充品相关的公益项目得2分。 （提供加盖投标人公章的公益项目书或合同书或资助证明(函)等证明性文件(证明性文件中的资助人名称必须与投标人一致)。 3、（2分） 投标人就项目营养包参加食品安全责任保险，参加者得2分，未参加者不得分。 （提供食品安全责任保险单或相关合同书。）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产品配料</w:t>
            </w:r>
          </w:p>
        </w:tc>
        <w:tc>
          <w:tcPr>
            <w:tcW w:type="dxa" w:w="2492"/>
          </w:tcPr>
          <w:p>
            <w:pPr>
              <w:pStyle w:val="null3"/>
            </w:pPr>
            <w:r>
              <w:rPr>
                <w:rFonts w:ascii="仿宋_GB2312" w:hAnsi="仿宋_GB2312" w:cs="仿宋_GB2312" w:eastAsia="仿宋_GB2312"/>
              </w:rPr>
              <w:t>1、（3分）I类速溶豆粉质量及来源要求 提供中标后承诺应用于本项目营养包的I类速溶豆粉相关的证明性采购资料：I类速溶豆粉质量规格书及合格供应商名称；1份既往I类速溶豆粉采购合同和1张上年度I类速溶豆粉采购发票的复印件、3个批次I类速溶豆粉质检报告复印件；在项目营养包中应用的测试报告，提供承诺书，承诺须征得采购人同意后方能更换豆粉生产商。上述资料提供完全者，得3分，提供不全或未提供的不得分。 2、（1分）提供由第三方食品检验机构出具的1年内速溶豆粉非转基因、污染物、农药残留的检测报告：①能提供速溶豆粉生产商和营养包企业委托检验报告的，得1分，速溶豆粉和营养包为同一生产商时，能提供委托检验报告的，得1分；②只提供速溶豆粉企业或 营养包企业的委托检验报告的得0.5分。 3、（2分）提供I类速溶豆粉所使用大豆来源为非转基因的说明文件及证明性文件（如种子来源及其证明，种植基地说明及其证明等）， 该文件由速溶豆粉生产企业提供，并加盖公章，能提供的，得1分； I类速溶豆粉生产企业具备转基因成分检测能力的，提供检测设备照片并加盖公章，提供者的，得1分。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食品安全全程追溯能力</w:t>
            </w:r>
          </w:p>
        </w:tc>
        <w:tc>
          <w:tcPr>
            <w:tcW w:type="dxa" w:w="2492"/>
          </w:tcPr>
          <w:p>
            <w:pPr>
              <w:pStyle w:val="null3"/>
            </w:pPr>
            <w:r>
              <w:rPr>
                <w:rFonts w:ascii="仿宋_GB2312" w:hAnsi="仿宋_GB2312" w:cs="仿宋_GB2312" w:eastAsia="仿宋_GB2312"/>
              </w:rPr>
              <w:t>投标人已经建立并运行电子信息化食品安全全程追溯体系（能够实现食品安全追溯功能，可追溯到每批次产品生产环境、设备运行、关键控制点、配方、投料、赋码、检测、储存、销售、召回 等环节），一盒一码（二维码），该码能自动读取并录入电子信息化系统的，得3分，未提供的得0分。（提供系统的具体方案实现原理及上述要求的 系统进行截图、网址、临时用户名及密码）。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营养包充氮防氧化措施</w:t>
            </w:r>
          </w:p>
        </w:tc>
        <w:tc>
          <w:tcPr>
            <w:tcW w:type="dxa" w:w="2492"/>
          </w:tcPr>
          <w:p>
            <w:pPr>
              <w:pStyle w:val="null3"/>
            </w:pPr>
            <w:r>
              <w:rPr>
                <w:rFonts w:ascii="仿宋_GB2312" w:hAnsi="仿宋_GB2312" w:cs="仿宋_GB2312" w:eastAsia="仿宋_GB2312"/>
              </w:rPr>
              <w:t>对投标人采取的充氮措施进行评价： 1、（1分）自制食品级氮气用于营养包充氮，防产品氧化，并获得食品添加剂氮气生产许可证，得1分，未提供的得0分。（提供相关生产许可证复印件并加盖公章）； 2、（1分）提供营养包残氧量检测结果小于3%的第三方检验机构报告的，得1分，未提供的得0分； 3、（1分）提供应用充氮措施的书面承诺，得1分，未提供的得 0分。 投标时承诺应用充氮措施的，中标后残氧量指标应列入相 应的采购合同，产品抽检时该指标一旦不符合，按不合格产品处置。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生产线异物控制能力</w:t>
            </w:r>
          </w:p>
        </w:tc>
        <w:tc>
          <w:tcPr>
            <w:tcW w:type="dxa" w:w="2492"/>
          </w:tcPr>
          <w:p>
            <w:pPr>
              <w:pStyle w:val="null3"/>
            </w:pPr>
            <w:r>
              <w:rPr>
                <w:rFonts w:ascii="仿宋_GB2312" w:hAnsi="仿宋_GB2312" w:cs="仿宋_GB2312" w:eastAsia="仿宋_GB2312"/>
              </w:rPr>
              <w:t>在营养包生产线上同时安装金属探测器和X光异物探测装置，得2分，只有1种得1分，没有不得分。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型式检验报告</w:t>
            </w:r>
          </w:p>
        </w:tc>
        <w:tc>
          <w:tcPr>
            <w:tcW w:type="dxa" w:w="2492"/>
          </w:tcPr>
          <w:p>
            <w:pPr>
              <w:pStyle w:val="null3"/>
            </w:pPr>
            <w:r>
              <w:rPr>
                <w:rFonts w:ascii="仿宋_GB2312" w:hAnsi="仿宋_GB2312" w:cs="仿宋_GB2312" w:eastAsia="仿宋_GB2312"/>
              </w:rPr>
              <w:t>投标人提供2025年以来由国家认可有资质的食品检验机构出具的型式检验报告，技术指标应符合本项目要求。提供3批次及以上不同批次检验报告(每份报告出具日期间隔不少于5个月)得2分，2批次得1分，1批次不得分。（型式检验报告不符合项目营养包质量规定书中有关规定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技术研发</w:t>
            </w:r>
          </w:p>
        </w:tc>
        <w:tc>
          <w:tcPr>
            <w:tcW w:type="dxa" w:w="2492"/>
          </w:tcPr>
          <w:p>
            <w:pPr>
              <w:pStyle w:val="null3"/>
            </w:pPr>
            <w:r>
              <w:rPr>
                <w:rFonts w:ascii="仿宋_GB2312" w:hAnsi="仿宋_GB2312" w:cs="仿宋_GB2312" w:eastAsia="仿宋_GB2312"/>
              </w:rPr>
              <w:t>1、（2分）所投产品的全项稳定性试验报告。实施稳定性试验批次的营养包中使用的I类速溶豆粉，其质量规格和生产企业应与所投产品一致，提供常温放置试验至少1年的稳定性报告和加速试验至少3个月的报告的，得2分，仅提供常温放置试验至少1年的稳定性报告的，得1分，仅提供加速试验至少3个月的报告得0.5分。 2、（2分）投标人获得国家级和省部级辅食营养补充品相关科研项目成果奖的，得2分（提供项目书、批复文件复印件等证明材料）。未提供不得分。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安全防御设施</w:t>
            </w:r>
          </w:p>
        </w:tc>
        <w:tc>
          <w:tcPr>
            <w:tcW w:type="dxa" w:w="2492"/>
          </w:tcPr>
          <w:p>
            <w:pPr>
              <w:pStyle w:val="null3"/>
            </w:pPr>
            <w:r>
              <w:rPr>
                <w:rFonts w:ascii="仿宋_GB2312" w:hAnsi="仿宋_GB2312" w:cs="仿宋_GB2312" w:eastAsia="仿宋_GB2312"/>
              </w:rPr>
              <w:t>生产车间、仓库(原辅料、包材和成品)有电子门禁， 且厂区、仓库、营养包生产过程有电子监控的得2分 否则不得分。 （提供《食品防御计划》及相应监视器照片）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提供投标人的2023年1月1日至今同类项目业绩，每提供一份类似业绩计3分，满分12分。提供中标通知书和合同复印件。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详见附件：货物参数响应表.xlsx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