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版本号：GRHZDW招标字FW202604-000320260508001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蓝田县2025年教育基础设施建设项目蓝田县厚镇初级中学修缮工程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GRHZDW招标字FW202604-0003</w:t>
      </w:r>
      <w:r>
        <w:br/>
      </w:r>
      <w:r>
        <w:br/>
      </w:r>
      <w:r>
        <w:br/>
      </w:r>
    </w:p>
    <w:p>
      <w:pPr>
        <w:pStyle w:val="null3"/>
        <w:jc w:val="center"/>
        <w:outlineLvl w:val="2"/>
      </w:pPr>
      <w:r>
        <w:rPr>
          <w:rFonts w:ascii="仿宋_GB2312" w:hAnsi="仿宋_GB2312" w:cs="仿宋_GB2312" w:eastAsia="仿宋_GB2312"/>
          <w:sz w:val="28"/>
          <w:b/>
        </w:rPr>
        <w:t>西安市蓝田县教育和科学技术局（本级）</w:t>
      </w:r>
    </w:p>
    <w:p>
      <w:pPr>
        <w:pStyle w:val="null3"/>
        <w:jc w:val="center"/>
        <w:outlineLvl w:val="2"/>
      </w:pPr>
      <w:r>
        <w:rPr>
          <w:rFonts w:ascii="仿宋_GB2312" w:hAnsi="仿宋_GB2312" w:cs="仿宋_GB2312" w:eastAsia="仿宋_GB2312"/>
          <w:sz w:val="28"/>
          <w:b/>
        </w:rPr>
        <w:t>红城国际工程项目管理有限公司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红城国际工程项目管理有限公司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西安市蓝田县教育和科学技术局（本级）</w:t>
      </w:r>
      <w:r>
        <w:rPr>
          <w:rFonts w:ascii="仿宋_GB2312" w:hAnsi="仿宋_GB2312" w:cs="仿宋_GB2312" w:eastAsia="仿宋_GB2312"/>
        </w:rPr>
        <w:t>委托，拟对</w:t>
      </w:r>
      <w:r>
        <w:rPr>
          <w:rFonts w:ascii="仿宋_GB2312" w:hAnsi="仿宋_GB2312" w:cs="仿宋_GB2312" w:eastAsia="仿宋_GB2312"/>
        </w:rPr>
        <w:t>蓝田县2025年教育基础设施建设项目蓝田县厚镇初级中学修缮工程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GRHZDW招标字FW202604-0003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蓝田县2025年教育基础设施建设项目蓝田县厚镇初级中学修缮工程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宿办楼外立面涂料1392㎡，外走廊顶棚涂料222㎡，屋面防水465㎡；食堂修缮304㎡；操场软化4750㎡；校内道路路面面层修复340㎡；新建太阳能路灯15盏。主要功能或目标：对涉及学校进行修缮工程，以达到使用目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采购包1（蓝田县2025年教育基础设施建设项目蓝田县厚镇初级中学修缮工程）：属于专门面向中小企业采购。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 用代码营业执照（事业单位提供事业单位法人证书， 自然人应提供身份证）</w:t>
      </w:r>
    </w:p>
    <w:p>
      <w:pPr>
        <w:pStyle w:val="null3"/>
      </w:pPr>
      <w:r>
        <w:rPr>
          <w:rFonts w:ascii="仿宋_GB2312" w:hAnsi="仿宋_GB2312" w:cs="仿宋_GB2312" w:eastAsia="仿宋_GB2312"/>
        </w:rPr>
        <w:t>2、具有良好的商业信誉和健全的财务会计制度：供应商须提供2024或2025年财务审计报告（成立时间至提交响应文件截止时间不足一年的可提供成立后任意时段的资产负债表），或其基本存款账户开户银行出具的资信证明及基本存款账户开户许可证（开标前一个月内），或财政部门认可的政府采购专业担保机构出具的响应担保函；（以上三种形式的资料提供任何一种即可）</w:t>
      </w:r>
    </w:p>
    <w:p>
      <w:pPr>
        <w:pStyle w:val="null3"/>
      </w:pPr>
      <w:r>
        <w:rPr>
          <w:rFonts w:ascii="仿宋_GB2312" w:hAnsi="仿宋_GB2312" w:cs="仿宋_GB2312" w:eastAsia="仿宋_GB2312"/>
        </w:rPr>
        <w:t>3、具有履行合同所必需的设备和专业技术能力：提供具有履行合同所必需的设备和专业技术能力的承诺函</w:t>
      </w:r>
    </w:p>
    <w:p>
      <w:pPr>
        <w:pStyle w:val="null3"/>
      </w:pPr>
      <w:r>
        <w:rPr>
          <w:rFonts w:ascii="仿宋_GB2312" w:hAnsi="仿宋_GB2312" w:cs="仿宋_GB2312" w:eastAsia="仿宋_GB2312"/>
        </w:rPr>
        <w:t>4、有依法缴纳税收的良好记录：提供投标截止时间前一年内已缴纳的至少一个月纳税证明或完税证明，依法免税的单位应提供相关证明材料；</w:t>
      </w:r>
    </w:p>
    <w:p>
      <w:pPr>
        <w:pStyle w:val="null3"/>
      </w:pPr>
      <w:r>
        <w:rPr>
          <w:rFonts w:ascii="仿宋_GB2312" w:hAnsi="仿宋_GB2312" w:cs="仿宋_GB2312" w:eastAsia="仿宋_GB2312"/>
        </w:rPr>
        <w:t>5、有依法社会保障资金的良好记录：提供投标截止时间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6、书面声明：提供参加本次政府采购活动前三年内在经营活动中没有重大违法记录的书面声明；</w:t>
      </w:r>
    </w:p>
    <w:p>
      <w:pPr>
        <w:pStyle w:val="null3"/>
      </w:pPr>
      <w:r>
        <w:rPr>
          <w:rFonts w:ascii="仿宋_GB2312" w:hAnsi="仿宋_GB2312" w:cs="仿宋_GB2312" w:eastAsia="仿宋_GB2312"/>
        </w:rPr>
        <w:t>7、信用信息：供应商未被列入信用中国网站(www.creditchina.gov.cn)“失信被执行人、重大税收违法案件当事人名单”；不处于中国政府采购(www.ccgp.gov.cn)“政府采购严重违法失信行为信息记录”中的禁止参加政府采购活动期间；</w:t>
      </w:r>
    </w:p>
    <w:p>
      <w:pPr>
        <w:pStyle w:val="null3"/>
      </w:pPr>
      <w:r>
        <w:rPr>
          <w:rFonts w:ascii="仿宋_GB2312" w:hAnsi="仿宋_GB2312" w:cs="仿宋_GB2312" w:eastAsia="仿宋_GB2312"/>
        </w:rPr>
        <w:t>8、法人授权委托书/法人身份证：法定代表人授权书（附法定代表人、被授权人身份证复印件）及被授权人身份证（法定代表人参加投标只需提供本人身份证）；</w:t>
      </w:r>
    </w:p>
    <w:p>
      <w:pPr>
        <w:pStyle w:val="null3"/>
      </w:pPr>
      <w:r>
        <w:rPr>
          <w:rFonts w:ascii="仿宋_GB2312" w:hAnsi="仿宋_GB2312" w:cs="仿宋_GB2312" w:eastAsia="仿宋_GB2312"/>
        </w:rPr>
        <w:t>9、企业资质：供应商具备建筑工程施工总承包三级及以上资质，且具备有效的安全生产许可证；</w:t>
      </w:r>
    </w:p>
    <w:p>
      <w:pPr>
        <w:pStyle w:val="null3"/>
      </w:pPr>
      <w:r>
        <w:rPr>
          <w:rFonts w:ascii="仿宋_GB2312" w:hAnsi="仿宋_GB2312" w:cs="仿宋_GB2312" w:eastAsia="仿宋_GB2312"/>
        </w:rPr>
        <w:t>10、拟派项目经理：供应商拟派项目经理具备建筑工程专业二级及以上注册建造师资格、有效的安全生产考核合格证书 （安B证），在本单位注册且无在建项目（提供承诺书）</w:t>
      </w:r>
    </w:p>
    <w:p>
      <w:pPr>
        <w:pStyle w:val="null3"/>
      </w:pPr>
      <w:r>
        <w:rPr>
          <w:rFonts w:ascii="仿宋_GB2312" w:hAnsi="仿宋_GB2312" w:cs="仿宋_GB2312" w:eastAsia="仿宋_GB2312"/>
        </w:rPr>
        <w:t>11、控股管理关系：单位负责人为同一人或者存在直接控股、管理关系的不同单位，不得参加同一项下的政府采购活动</w:t>
      </w:r>
    </w:p>
    <w:p>
      <w:pPr>
        <w:pStyle w:val="null3"/>
      </w:pPr>
      <w:r>
        <w:rPr>
          <w:rFonts w:ascii="仿宋_GB2312" w:hAnsi="仿宋_GB2312" w:cs="仿宋_GB2312" w:eastAsia="仿宋_GB2312"/>
        </w:rPr>
        <w:t>12、项目为专门面向中小企业项目：供应商须为中型企业或者小型、微型企业或监狱企业或残疾人福利性单位</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西安市蓝田县教育和科学技术局（本级）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蓝田县北环路十字西北角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陈均亮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029-82726883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红城国际工程项目管理有限公司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陕陕西省西安市高新区高新六路21号万象汇6幢1单元7层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梁思源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15129028932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采购包1：1,926,000.00元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按照国家计委颁布《招标代理服务收费管理暂行办法》（计价格[2002]1980号）和国家发展和改革委员会办公厅颁发的《关于招标代理服务收费有关问题的通知》（发改办价格[2003]857号）文件规定执行，不足8千的按8千元收取；招标代理服务费由成交供应商在领取《成交通知书》前一次性支付给招标代理机构。</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西安市蓝田县教育和科学技术局（本级）</w:t>
      </w:r>
      <w:r>
        <w:rPr>
          <w:rFonts w:ascii="仿宋_GB2312" w:hAnsi="仿宋_GB2312" w:cs="仿宋_GB2312" w:eastAsia="仿宋_GB2312"/>
        </w:rPr>
        <w:t>和</w:t>
      </w:r>
      <w:r>
        <w:rPr>
          <w:rFonts w:ascii="仿宋_GB2312" w:hAnsi="仿宋_GB2312" w:cs="仿宋_GB2312" w:eastAsia="仿宋_GB2312"/>
        </w:rPr>
        <w:t>红城国际工程项目管理有限公司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西安市蓝田县教育和科学技术局（本级）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红城国际工程项目管理有限公司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西安市蓝田县教育和科学技术局（本级）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红城国际工程项目管理有限公司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双方自行约定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红城国际工程项目管理有限公司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红城国际工程项目管理有限公司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红城国际工程项目管理有限公司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联系人：梁思源</w:t>
      </w:r>
    </w:p>
    <w:p>
      <w:pPr>
        <w:pStyle w:val="null3"/>
      </w:pPr>
      <w:r>
        <w:rPr>
          <w:rFonts w:ascii="仿宋_GB2312" w:hAnsi="仿宋_GB2312" w:cs="仿宋_GB2312" w:eastAsia="仿宋_GB2312"/>
        </w:rPr>
        <w:t>联系电话：15129028932</w:t>
      </w:r>
    </w:p>
    <w:p>
      <w:pPr>
        <w:pStyle w:val="null3"/>
      </w:pPr>
      <w:r>
        <w:rPr>
          <w:rFonts w:ascii="仿宋_GB2312" w:hAnsi="仿宋_GB2312" w:cs="仿宋_GB2312" w:eastAsia="仿宋_GB2312"/>
        </w:rPr>
        <w:t>地址：陕西省西安市高新区高新六路21号万象汇6幢1单元7层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1,926,000.00</w:t>
      </w:r>
    </w:p>
    <w:p>
      <w:pPr>
        <w:pStyle w:val="null3"/>
      </w:pPr>
      <w:r>
        <w:rPr>
          <w:rFonts w:ascii="仿宋_GB2312" w:hAnsi="仿宋_GB2312" w:cs="仿宋_GB2312" w:eastAsia="仿宋_GB2312"/>
        </w:rPr>
        <w:t>采购包最高限价（元）: 1,600,676.47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蓝田县2025年教育基础设施建设项目蓝田县厚镇初级中学修缮工程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1,926,000.00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标的名称：蓝田县2025年教育基础设施建设项目蓝田县厚镇初级中学修缮工程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9"/>
                <w:color w:val="000000"/>
              </w:rPr>
              <w:t>供应商针对本项目的施工，必须达到国家及行业现行技术规范标准，符合国家及行业验收合格标准；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本项目工程质量等级为符合国家相关验收标准及其配套的规范的要求，并达到合格标准；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 、中标人在施工期间应严格遵守国家、省、市有关防火、安全文明施工、夜间施工等规定,建立规章制度和防护措施,应按安全施工的要求,采取严格科学的安全措施,确保施工安全和第三者的安全,确保工程质量和生产安全。否则, 由此造成的经济和法律责任均由中标人承担。 2 、中标人应配合项目建设进度, 向采购人提供本项目施工组织方案、施工进度计划和施工作业计划，并签订施工安全责任书。3、采购人只提供电源、水源。供应商在施工期间不得破坏原有建筑。</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（一）项目地点：采购人指定地点。 （二）项目工期：合同签订后60日历天内完成竣工验收，具体开工日期以实际开工日期为准。 （三）质量目标： 合格（符合国家、行业有关规范和相关政策）。 （四）付款方式：（1）结算单位：采购人结算，在付款前，必须开具全额（等额）增值税发票给采购人。（2）付款方式：双方签订合同后，支付合同总金额的40%预付款，工程竣工验收合格付至工程款的90%，待工程审计结束付清至100%。 （五）质量保修期： （1）屋面防水工程、有防水要求的卫生间、房间和外墙面的防渗为 5 年； （2）装修工程为 3 年； （3）电气管线、给排水管道、设备安装工程为 2 年； （4）给排水设施、道路等配套工程为 2 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一、响应函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供应商须提供2024或2025年财务审计报告（成立时间至提交响应文件截止时间不足一年的可提供成立后任意时段的资产负债表），或其基本存款账户开户银行出具的资信证明及基本存款账户开户许可证（开标前一个月内），或财政部门认可的政府采购专业担保机构出具的响应担保函；（以上三种形式的资料提供任何一种即可）</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一、响应函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 用代码营业执照（事业单位提供事业单位法人证书， 自然人应提供身份证）</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供应商须提供2024或2025年财务审计报告（成立时间至提交响应文件截止时间不足一年的可提供成立后任意时段的资产负债表），或其基本存款账户开户银行出具的资信证明及基本存款账户开户许可证（开标前一个月内），或财政部门认可的政府采购专业担保机构出具的响应担保函；（以上三种形式的资料提供任何一种即可）</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提供投标截止时间前一年内已缴纳的至少一个月纳税证明或完税证明，依法免税的单位应提供相关证明材料；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有依法社会保障资金的良好记录</w:t>
            </w:r>
          </w:p>
        </w:tc>
        <w:tc>
          <w:tcPr>
            <w:tcW w:type="dxa" w:w="3322"/>
          </w:tcPr>
          <w:p>
            <w:pPr>
              <w:pStyle w:val="null3"/>
            </w:pPr>
            <w:r>
              <w:rPr>
                <w:rFonts w:ascii="仿宋_GB2312" w:hAnsi="仿宋_GB2312" w:cs="仿宋_GB2312" w:eastAsia="仿宋_GB2312"/>
              </w:rPr>
              <w:t>提供投标截止时间前一年内已缴存的至少一个月的社会保障资金缴存单据或社保机构开具的社会保险参保缴费情况证明，依法不需要缴纳社会保障资金的单位应提供相关证明材料；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供应商未被列入信用中国网站(www.creditchina.gov.cn)“失信被执行人、重大税收违法案件当事人名单”；不处于中国政府采购(www.ccgp.gov.cn)“政府采购严重违法失信行为信息记录”中的禁止参加政府采购活动期间；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法人授权委托书/法人身份证</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法定代表人授权书（附法定代表人、被授权人身份证复印件）及被授权人身份证（法定代表人参加投标只需提供本人身份证）；</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供应商具备建筑工程施工总承包三级及以上资质，且具备有效的安全生产许可证；</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供应商拟派项目经理具备建筑工程专业二级及以上注册建造师资格、有效的安全生产考核合格证书 （安B证），在本单位注册且无在建项目（提供承诺书）</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单位负责人为同一人或者存在直接控股、管理关系的不同单位，不得参加同一项下的政府采购活动</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项目为专门面向中小企业项目</w:t>
            </w:r>
          </w:p>
        </w:tc>
        <w:tc>
          <w:tcPr>
            <w:tcW w:type="dxa" w:w="3322"/>
          </w:tcPr>
          <w:p>
            <w:pPr>
              <w:pStyle w:val="null3"/>
            </w:pPr>
            <w:r>
              <w:rPr>
                <w:rFonts w:ascii="仿宋_GB2312" w:hAnsi="仿宋_GB2312" w:cs="仿宋_GB2312" w:eastAsia="仿宋_GB2312"/>
              </w:rPr>
              <w:t>供应商须为中型企业或者小型、微型企业或监狱企业或残疾人福利性单位</w:t>
            </w:r>
          </w:p>
        </w:tc>
        <w:tc>
          <w:tcPr>
            <w:tcW w:type="dxa" w:w="1661"/>
          </w:tcPr>
          <w:p>
            <w:pPr>
              <w:pStyle w:val="null3"/>
            </w:pPr>
            <w:r>
              <w:rPr>
                <w:rFonts w:ascii="仿宋_GB2312" w:hAnsi="仿宋_GB2312" w:cs="仿宋_GB2312" w:eastAsia="仿宋_GB2312"/>
              </w:rPr>
              <w:t>四、资格证明文件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标的清单 三、已标价工程量清单 二、报价函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响应文件上法定代表人或其委托代理人的签字或印章齐全并加盖单位公章</w:t>
            </w:r>
          </w:p>
        </w:tc>
        <w:tc>
          <w:tcPr>
            <w:tcW w:type="dxa" w:w="1661"/>
          </w:tcPr>
          <w:p>
            <w:pPr>
              <w:pStyle w:val="null3"/>
            </w:pPr>
            <w:r>
              <w:rPr>
                <w:rFonts w:ascii="仿宋_GB2312" w:hAnsi="仿宋_GB2312" w:cs="仿宋_GB2312" w:eastAsia="仿宋_GB2312"/>
              </w:rPr>
              <w:t>九、供应商类似项目业绩一览表 五、技术服务方案 四、资格证明文件 中小企业声明函 七、主要人员简历表 响应文件封面 一、响应函 残疾人福利性单位声明函 十、其他事项 三、已标价工程量清单 标的清单 二、报价函 八、技术服务合同条款及其他商务要求应答表 监狱企业的证明文件 六、项目管理机构组成表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报价不得超过采购预算和最高限价</w:t>
            </w:r>
          </w:p>
        </w:tc>
        <w:tc>
          <w:tcPr>
            <w:tcW w:type="dxa" w:w="1661"/>
          </w:tcPr>
          <w:p>
            <w:pPr>
              <w:pStyle w:val="null3"/>
            </w:pPr>
            <w:r>
              <w:rPr>
                <w:rFonts w:ascii="仿宋_GB2312" w:hAnsi="仿宋_GB2312" w:cs="仿宋_GB2312" w:eastAsia="仿宋_GB2312"/>
              </w:rPr>
              <w:t>三、已标价工程量清单 标的清单 二、报价函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响应内容应满足招标文件的商务、技术等实质性要求，不存在不符合采购文件规定的情形。</w:t>
            </w:r>
          </w:p>
        </w:tc>
        <w:tc>
          <w:tcPr>
            <w:tcW w:type="dxa" w:w="1661"/>
          </w:tcPr>
          <w:p>
            <w:pPr>
              <w:pStyle w:val="null3"/>
            </w:pPr>
            <w:r>
              <w:rPr>
                <w:rFonts w:ascii="仿宋_GB2312" w:hAnsi="仿宋_GB2312" w:cs="仿宋_GB2312" w:eastAsia="仿宋_GB2312"/>
              </w:rPr>
              <w:t>一、响应函 四、资格证明文件 八、技术服务合同条款及其他商务要求应答表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供应商提供2023年1月1日至今(以签订合同或中标通知书落款时间为准）的类似业绩，每份业绩得2.5分，最高得5分。注：须提供合同复印件或中标通知书，否则应视为无效业绩。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内容至少包括①项目成员配置清单②配备人员的资质证书及经验③人员组织结构与岗位职责④人员响应时间； 二、评审标准：1 、完善性：方案必须全面，对评审内容中的各项要求有详细阐述；2 、可实施性：切合本项目实际情况，提出步骤清晰、合理的方案；3 、针对性：方案能够紧扣项目实际情况，内容科学合理。 上述4项评审内容全部满足评审标准得8分，每有一个评审内容缺项扣2分，每有一项评审内容存在缺陷，扣0.5分，扣完为止，不计负分。（项目组配备人员须提供相关人员证书等） 说明：缺陷是指内容没有结合项目实际需求、虽有内容但不完善、内容表述前后不一致、套用其他项目方案或与项目需求不匹配及其 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五、技术服务方案</w:t>
            </w:r>
          </w:p>
          <w:p>
            <w:pPr>
              <w:pStyle w:val="null3"/>
            </w:pPr>
            <w:r>
              <w:rPr>
                <w:rFonts w:ascii="仿宋_GB2312" w:hAnsi="仿宋_GB2312" w:cs="仿宋_GB2312" w:eastAsia="仿宋_GB2312"/>
              </w:rPr>
              <w:t>六、项目管理机构组成表</w:t>
            </w:r>
          </w:p>
          <w:p>
            <w:pPr>
              <w:pStyle w:val="null3"/>
            </w:pPr>
            <w:r>
              <w:rPr>
                <w:rFonts w:ascii="仿宋_GB2312" w:hAnsi="仿宋_GB2312" w:cs="仿宋_GB2312" w:eastAsia="仿宋_GB2312"/>
              </w:rPr>
              <w:t>七、主要人员简历表</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五、技术服务方案</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一、评审内容：内容至少包括①安全生产管理制度；②配置安全组织机构；③安全隐患排查、整改制度；④应急救援方案等。 二、评审标准：1、完善性：方案必须全面，对评审内容中的各项要求有详细阐述；2、可实施性：切合本项目实际情况，提出步骤清晰、合理的 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五、技术服务方案</w:t>
            </w:r>
          </w:p>
        </w:tc>
      </w:tr>
      <w:tr>
        <w:tc>
          <w:tcPr>
            <w:tcW w:type="dxa" w:w="831"/>
            <w:vMerge/>
          </w:tcPr>
          <w:p/>
        </w:tc>
        <w:tc>
          <w:tcPr>
            <w:tcW w:type="dxa" w:w="1661"/>
          </w:tcPr>
          <w:p>
            <w:pPr>
              <w:pStyle w:val="null3"/>
            </w:pPr>
            <w:r>
              <w:rPr>
                <w:rFonts w:ascii="仿宋_GB2312" w:hAnsi="仿宋_GB2312" w:cs="仿宋_GB2312" w:eastAsia="仿宋_GB2312"/>
              </w:rPr>
              <w:t>保证文明施工的技术组织措施和环境保护措施</w:t>
            </w:r>
          </w:p>
        </w:tc>
        <w:tc>
          <w:tcPr>
            <w:tcW w:type="dxa" w:w="2492"/>
          </w:tcPr>
          <w:p>
            <w:pPr>
              <w:pStyle w:val="null3"/>
            </w:pPr>
            <w:r>
              <w:rPr>
                <w:rFonts w:ascii="仿宋_GB2312" w:hAnsi="仿宋_GB2312" w:cs="仿宋_GB2312" w:eastAsia="仿宋_GB2312"/>
              </w:rPr>
              <w:t>一、评审内容：内容至少包括①文明施工及环境保护管理制度； ②防尘降噪措施；③节能减排措施；④治污减霾措施；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五、技术服务方案</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内容至少包括①施工进度安排；②工期目标控制和保证措施； ③材料供应措施； ④成品、半成品保护监管措施等。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五、技术服务方案</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施工方案内容至少包括：①施工总平面布置图、施工进度表或施工网络图；②施工准备及进度安排;③施工方法；④重点难点工程分析及解决措施；⑤影响正常施工外在因素分析及对应预案等。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五、技术服务方案</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 内容至少包括①施工机械配置计划； ②施工材料投入计划；③施工机械的维护保养和材料的贮存； 二、评审标准：1、完善性：方案必须全面，对评审内容中的各项要求有详细阐述；2、可实施性：切合本项目实际情况，提出步骤清晰、合理的方案；3、针对性：方案能够紧扣项目实际情况，内容科学合理。 上述3项评审内容全部满足评审标准得6分，每有一个评审内容缺项扣2分，每有一项评审内容存在缺陷，扣0.5分，扣完为止，不计负分。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五、技术服务方案</w:t>
            </w:r>
          </w:p>
        </w:tc>
      </w:tr>
      <w:tr>
        <w:tc>
          <w:tcPr>
            <w:tcW w:type="dxa" w:w="831"/>
            <w:vMerge/>
          </w:tcPr>
          <w:p/>
        </w:tc>
        <w:tc>
          <w:tcPr>
            <w:tcW w:type="dxa" w:w="1661"/>
          </w:tcPr>
          <w:p>
            <w:pPr>
              <w:pStyle w:val="null3"/>
            </w:pPr>
            <w:r>
              <w:rPr>
                <w:rFonts w:ascii="仿宋_GB2312" w:hAnsi="仿宋_GB2312" w:cs="仿宋_GB2312" w:eastAsia="仿宋_GB2312"/>
              </w:rPr>
              <w:t>劳动力安排</w:t>
            </w:r>
          </w:p>
        </w:tc>
        <w:tc>
          <w:tcPr>
            <w:tcW w:type="dxa" w:w="2492"/>
          </w:tcPr>
          <w:p>
            <w:pPr>
              <w:pStyle w:val="null3"/>
            </w:pPr>
            <w:r>
              <w:rPr>
                <w:rFonts w:ascii="仿宋_GB2312" w:hAnsi="仿宋_GB2312" w:cs="仿宋_GB2312" w:eastAsia="仿宋_GB2312"/>
              </w:rPr>
              <w:t>一、评审内容：内容至少包括①劳动力投入计划②劳动力保障措施；二、评审标准： 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 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五、技术服务方案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价格分采用低价优先法计算，即满足磋商文件要求且磋商价格最低的磋商报价为评审基准价，其价格分为满分。其他供应商的价格分统一按照下列公式计算：磋商报价得分=（评标基准价/磋商评审价）×30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二、报价函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三、已标价工程量清单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详见附件：一、响应函</w:t>
      </w:r>
    </w:p>
    <w:p>
      <w:pPr>
        <w:pStyle w:val="null3"/>
        <w:ind w:firstLine="960"/>
      </w:pPr>
      <w:r>
        <w:rPr>
          <w:rFonts w:ascii="仿宋_GB2312" w:hAnsi="仿宋_GB2312" w:cs="仿宋_GB2312" w:eastAsia="仿宋_GB2312"/>
        </w:rPr>
        <w:t>详见附件：二、报价函</w:t>
      </w:r>
    </w:p>
    <w:p>
      <w:pPr>
        <w:pStyle w:val="null3"/>
        <w:ind w:firstLine="960"/>
      </w:pPr>
      <w:r>
        <w:rPr>
          <w:rFonts w:ascii="仿宋_GB2312" w:hAnsi="仿宋_GB2312" w:cs="仿宋_GB2312" w:eastAsia="仿宋_GB2312"/>
        </w:rPr>
        <w:t>详见附件：三、已标价工程量清单</w:t>
      </w:r>
    </w:p>
    <w:p>
      <w:pPr>
        <w:pStyle w:val="null3"/>
        <w:ind w:firstLine="960"/>
      </w:pPr>
      <w:r>
        <w:rPr>
          <w:rFonts w:ascii="仿宋_GB2312" w:hAnsi="仿宋_GB2312" w:cs="仿宋_GB2312" w:eastAsia="仿宋_GB2312"/>
        </w:rPr>
        <w:t>详见附件：四、资格证明文件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详见附件：五、技术服务方案</w:t>
      </w:r>
    </w:p>
    <w:p>
      <w:pPr>
        <w:pStyle w:val="null3"/>
        <w:ind w:firstLine="960"/>
      </w:pPr>
      <w:r>
        <w:rPr>
          <w:rFonts w:ascii="仿宋_GB2312" w:hAnsi="仿宋_GB2312" w:cs="仿宋_GB2312" w:eastAsia="仿宋_GB2312"/>
        </w:rPr>
        <w:t>详见附件：六、项目管理机构组成表</w:t>
      </w:r>
    </w:p>
    <w:p>
      <w:pPr>
        <w:pStyle w:val="null3"/>
        <w:ind w:firstLine="960"/>
      </w:pPr>
      <w:r>
        <w:rPr>
          <w:rFonts w:ascii="仿宋_GB2312" w:hAnsi="仿宋_GB2312" w:cs="仿宋_GB2312" w:eastAsia="仿宋_GB2312"/>
        </w:rPr>
        <w:t>详见附件：七、主要人员简历表</w:t>
      </w:r>
    </w:p>
    <w:p>
      <w:pPr>
        <w:pStyle w:val="null3"/>
        <w:ind w:firstLine="960"/>
      </w:pPr>
      <w:r>
        <w:rPr>
          <w:rFonts w:ascii="仿宋_GB2312" w:hAnsi="仿宋_GB2312" w:cs="仿宋_GB2312" w:eastAsia="仿宋_GB2312"/>
        </w:rPr>
        <w:t>详见附件：八、技术服务合同条款及其他商务要求应答表</w:t>
      </w:r>
    </w:p>
    <w:p>
      <w:pPr>
        <w:pStyle w:val="null3"/>
        <w:ind w:firstLine="960"/>
      </w:pPr>
      <w:r>
        <w:rPr>
          <w:rFonts w:ascii="仿宋_GB2312" w:hAnsi="仿宋_GB2312" w:cs="仿宋_GB2312" w:eastAsia="仿宋_GB2312"/>
        </w:rPr>
        <w:t>详见附件：九、供应商类似项目业绩一览表</w:t>
      </w:r>
    </w:p>
    <w:p>
      <w:pPr>
        <w:pStyle w:val="null3"/>
        <w:ind w:firstLine="960"/>
      </w:pPr>
      <w:r>
        <w:rPr>
          <w:rFonts w:ascii="仿宋_GB2312" w:hAnsi="仿宋_GB2312" w:cs="仿宋_GB2312" w:eastAsia="仿宋_GB2312"/>
        </w:rPr>
        <w:t>详见附件：十、其他事项</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详见附件：施工合同（参考模板）.docx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