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E64AF">
      <w:pPr>
        <w:spacing w:after="240" w:afterLines="100" w:line="400" w:lineRule="exact"/>
        <w:jc w:val="center"/>
        <w:rPr>
          <w:rFonts w:hint="eastAsia" w:ascii="宋体" w:hAnsi="宋体" w:cs="Arial"/>
          <w:color w:val="auto"/>
          <w:sz w:val="28"/>
          <w:szCs w:val="28"/>
        </w:rPr>
      </w:pPr>
      <w:bookmarkStart w:id="14" w:name="_GoBack"/>
      <w:bookmarkEnd w:id="14"/>
      <w:r>
        <w:rPr>
          <w:rFonts w:hint="eastAsia" w:ascii="宋体" w:hAnsi="宋体" w:cs="Arial"/>
          <w:b/>
          <w:color w:val="auto"/>
          <w:sz w:val="28"/>
          <w:szCs w:val="28"/>
        </w:rPr>
        <w:t>第一部分    协议书</w:t>
      </w:r>
    </w:p>
    <w:p w14:paraId="1DF17DBB">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发包人（全称）：</w:t>
      </w:r>
      <w:r>
        <w:rPr>
          <w:rFonts w:hint="eastAsia" w:ascii="宋体" w:hAnsi="宋体" w:cs="Arial"/>
          <w:color w:val="auto"/>
          <w:sz w:val="24"/>
          <w:u w:val="single"/>
        </w:rPr>
        <w:t xml:space="preserve">     蓝田县教育和科学技术局     </w:t>
      </w:r>
    </w:p>
    <w:p w14:paraId="54593C47">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承包人（全称）：</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w:t>
      </w:r>
    </w:p>
    <w:p w14:paraId="6D86E61A">
      <w:pPr>
        <w:spacing w:line="400" w:lineRule="exact"/>
        <w:ind w:firstLine="480" w:firstLineChars="200"/>
        <w:jc w:val="left"/>
        <w:rPr>
          <w:rFonts w:hint="eastAsia" w:ascii="宋体" w:hAnsi="宋体" w:cs="Arial"/>
          <w:color w:val="auto"/>
          <w:sz w:val="24"/>
        </w:rPr>
      </w:pPr>
      <w:r>
        <w:rPr>
          <w:rFonts w:hint="eastAsia" w:ascii="宋体" w:hAnsi="宋体" w:cs="Arial"/>
          <w:color w:val="auto"/>
          <w:sz w:val="24"/>
        </w:rPr>
        <w:t>依照《中华人民共和国</w:t>
      </w:r>
      <w:r>
        <w:rPr>
          <w:rFonts w:hint="eastAsia" w:ascii="宋体" w:hAnsi="宋体" w:eastAsia="宋体" w:cs="Arial"/>
          <w:color w:val="auto"/>
          <w:sz w:val="24"/>
          <w:lang w:val="en-US" w:eastAsia="zh-CN"/>
        </w:rPr>
        <w:t>民法典</w:t>
      </w:r>
      <w:r>
        <w:rPr>
          <w:rFonts w:hint="eastAsia" w:ascii="宋体" w:hAnsi="宋体" w:cs="Arial"/>
          <w:color w:val="auto"/>
          <w:sz w:val="24"/>
        </w:rPr>
        <w:t>》、《中华人民共和国建筑法》及其他有关法律、行政法规，遵循平等、自愿、公平和诚实信用的原则，双方就本建设工程施工协商一致，订立本合同。</w:t>
      </w:r>
    </w:p>
    <w:p w14:paraId="50371E67">
      <w:pPr>
        <w:spacing w:line="4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一、工程概况</w:t>
      </w:r>
    </w:p>
    <w:p w14:paraId="72258F25">
      <w:pPr>
        <w:spacing w:line="400" w:lineRule="exact"/>
        <w:ind w:left="1679" w:leftChars="228" w:hanging="1200" w:hangingChars="500"/>
        <w:jc w:val="left"/>
        <w:rPr>
          <w:rFonts w:hint="default" w:ascii="宋体" w:hAnsi="宋体" w:cs="Arial"/>
          <w:color w:val="auto"/>
          <w:sz w:val="24"/>
          <w:u w:val="single"/>
          <w:lang w:val="en-US"/>
        </w:rPr>
      </w:pPr>
      <w:r>
        <w:rPr>
          <w:rFonts w:hint="eastAsia" w:ascii="宋体" w:hAnsi="宋体" w:cs="Arial"/>
          <w:color w:val="auto"/>
          <w:sz w:val="24"/>
        </w:rPr>
        <w:t>工程名称：</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p>
    <w:p w14:paraId="4219F850">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工程地点：</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p>
    <w:p w14:paraId="240F8DF0">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结构形式：</w:t>
      </w:r>
      <w:r>
        <w:rPr>
          <w:rFonts w:hint="eastAsia" w:ascii="宋体" w:hAnsi="宋体" w:cs="Arial"/>
          <w:color w:val="auto"/>
          <w:sz w:val="24"/>
          <w:u w:val="single"/>
        </w:rPr>
        <w:t xml:space="preserve">     /    </w:t>
      </w:r>
      <w:r>
        <w:rPr>
          <w:rFonts w:hint="eastAsia" w:ascii="宋体" w:hAnsi="宋体" w:cs="Arial"/>
          <w:color w:val="auto"/>
          <w:sz w:val="24"/>
        </w:rPr>
        <w:t xml:space="preserve">  层数：</w:t>
      </w:r>
      <w:r>
        <w:rPr>
          <w:rFonts w:hint="eastAsia" w:ascii="宋体" w:hAnsi="宋体" w:cs="Arial"/>
          <w:color w:val="auto"/>
          <w:sz w:val="24"/>
          <w:u w:val="single"/>
        </w:rPr>
        <w:t xml:space="preserve">    /    </w:t>
      </w:r>
      <w:r>
        <w:rPr>
          <w:rFonts w:hint="eastAsia" w:ascii="宋体" w:hAnsi="宋体" w:cs="Arial"/>
          <w:color w:val="auto"/>
          <w:sz w:val="24"/>
        </w:rPr>
        <w:t xml:space="preserve">  建筑面积：</w:t>
      </w:r>
      <w:r>
        <w:rPr>
          <w:rFonts w:hint="eastAsia" w:ascii="宋体" w:hAnsi="宋体" w:cs="Arial"/>
          <w:color w:val="auto"/>
          <w:sz w:val="24"/>
          <w:u w:val="single"/>
        </w:rPr>
        <w:t xml:space="preserve">    /     </w:t>
      </w:r>
      <w:r>
        <w:rPr>
          <w:rFonts w:hint="eastAsia" w:ascii="宋体" w:hAnsi="宋体" w:cs="Arial"/>
          <w:color w:val="auto"/>
          <w:sz w:val="24"/>
        </w:rPr>
        <w:t xml:space="preserve"> </w:t>
      </w:r>
    </w:p>
    <w:p w14:paraId="1D5C97B4">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工程立项文号：</w:t>
      </w:r>
      <w:r>
        <w:rPr>
          <w:rFonts w:hint="eastAsia" w:ascii="宋体" w:hAnsi="宋体" w:cs="Arial"/>
          <w:color w:val="auto"/>
          <w:sz w:val="24"/>
          <w:u w:val="single"/>
        </w:rPr>
        <w:t xml:space="preserve">                                             </w:t>
      </w:r>
    </w:p>
    <w:p w14:paraId="2628FC15">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资金来源：</w:t>
      </w:r>
      <w:r>
        <w:rPr>
          <w:rFonts w:hint="eastAsia" w:ascii="宋体" w:hAnsi="宋体" w:cs="Arial"/>
          <w:color w:val="auto"/>
          <w:sz w:val="24"/>
          <w:u w:val="single"/>
        </w:rPr>
        <w:t xml:space="preserve">  政府投资   </w:t>
      </w:r>
    </w:p>
    <w:p w14:paraId="3B320AF0">
      <w:pPr>
        <w:spacing w:line="400" w:lineRule="exact"/>
        <w:ind w:left="1684" w:leftChars="228" w:hanging="1205" w:hangingChars="500"/>
        <w:jc w:val="left"/>
        <w:rPr>
          <w:rFonts w:hint="eastAsia" w:ascii="宋体" w:hAnsi="宋体" w:eastAsia="宋体" w:cs="Arial"/>
          <w:b/>
          <w:bCs/>
          <w:color w:val="auto"/>
          <w:sz w:val="24"/>
          <w:lang w:val="en-US" w:eastAsia="zh-CN"/>
        </w:rPr>
      </w:pPr>
      <w:r>
        <w:rPr>
          <w:rFonts w:hint="eastAsia" w:ascii="宋体" w:hAnsi="宋体" w:eastAsia="宋体" w:cs="Arial"/>
          <w:b/>
          <w:bCs/>
          <w:color w:val="auto"/>
          <w:sz w:val="24"/>
          <w:lang w:val="en-US" w:eastAsia="zh-CN"/>
        </w:rPr>
        <w:t>二、工程承包范围</w:t>
      </w:r>
    </w:p>
    <w:p w14:paraId="4837EC2E">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承包范围：</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图纸及清单内容                            </w:t>
      </w:r>
    </w:p>
    <w:p w14:paraId="42BD4EDC">
      <w:pPr>
        <w:spacing w:line="400" w:lineRule="exact"/>
        <w:ind w:firstLine="480" w:firstLineChars="200"/>
        <w:jc w:val="left"/>
        <w:rPr>
          <w:rFonts w:hint="default" w:ascii="宋体" w:hAnsi="宋体" w:eastAsia="宋体" w:cs="Arial"/>
          <w:color w:val="auto"/>
          <w:sz w:val="24"/>
          <w:u w:val="single"/>
          <w:lang w:val="en-US" w:eastAsia="zh-CN"/>
        </w:rPr>
      </w:pPr>
      <w:r>
        <w:rPr>
          <w:rFonts w:hint="eastAsia" w:ascii="宋体" w:hAnsi="宋体" w:cs="Arial"/>
          <w:color w:val="auto"/>
          <w:sz w:val="24"/>
          <w:u w:val="none"/>
          <w:lang w:val="en-US" w:eastAsia="zh-CN"/>
        </w:rPr>
        <w:t>不包括的工程范围：</w:t>
      </w:r>
      <w:r>
        <w:rPr>
          <w:rFonts w:hint="eastAsia" w:ascii="宋体" w:hAnsi="宋体" w:cs="Arial"/>
          <w:color w:val="auto"/>
          <w:sz w:val="24"/>
          <w:u w:val="single"/>
          <w:lang w:val="en-US" w:eastAsia="zh-CN"/>
        </w:rPr>
        <w:t xml:space="preserve">                 /                   </w:t>
      </w:r>
    </w:p>
    <w:p w14:paraId="59C83968">
      <w:pPr>
        <w:spacing w:line="4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lang w:val="en-US" w:eastAsia="zh-CN"/>
        </w:rPr>
        <w:t>三</w:t>
      </w:r>
      <w:r>
        <w:rPr>
          <w:rFonts w:hint="eastAsia" w:ascii="宋体" w:hAnsi="宋体" w:cs="Arial"/>
          <w:b/>
          <w:color w:val="auto"/>
          <w:sz w:val="24"/>
        </w:rPr>
        <w:t>、合同工期</w:t>
      </w:r>
    </w:p>
    <w:p w14:paraId="121B7ED0">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总日历天数</w:t>
      </w:r>
      <w:r>
        <w:rPr>
          <w:rFonts w:hint="eastAsia" w:ascii="宋体" w:hAnsi="宋体" w:cs="Arial"/>
          <w:color w:val="auto"/>
          <w:sz w:val="24"/>
          <w:u w:val="single"/>
        </w:rPr>
        <w:t xml:space="preserve">  60  </w:t>
      </w:r>
      <w:r>
        <w:rPr>
          <w:rFonts w:hint="eastAsia" w:ascii="宋体" w:hAnsi="宋体" w:cs="Arial"/>
          <w:color w:val="auto"/>
          <w:sz w:val="24"/>
        </w:rPr>
        <w:t>天。</w:t>
      </w:r>
    </w:p>
    <w:p w14:paraId="765EB083">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开工日期：</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年</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月</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日  </w:t>
      </w:r>
    </w:p>
    <w:p w14:paraId="18AA2091">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竣工日期：</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年</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月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日  </w:t>
      </w:r>
    </w:p>
    <w:p w14:paraId="597D870A">
      <w:pPr>
        <w:spacing w:line="4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lang w:val="en-US" w:eastAsia="zh-CN"/>
        </w:rPr>
        <w:t>四</w:t>
      </w:r>
      <w:r>
        <w:rPr>
          <w:rFonts w:hint="eastAsia" w:ascii="宋体" w:hAnsi="宋体" w:cs="Arial"/>
          <w:b/>
          <w:color w:val="auto"/>
          <w:sz w:val="24"/>
        </w:rPr>
        <w:t>、质量标准</w:t>
      </w:r>
    </w:p>
    <w:p w14:paraId="29CC8970">
      <w:pPr>
        <w:spacing w:line="400" w:lineRule="exact"/>
        <w:ind w:firstLine="482" w:firstLineChars="200"/>
        <w:jc w:val="left"/>
        <w:rPr>
          <w:rFonts w:hint="eastAsia" w:ascii="宋体" w:hAnsi="宋体" w:cs="Arial"/>
          <w:color w:val="auto"/>
          <w:sz w:val="24"/>
          <w:u w:val="single"/>
        </w:rPr>
      </w:pPr>
      <w:r>
        <w:rPr>
          <w:rFonts w:hint="eastAsia" w:ascii="宋体" w:hAnsi="宋体" w:cs="Arial"/>
          <w:b/>
          <w:color w:val="auto"/>
          <w:sz w:val="24"/>
        </w:rPr>
        <w:t>工程质量标准：</w:t>
      </w:r>
      <w:r>
        <w:rPr>
          <w:rFonts w:hint="eastAsia" w:ascii="宋体" w:hAnsi="宋体" w:cs="Arial"/>
          <w:color w:val="auto"/>
          <w:sz w:val="24"/>
          <w:u w:val="single"/>
        </w:rPr>
        <w:t xml:space="preserve">   合格   </w:t>
      </w:r>
    </w:p>
    <w:p w14:paraId="6B508441">
      <w:pPr>
        <w:spacing w:line="4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lang w:val="en-US" w:eastAsia="zh-CN"/>
        </w:rPr>
        <w:t>五</w:t>
      </w:r>
      <w:r>
        <w:rPr>
          <w:rFonts w:hint="eastAsia" w:ascii="宋体" w:hAnsi="宋体" w:cs="Arial"/>
          <w:b/>
          <w:color w:val="auto"/>
          <w:sz w:val="24"/>
        </w:rPr>
        <w:t>、合同价款</w:t>
      </w:r>
    </w:p>
    <w:p w14:paraId="03A0670A">
      <w:pPr>
        <w:spacing w:line="400" w:lineRule="exact"/>
        <w:ind w:firstLine="480" w:firstLineChars="200"/>
        <w:jc w:val="left"/>
        <w:rPr>
          <w:rFonts w:hint="eastAsia" w:ascii="宋体" w:hAnsi="宋体" w:cs="Arial"/>
          <w:color w:val="auto"/>
          <w:sz w:val="24"/>
        </w:rPr>
      </w:pPr>
      <w:r>
        <w:rPr>
          <w:rFonts w:hint="eastAsia" w:ascii="宋体" w:hAnsi="宋体" w:cs="Arial"/>
          <w:color w:val="auto"/>
          <w:sz w:val="24"/>
        </w:rPr>
        <w:t>1</w:t>
      </w:r>
      <w:r>
        <w:rPr>
          <w:rFonts w:hint="eastAsia" w:ascii="宋体" w:hAnsi="宋体" w:cs="Arial"/>
          <w:color w:val="auto"/>
          <w:sz w:val="24"/>
          <w:lang w:eastAsia="zh-CN"/>
        </w:rPr>
        <w:t>.</w:t>
      </w:r>
      <w:r>
        <w:rPr>
          <w:rFonts w:hint="eastAsia" w:ascii="宋体" w:hAnsi="宋体" w:cs="Arial"/>
          <w:color w:val="auto"/>
          <w:sz w:val="24"/>
        </w:rPr>
        <w:t>合同总价（大写）：</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w:t>
      </w:r>
      <w:r>
        <w:rPr>
          <w:rFonts w:hint="eastAsia" w:ascii="宋体" w:hAnsi="宋体" w:cs="Arial"/>
          <w:color w:val="auto"/>
          <w:sz w:val="24"/>
        </w:rPr>
        <w:t>（人民币）小写￥：</w:t>
      </w:r>
      <w:r>
        <w:rPr>
          <w:rFonts w:hint="eastAsia" w:ascii="宋体" w:hAnsi="宋体" w:cs="Arial"/>
          <w:color w:val="auto"/>
          <w:sz w:val="24"/>
          <w:u w:val="single"/>
          <w:lang w:val="en-US" w:eastAsia="zh-CN"/>
        </w:rPr>
        <w:t xml:space="preserve">          </w:t>
      </w:r>
      <w:r>
        <w:rPr>
          <w:rFonts w:hint="eastAsia" w:ascii="宋体" w:hAnsi="宋体" w:cs="Arial"/>
          <w:color w:val="auto"/>
          <w:sz w:val="24"/>
        </w:rPr>
        <w:t>元（其中：工程暂列金额</w:t>
      </w:r>
      <w:r>
        <w:rPr>
          <w:rFonts w:hint="eastAsia" w:ascii="宋体" w:hAnsi="宋体" w:cs="Arial"/>
          <w:color w:val="auto"/>
          <w:sz w:val="24"/>
          <w:u w:val="single"/>
        </w:rPr>
        <w:t xml:space="preserve">  /  </w:t>
      </w:r>
      <w:r>
        <w:rPr>
          <w:rFonts w:hint="eastAsia" w:ascii="宋体" w:hAnsi="宋体" w:cs="Arial"/>
          <w:color w:val="auto"/>
          <w:sz w:val="24"/>
        </w:rPr>
        <w:t>元，措施项目费</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rPr>
        <w:t>元，安全防护、文明施工措施费</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rPr>
        <w:t>元。）</w:t>
      </w:r>
    </w:p>
    <w:p w14:paraId="3BFFA1CD">
      <w:pPr>
        <w:spacing w:line="400" w:lineRule="exact"/>
        <w:ind w:firstLine="480" w:firstLineChars="200"/>
        <w:jc w:val="left"/>
        <w:rPr>
          <w:rFonts w:hint="default" w:ascii="宋体" w:hAnsi="宋体" w:eastAsia="宋体" w:cs="Arial"/>
          <w:color w:val="auto"/>
          <w:sz w:val="24"/>
          <w:u w:val="single"/>
          <w:lang w:val="en-US" w:eastAsia="zh-CN"/>
        </w:rPr>
      </w:pPr>
      <w:r>
        <w:rPr>
          <w:rFonts w:hint="eastAsia" w:ascii="宋体" w:hAnsi="宋体" w:cs="Arial"/>
          <w:color w:val="auto"/>
          <w:sz w:val="24"/>
        </w:rPr>
        <w:t>2、</w:t>
      </w:r>
      <w:r>
        <w:rPr>
          <w:rFonts w:hint="eastAsia" w:ascii="宋体" w:hAnsi="宋体" w:cs="Arial"/>
          <w:color w:val="auto"/>
          <w:sz w:val="24"/>
          <w:lang w:val="en-US" w:eastAsia="zh-CN"/>
        </w:rPr>
        <w:t>固定总价；详见承包人的报价书。本固定总价不受市场变动影响。</w:t>
      </w:r>
    </w:p>
    <w:p w14:paraId="46CE405F">
      <w:pPr>
        <w:spacing w:line="4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lang w:val="en-US" w:eastAsia="zh-CN"/>
        </w:rPr>
        <w:t>五</w:t>
      </w:r>
      <w:r>
        <w:rPr>
          <w:rFonts w:hint="eastAsia" w:ascii="宋体" w:hAnsi="宋体" w:cs="Arial"/>
          <w:b/>
          <w:color w:val="auto"/>
          <w:sz w:val="24"/>
        </w:rPr>
        <w:t>、组成合同的文件</w:t>
      </w:r>
    </w:p>
    <w:p w14:paraId="17D52CD2">
      <w:pPr>
        <w:spacing w:line="400" w:lineRule="exact"/>
        <w:ind w:firstLine="480" w:firstLineChars="200"/>
        <w:jc w:val="left"/>
        <w:rPr>
          <w:rFonts w:hint="eastAsia" w:ascii="宋体" w:hAnsi="宋体" w:cs="Arial"/>
          <w:color w:val="auto"/>
          <w:sz w:val="24"/>
        </w:rPr>
      </w:pPr>
      <w:r>
        <w:rPr>
          <w:rFonts w:hint="eastAsia" w:ascii="宋体" w:hAnsi="宋体" w:cs="Arial"/>
          <w:color w:val="auto"/>
          <w:sz w:val="24"/>
        </w:rPr>
        <w:t>组成本合同的文件包括：</w:t>
      </w:r>
    </w:p>
    <w:p w14:paraId="436B062F">
      <w:pPr>
        <w:spacing w:line="400" w:lineRule="exact"/>
        <w:ind w:firstLine="480" w:firstLineChars="200"/>
        <w:jc w:val="left"/>
        <w:rPr>
          <w:rFonts w:hint="eastAsia" w:ascii="宋体" w:hAnsi="宋体" w:cs="Arial"/>
          <w:color w:val="auto"/>
          <w:sz w:val="24"/>
        </w:rPr>
      </w:pPr>
      <w:r>
        <w:rPr>
          <w:rFonts w:hint="eastAsia" w:ascii="宋体" w:hAnsi="宋体" w:cs="Arial"/>
          <w:color w:val="auto"/>
          <w:sz w:val="24"/>
        </w:rPr>
        <w:t>1</w:t>
      </w:r>
      <w:r>
        <w:rPr>
          <w:rFonts w:hint="eastAsia" w:ascii="宋体" w:hAnsi="宋体" w:cs="Arial"/>
          <w:color w:val="auto"/>
          <w:sz w:val="24"/>
          <w:lang w:eastAsia="zh-CN"/>
        </w:rPr>
        <w:t>.</w:t>
      </w:r>
      <w:r>
        <w:rPr>
          <w:rFonts w:hint="eastAsia" w:ascii="宋体" w:hAnsi="宋体" w:cs="Arial"/>
          <w:color w:val="auto"/>
          <w:sz w:val="24"/>
          <w:lang w:val="en-US" w:eastAsia="zh-CN"/>
        </w:rPr>
        <w:t>本</w:t>
      </w:r>
      <w:r>
        <w:rPr>
          <w:rFonts w:hint="eastAsia" w:ascii="宋体" w:hAnsi="宋体" w:cs="Arial"/>
          <w:color w:val="auto"/>
          <w:sz w:val="24"/>
        </w:rPr>
        <w:t>合同协议书</w:t>
      </w:r>
    </w:p>
    <w:p w14:paraId="06185650">
      <w:pPr>
        <w:spacing w:line="400" w:lineRule="exact"/>
        <w:ind w:firstLine="480" w:firstLineChars="200"/>
        <w:jc w:val="left"/>
        <w:rPr>
          <w:rFonts w:hint="default" w:ascii="宋体" w:hAnsi="宋体" w:cs="Arial"/>
          <w:color w:val="auto"/>
          <w:sz w:val="24"/>
          <w:lang w:val="en-US" w:eastAsia="zh-CN"/>
        </w:rPr>
      </w:pPr>
      <w:r>
        <w:rPr>
          <w:rFonts w:hint="eastAsia" w:ascii="宋体" w:hAnsi="宋体" w:cs="Arial"/>
          <w:color w:val="auto"/>
          <w:sz w:val="24"/>
          <w:lang w:val="en-US" w:eastAsia="zh-CN"/>
        </w:rPr>
        <w:t>2.</w:t>
      </w:r>
      <w:r>
        <w:rPr>
          <w:rFonts w:hint="eastAsia" w:ascii="宋体" w:hAnsi="宋体" w:cs="Arial"/>
          <w:color w:val="auto"/>
          <w:sz w:val="24"/>
          <w:lang w:val="en-US" w:eastAsia="zh-CN"/>
        </w:rPr>
        <w:t>本</w:t>
      </w:r>
      <w:r>
        <w:rPr>
          <w:rFonts w:hint="eastAsia" w:ascii="宋体" w:hAnsi="宋体" w:cs="Arial"/>
          <w:color w:val="auto"/>
          <w:sz w:val="24"/>
        </w:rPr>
        <w:t>专用</w:t>
      </w:r>
      <w:r>
        <w:rPr>
          <w:rFonts w:hint="eastAsia" w:ascii="宋体" w:hAnsi="宋体" w:cs="Arial"/>
          <w:color w:val="auto"/>
          <w:sz w:val="24"/>
          <w:lang w:val="en-US" w:eastAsia="zh-CN"/>
        </w:rPr>
        <w:t>合同</w:t>
      </w:r>
      <w:r>
        <w:rPr>
          <w:rFonts w:hint="eastAsia" w:ascii="宋体" w:hAnsi="宋体" w:cs="Arial"/>
          <w:color w:val="auto"/>
          <w:sz w:val="24"/>
        </w:rPr>
        <w:t>条款</w:t>
      </w:r>
    </w:p>
    <w:p w14:paraId="477656AF">
      <w:pPr>
        <w:spacing w:line="400" w:lineRule="exact"/>
        <w:ind w:firstLine="480" w:firstLineChars="200"/>
        <w:jc w:val="left"/>
        <w:rPr>
          <w:rFonts w:hint="eastAsia" w:ascii="宋体" w:hAnsi="宋体" w:cs="Arial"/>
          <w:color w:val="auto"/>
          <w:sz w:val="24"/>
          <w:lang w:val="en-US" w:eastAsia="zh-CN"/>
        </w:rPr>
      </w:pPr>
      <w:r>
        <w:rPr>
          <w:rFonts w:hint="eastAsia" w:ascii="宋体" w:hAnsi="宋体" w:cs="Arial"/>
          <w:color w:val="auto"/>
          <w:sz w:val="24"/>
          <w:lang w:val="en-US" w:eastAsia="zh-CN"/>
        </w:rPr>
        <w:t>3.</w:t>
      </w:r>
      <w:r>
        <w:rPr>
          <w:rFonts w:hint="eastAsia" w:ascii="宋体" w:hAnsi="宋体" w:cs="Arial"/>
          <w:color w:val="auto"/>
          <w:sz w:val="24"/>
          <w:lang w:val="en-US" w:eastAsia="zh-CN"/>
        </w:rPr>
        <w:t>本合同通用条款</w:t>
      </w:r>
    </w:p>
    <w:p w14:paraId="222D972C">
      <w:pPr>
        <w:spacing w:line="400" w:lineRule="exact"/>
        <w:ind w:firstLine="480" w:firstLineChars="200"/>
        <w:jc w:val="left"/>
        <w:rPr>
          <w:rFonts w:hint="default" w:ascii="宋体" w:hAnsi="宋体" w:eastAsia="宋体" w:cs="Arial"/>
          <w:color w:val="auto"/>
          <w:sz w:val="24"/>
          <w:lang w:val="en-US" w:eastAsia="zh-CN"/>
        </w:rPr>
      </w:pPr>
      <w:r>
        <w:rPr>
          <w:rFonts w:hint="eastAsia" w:ascii="宋体" w:hAnsi="宋体" w:cs="Arial"/>
          <w:color w:val="auto"/>
          <w:sz w:val="24"/>
          <w:lang w:val="en-US" w:eastAsia="zh-CN"/>
        </w:rPr>
        <w:t>4.中标（</w:t>
      </w:r>
      <w:r>
        <w:rPr>
          <w:rFonts w:hint="eastAsia" w:ascii="宋体" w:hAnsi="宋体" w:cs="Arial"/>
          <w:color w:val="auto"/>
          <w:sz w:val="24"/>
          <w:lang w:val="en-US" w:eastAsia="zh-CN"/>
        </w:rPr>
        <w:t>成交</w:t>
      </w:r>
      <w:r>
        <w:rPr>
          <w:rFonts w:hint="eastAsia" w:ascii="宋体" w:hAnsi="宋体" w:cs="Arial"/>
          <w:color w:val="auto"/>
          <w:sz w:val="24"/>
          <w:lang w:val="en-US" w:eastAsia="zh-CN"/>
        </w:rPr>
        <w:t>）</w:t>
      </w:r>
      <w:r>
        <w:rPr>
          <w:rFonts w:hint="eastAsia" w:ascii="宋体" w:hAnsi="宋体" w:cs="Arial"/>
          <w:color w:val="auto"/>
          <w:sz w:val="24"/>
        </w:rPr>
        <w:t>通知书</w:t>
      </w:r>
    </w:p>
    <w:p w14:paraId="1EE38C39">
      <w:pPr>
        <w:spacing w:line="400" w:lineRule="exact"/>
        <w:ind w:firstLine="480" w:firstLineChars="200"/>
        <w:jc w:val="left"/>
        <w:rPr>
          <w:rFonts w:hint="default" w:ascii="宋体" w:hAnsi="宋体" w:eastAsia="宋体" w:cs="Arial"/>
          <w:color w:val="auto"/>
          <w:sz w:val="24"/>
          <w:lang w:val="en-US" w:eastAsia="zh-CN"/>
        </w:rPr>
      </w:pPr>
      <w:r>
        <w:rPr>
          <w:rFonts w:hint="eastAsia" w:ascii="宋体" w:hAnsi="宋体" w:cs="Arial"/>
          <w:color w:val="auto"/>
          <w:sz w:val="24"/>
          <w:lang w:val="en-US" w:eastAsia="zh-CN"/>
        </w:rPr>
        <w:t>5.投标文件（含已标价工程量清单）</w:t>
      </w:r>
    </w:p>
    <w:p w14:paraId="0CF83FE0">
      <w:pPr>
        <w:spacing w:line="400" w:lineRule="exact"/>
        <w:ind w:firstLine="480" w:firstLineChars="200"/>
        <w:jc w:val="left"/>
        <w:rPr>
          <w:rFonts w:hint="default" w:ascii="宋体" w:hAnsi="宋体" w:cs="Arial"/>
          <w:color w:val="auto"/>
          <w:sz w:val="24"/>
          <w:lang w:val="en-US" w:eastAsia="zh-CN"/>
        </w:rPr>
      </w:pPr>
      <w:r>
        <w:rPr>
          <w:rFonts w:hint="eastAsia" w:ascii="宋体" w:hAnsi="宋体" w:cs="Arial"/>
          <w:color w:val="auto"/>
          <w:sz w:val="24"/>
          <w:lang w:val="en-US" w:eastAsia="zh-CN"/>
        </w:rPr>
        <w:t>6.招标文件及工程量清单</w:t>
      </w:r>
    </w:p>
    <w:p w14:paraId="0F66ABBD">
      <w:pPr>
        <w:spacing w:line="400" w:lineRule="exact"/>
        <w:ind w:firstLine="960" w:firstLineChars="400"/>
        <w:jc w:val="left"/>
        <w:rPr>
          <w:rFonts w:hint="eastAsia" w:ascii="宋体" w:hAnsi="宋体" w:cs="Arial"/>
          <w:color w:val="auto"/>
          <w:sz w:val="24"/>
          <w:lang w:val="en-US" w:eastAsia="zh-CN"/>
        </w:rPr>
      </w:pPr>
      <w:r>
        <w:rPr>
          <w:rFonts w:hint="eastAsia" w:ascii="宋体" w:hAnsi="宋体" w:cs="Arial"/>
          <w:color w:val="auto"/>
          <w:sz w:val="24"/>
          <w:lang w:val="en-US" w:eastAsia="zh-CN"/>
        </w:rPr>
        <w:t>7.图纸</w:t>
      </w:r>
    </w:p>
    <w:p w14:paraId="76094FCF">
      <w:pPr>
        <w:spacing w:line="400" w:lineRule="exact"/>
        <w:ind w:firstLine="960" w:firstLineChars="400"/>
        <w:jc w:val="left"/>
        <w:rPr>
          <w:rFonts w:hint="eastAsia" w:ascii="宋体" w:hAnsi="宋体" w:cs="Arial"/>
          <w:color w:val="auto"/>
          <w:sz w:val="24"/>
          <w:lang w:val="en-US" w:eastAsia="zh-CN"/>
        </w:rPr>
      </w:pPr>
      <w:r>
        <w:rPr>
          <w:rFonts w:hint="eastAsia" w:ascii="宋体" w:hAnsi="宋体" w:cs="Arial"/>
          <w:color w:val="auto"/>
          <w:sz w:val="24"/>
          <w:lang w:val="en-US" w:eastAsia="zh-CN"/>
        </w:rPr>
        <w:t>8.标准、规范及有关技术文件</w:t>
      </w:r>
    </w:p>
    <w:p w14:paraId="6B712083">
      <w:pPr>
        <w:spacing w:line="400" w:lineRule="exact"/>
        <w:ind w:firstLine="480" w:firstLineChars="200"/>
        <w:jc w:val="left"/>
        <w:rPr>
          <w:rFonts w:hint="eastAsia" w:ascii="宋体" w:hAnsi="宋体" w:cs="Arial"/>
          <w:color w:val="auto"/>
          <w:sz w:val="24"/>
        </w:rPr>
      </w:pPr>
      <w:r>
        <w:rPr>
          <w:rFonts w:hint="eastAsia" w:ascii="宋体" w:hAnsi="宋体" w:cs="Arial"/>
          <w:color w:val="auto"/>
          <w:sz w:val="24"/>
        </w:rPr>
        <w:t>双方为履行本合同的有关洽商、变更等书面协议、文件，视为本合同的组成部分。</w:t>
      </w:r>
    </w:p>
    <w:p w14:paraId="6D3A4573">
      <w:pPr>
        <w:spacing w:line="400" w:lineRule="exact"/>
        <w:ind w:firstLine="964" w:firstLineChars="400"/>
        <w:jc w:val="left"/>
        <w:outlineLvl w:val="0"/>
        <w:rPr>
          <w:rFonts w:hint="eastAsia" w:ascii="宋体" w:hAnsi="宋体" w:cs="Arial"/>
          <w:b/>
          <w:color w:val="auto"/>
          <w:sz w:val="24"/>
        </w:rPr>
      </w:pPr>
      <w:r>
        <w:rPr>
          <w:rFonts w:hint="eastAsia" w:ascii="宋体" w:hAnsi="宋体" w:cs="Arial"/>
          <w:b/>
          <w:color w:val="auto"/>
          <w:sz w:val="24"/>
          <w:lang w:val="en-US" w:eastAsia="zh-CN"/>
        </w:rPr>
        <w:t>七</w:t>
      </w:r>
      <w:r>
        <w:rPr>
          <w:rFonts w:hint="eastAsia" w:ascii="宋体" w:hAnsi="宋体" w:cs="Arial"/>
          <w:b/>
          <w:color w:val="auto"/>
          <w:sz w:val="24"/>
        </w:rPr>
        <w:t>、本协议书中有关词语含义与本合同第二部分《通用条款》中分别赋予的定义相同。</w:t>
      </w:r>
    </w:p>
    <w:p w14:paraId="57E31145">
      <w:pPr>
        <w:spacing w:line="400" w:lineRule="exact"/>
        <w:ind w:firstLine="964" w:firstLineChars="400"/>
        <w:jc w:val="left"/>
        <w:outlineLvl w:val="0"/>
        <w:rPr>
          <w:rFonts w:hint="eastAsia" w:ascii="宋体" w:hAnsi="宋体" w:cs="Arial"/>
          <w:b/>
          <w:color w:val="auto"/>
          <w:sz w:val="24"/>
        </w:rPr>
      </w:pPr>
      <w:r>
        <w:rPr>
          <w:rFonts w:hint="eastAsia" w:ascii="宋体" w:hAnsi="宋体" w:cs="Arial"/>
          <w:b/>
          <w:color w:val="auto"/>
          <w:sz w:val="24"/>
          <w:lang w:val="en-US" w:eastAsia="zh-CN"/>
        </w:rPr>
        <w:t>八</w:t>
      </w:r>
      <w:r>
        <w:rPr>
          <w:rFonts w:hint="eastAsia" w:ascii="宋体" w:hAnsi="宋体" w:cs="Arial"/>
          <w:b/>
          <w:color w:val="auto"/>
          <w:sz w:val="24"/>
        </w:rPr>
        <w:t>、承包人按照合同约定进行施工、竣工并在质量保修期内承担工程质量保修责任。</w:t>
      </w:r>
    </w:p>
    <w:p w14:paraId="4822358E">
      <w:pPr>
        <w:spacing w:line="400" w:lineRule="exact"/>
        <w:ind w:firstLine="964" w:firstLineChars="400"/>
        <w:jc w:val="left"/>
        <w:outlineLvl w:val="0"/>
        <w:rPr>
          <w:rFonts w:hint="eastAsia" w:ascii="宋体" w:hAnsi="宋体" w:cs="Arial"/>
          <w:b/>
          <w:color w:val="auto"/>
          <w:sz w:val="24"/>
        </w:rPr>
      </w:pPr>
      <w:r>
        <w:rPr>
          <w:rFonts w:hint="eastAsia" w:ascii="宋体" w:hAnsi="宋体" w:cs="Arial"/>
          <w:b/>
          <w:color w:val="auto"/>
          <w:sz w:val="24"/>
          <w:lang w:val="en-US" w:eastAsia="zh-CN"/>
        </w:rPr>
        <w:t>九</w:t>
      </w:r>
      <w:r>
        <w:rPr>
          <w:rFonts w:hint="eastAsia" w:ascii="宋体" w:hAnsi="宋体" w:cs="Arial"/>
          <w:b/>
          <w:color w:val="auto"/>
          <w:sz w:val="24"/>
        </w:rPr>
        <w:t>、发包人按照合同约定的期限和方式支付合同价款及其他应当支付的款项。</w:t>
      </w:r>
    </w:p>
    <w:p w14:paraId="12FA59B4">
      <w:pPr>
        <w:spacing w:line="400" w:lineRule="exact"/>
        <w:ind w:firstLine="964" w:firstLineChars="400"/>
        <w:jc w:val="left"/>
        <w:outlineLvl w:val="0"/>
        <w:rPr>
          <w:rFonts w:hint="eastAsia" w:ascii="宋体" w:hAnsi="宋体" w:cs="Arial"/>
          <w:b/>
          <w:color w:val="auto"/>
          <w:sz w:val="24"/>
        </w:rPr>
      </w:pPr>
      <w:r>
        <w:rPr>
          <w:rFonts w:hint="eastAsia" w:ascii="宋体" w:hAnsi="宋体" w:cs="Arial"/>
          <w:b/>
          <w:color w:val="auto"/>
          <w:sz w:val="24"/>
          <w:lang w:val="en-US" w:eastAsia="zh-CN"/>
        </w:rPr>
        <w:t>十</w:t>
      </w:r>
      <w:r>
        <w:rPr>
          <w:rFonts w:hint="eastAsia" w:ascii="宋体" w:hAnsi="宋体" w:cs="Arial"/>
          <w:b/>
          <w:color w:val="auto"/>
          <w:sz w:val="24"/>
        </w:rPr>
        <w:t>、合同生效</w:t>
      </w:r>
    </w:p>
    <w:p w14:paraId="5A608BEF">
      <w:pPr>
        <w:spacing w:line="400" w:lineRule="exact"/>
        <w:ind w:firstLine="480" w:firstLineChars="200"/>
        <w:jc w:val="left"/>
        <w:rPr>
          <w:rFonts w:hint="eastAsia" w:ascii="宋体" w:hAnsi="宋体" w:cs="Arial"/>
          <w:color w:val="auto"/>
          <w:sz w:val="24"/>
        </w:rPr>
      </w:pPr>
      <w:r>
        <w:rPr>
          <w:rFonts w:hint="eastAsia" w:ascii="宋体" w:hAnsi="宋体" w:cs="Arial"/>
          <w:color w:val="auto"/>
          <w:sz w:val="24"/>
        </w:rPr>
        <w:t>合同订立时间：</w:t>
      </w:r>
      <w:r>
        <w:rPr>
          <w:rFonts w:hint="eastAsia" w:ascii="宋体" w:hAnsi="宋体" w:cs="Arial"/>
          <w:color w:val="auto"/>
          <w:sz w:val="24"/>
          <w:u w:val="single"/>
        </w:rPr>
        <w:t xml:space="preserve"> 202</w:t>
      </w:r>
      <w:r>
        <w:rPr>
          <w:rFonts w:hint="eastAsia" w:ascii="宋体" w:hAnsi="宋体" w:cs="Arial"/>
          <w:color w:val="auto"/>
          <w:sz w:val="24"/>
          <w:u w:val="single"/>
          <w:lang w:val="en-US" w:eastAsia="zh-CN"/>
        </w:rPr>
        <w:t>6</w:t>
      </w:r>
      <w:r>
        <w:rPr>
          <w:rFonts w:hint="eastAsia" w:ascii="宋体" w:hAnsi="宋体" w:cs="Arial"/>
          <w:color w:val="auto"/>
          <w:sz w:val="24"/>
          <w:u w:val="single"/>
        </w:rPr>
        <w:t xml:space="preserve"> </w:t>
      </w:r>
      <w:r>
        <w:rPr>
          <w:rFonts w:hint="eastAsia" w:ascii="宋体" w:hAnsi="宋体" w:cs="Arial"/>
          <w:color w:val="auto"/>
          <w:sz w:val="24"/>
        </w:rPr>
        <w:t>年</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w:t>
      </w:r>
      <w:r>
        <w:rPr>
          <w:rFonts w:hint="eastAsia" w:ascii="宋体" w:hAnsi="宋体" w:cs="Arial"/>
          <w:color w:val="auto"/>
          <w:sz w:val="24"/>
        </w:rPr>
        <w:t>月</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w:t>
      </w:r>
      <w:r>
        <w:rPr>
          <w:rFonts w:hint="eastAsia" w:ascii="宋体" w:hAnsi="宋体" w:cs="Arial"/>
          <w:color w:val="auto"/>
          <w:sz w:val="24"/>
        </w:rPr>
        <w:t xml:space="preserve">日 </w:t>
      </w:r>
    </w:p>
    <w:p w14:paraId="079D8F8A">
      <w:pPr>
        <w:spacing w:line="40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合同订立地点：</w:t>
      </w:r>
      <w:r>
        <w:rPr>
          <w:rFonts w:hint="eastAsia" w:ascii="宋体" w:hAnsi="宋体" w:cs="Arial"/>
          <w:color w:val="auto"/>
          <w:sz w:val="24"/>
          <w:u w:val="single"/>
        </w:rPr>
        <w:t xml:space="preserve">  蓝田县教育和科学技术局  </w:t>
      </w:r>
    </w:p>
    <w:p w14:paraId="4701B60B">
      <w:pPr>
        <w:spacing w:line="400" w:lineRule="exact"/>
        <w:ind w:firstLine="480" w:firstLineChars="200"/>
        <w:jc w:val="left"/>
        <w:rPr>
          <w:rFonts w:hint="eastAsia" w:ascii="宋体" w:hAnsi="宋体" w:cs="Arial"/>
          <w:color w:val="auto"/>
          <w:sz w:val="24"/>
        </w:rPr>
      </w:pPr>
    </w:p>
    <w:p w14:paraId="53678351">
      <w:pPr>
        <w:spacing w:line="700" w:lineRule="exact"/>
        <w:ind w:firstLine="480" w:firstLineChars="200"/>
        <w:jc w:val="left"/>
        <w:rPr>
          <w:rFonts w:hint="eastAsia" w:ascii="宋体" w:hAnsi="宋体" w:cs="Arial"/>
          <w:color w:val="auto"/>
          <w:sz w:val="24"/>
        </w:rPr>
      </w:pPr>
      <w:r>
        <w:rPr>
          <w:rFonts w:hint="eastAsia" w:ascii="宋体" w:hAnsi="宋体" w:cs="Arial"/>
          <w:color w:val="auto"/>
          <w:sz w:val="24"/>
        </w:rPr>
        <w:t>发包人：（公章）                        承包人：（公章）</w:t>
      </w:r>
    </w:p>
    <w:p w14:paraId="1020C370">
      <w:pPr>
        <w:spacing w:line="700" w:lineRule="exact"/>
        <w:ind w:firstLine="480" w:firstLineChars="200"/>
        <w:jc w:val="left"/>
        <w:rPr>
          <w:rFonts w:ascii="宋体" w:hAnsi="宋体" w:cs="Arial"/>
          <w:color w:val="auto"/>
          <w:sz w:val="24"/>
        </w:rPr>
      </w:pPr>
      <w:r>
        <w:rPr>
          <w:rFonts w:hint="eastAsia" w:ascii="宋体" w:hAnsi="宋体" w:cs="Arial"/>
          <w:color w:val="auto"/>
          <w:sz w:val="24"/>
        </w:rPr>
        <w:t>地址：                                 地址：</w:t>
      </w:r>
    </w:p>
    <w:p w14:paraId="1EF15777">
      <w:pPr>
        <w:spacing w:line="700" w:lineRule="exact"/>
        <w:ind w:firstLine="480" w:firstLineChars="200"/>
        <w:jc w:val="left"/>
        <w:rPr>
          <w:rFonts w:hint="eastAsia" w:ascii="宋体" w:hAnsi="宋体" w:cs="Arial"/>
          <w:color w:val="auto"/>
          <w:sz w:val="24"/>
        </w:rPr>
      </w:pPr>
      <w:r>
        <w:rPr>
          <w:rFonts w:hint="eastAsia" w:ascii="宋体" w:hAnsi="宋体" w:cs="Arial"/>
          <w:color w:val="auto"/>
          <w:sz w:val="24"/>
        </w:rPr>
        <w:t>邮政编码：                             邮政编码：</w:t>
      </w:r>
    </w:p>
    <w:p w14:paraId="40FB1E0B">
      <w:pPr>
        <w:spacing w:line="700" w:lineRule="exact"/>
        <w:ind w:firstLine="480" w:firstLineChars="200"/>
        <w:jc w:val="left"/>
        <w:rPr>
          <w:rFonts w:hint="eastAsia" w:ascii="宋体" w:hAnsi="宋体" w:cs="Arial"/>
          <w:color w:val="auto"/>
          <w:sz w:val="24"/>
        </w:rPr>
      </w:pPr>
      <w:r>
        <w:rPr>
          <w:rFonts w:hint="eastAsia" w:ascii="宋体" w:hAnsi="宋体" w:cs="Arial"/>
          <w:color w:val="auto"/>
          <w:sz w:val="24"/>
        </w:rPr>
        <w:t>法定代表人或委托代理人：               法定代表人：</w:t>
      </w:r>
    </w:p>
    <w:p w14:paraId="173EF6D0">
      <w:pPr>
        <w:spacing w:line="700" w:lineRule="exact"/>
        <w:ind w:firstLine="480" w:firstLineChars="200"/>
        <w:jc w:val="left"/>
        <w:rPr>
          <w:rFonts w:hint="eastAsia" w:ascii="宋体" w:hAnsi="宋体" w:cs="Arial"/>
          <w:color w:val="auto"/>
          <w:sz w:val="24"/>
        </w:rPr>
      </w:pPr>
      <w:r>
        <w:rPr>
          <w:rFonts w:hint="eastAsia" w:ascii="宋体" w:hAnsi="宋体" w:cs="Arial"/>
          <w:color w:val="auto"/>
          <w:sz w:val="24"/>
        </w:rPr>
        <w:t>联系人：                               委托代理人：</w:t>
      </w:r>
    </w:p>
    <w:p w14:paraId="1057D218">
      <w:pPr>
        <w:spacing w:line="700" w:lineRule="exact"/>
        <w:ind w:firstLine="480" w:firstLineChars="200"/>
        <w:jc w:val="left"/>
        <w:rPr>
          <w:rFonts w:hint="eastAsia" w:ascii="宋体" w:hAnsi="宋体" w:cs="Arial"/>
          <w:color w:val="auto"/>
          <w:sz w:val="24"/>
        </w:rPr>
      </w:pPr>
      <w:r>
        <w:rPr>
          <w:rFonts w:hint="eastAsia" w:ascii="宋体" w:hAnsi="宋体" w:cs="Arial"/>
          <w:color w:val="auto"/>
          <w:sz w:val="24"/>
        </w:rPr>
        <w:t>电话：                                 电话：</w:t>
      </w:r>
    </w:p>
    <w:p w14:paraId="7F7FD34C">
      <w:pPr>
        <w:spacing w:line="700" w:lineRule="exact"/>
        <w:ind w:firstLine="480" w:firstLineChars="200"/>
        <w:jc w:val="left"/>
        <w:rPr>
          <w:rFonts w:hint="eastAsia" w:ascii="宋体" w:hAnsi="宋体" w:cs="Arial"/>
          <w:color w:val="auto"/>
          <w:sz w:val="24"/>
        </w:rPr>
      </w:pPr>
      <w:r>
        <w:rPr>
          <w:rFonts w:hint="eastAsia" w:ascii="宋体" w:hAnsi="宋体" w:cs="Arial"/>
          <w:color w:val="auto"/>
          <w:sz w:val="24"/>
        </w:rPr>
        <w:t>传真：                                 传真：</w:t>
      </w:r>
    </w:p>
    <w:p w14:paraId="18928D37">
      <w:pPr>
        <w:spacing w:line="700" w:lineRule="exact"/>
        <w:ind w:left="5639" w:leftChars="228" w:hanging="5160" w:hangingChars="2150"/>
        <w:jc w:val="left"/>
        <w:rPr>
          <w:rFonts w:hint="eastAsia" w:ascii="宋体" w:hAnsi="宋体" w:cs="Arial"/>
          <w:color w:val="auto"/>
          <w:sz w:val="24"/>
        </w:rPr>
      </w:pPr>
      <w:r>
        <w:rPr>
          <w:rFonts w:hint="eastAsia" w:ascii="宋体" w:hAnsi="宋体" w:cs="Arial"/>
          <w:color w:val="auto"/>
          <w:sz w:val="24"/>
        </w:rPr>
        <w:t>开户银行：                             开户银行：</w:t>
      </w:r>
    </w:p>
    <w:p w14:paraId="55145348">
      <w:pPr>
        <w:tabs>
          <w:tab w:val="left" w:pos="4500"/>
        </w:tabs>
        <w:spacing w:line="700" w:lineRule="exact"/>
        <w:ind w:firstLine="480" w:firstLineChars="200"/>
        <w:jc w:val="left"/>
        <w:rPr>
          <w:rFonts w:hint="eastAsia" w:ascii="宋体" w:hAnsi="宋体" w:cs="Arial"/>
          <w:color w:val="auto"/>
          <w:sz w:val="24"/>
        </w:rPr>
      </w:pPr>
      <w:r>
        <w:rPr>
          <w:rFonts w:hint="eastAsia" w:ascii="宋体" w:hAnsi="宋体" w:cs="Arial"/>
          <w:color w:val="auto"/>
          <w:sz w:val="24"/>
        </w:rPr>
        <w:t>账号：                                 账号：</w:t>
      </w:r>
    </w:p>
    <w:p w14:paraId="11884B8B">
      <w:pPr>
        <w:spacing w:line="400" w:lineRule="exact"/>
        <w:jc w:val="center"/>
        <w:rPr>
          <w:rFonts w:hint="eastAsia" w:ascii="宋体" w:hAnsi="宋体" w:cs="Arial"/>
          <w:b/>
          <w:color w:val="auto"/>
          <w:sz w:val="28"/>
          <w:szCs w:val="28"/>
        </w:rPr>
      </w:pPr>
    </w:p>
    <w:p w14:paraId="295E9A3B">
      <w:pPr>
        <w:spacing w:line="400" w:lineRule="exact"/>
        <w:jc w:val="center"/>
        <w:rPr>
          <w:rFonts w:hint="eastAsia" w:ascii="宋体" w:hAnsi="宋体" w:cs="Arial"/>
          <w:b/>
          <w:color w:val="auto"/>
          <w:sz w:val="28"/>
          <w:szCs w:val="28"/>
        </w:rPr>
      </w:pPr>
    </w:p>
    <w:p w14:paraId="1D762FF0">
      <w:pPr>
        <w:spacing w:line="400" w:lineRule="exact"/>
        <w:jc w:val="center"/>
        <w:rPr>
          <w:rFonts w:hint="eastAsia" w:ascii="宋体" w:hAnsi="宋体" w:cs="Arial"/>
          <w:b/>
          <w:color w:val="auto"/>
          <w:sz w:val="28"/>
          <w:szCs w:val="28"/>
        </w:rPr>
      </w:pPr>
    </w:p>
    <w:p w14:paraId="59D6E705">
      <w:pPr>
        <w:spacing w:line="400" w:lineRule="exact"/>
        <w:jc w:val="center"/>
        <w:rPr>
          <w:rFonts w:hint="eastAsia" w:ascii="宋体" w:hAnsi="宋体" w:cs="Arial"/>
          <w:b/>
          <w:color w:val="auto"/>
          <w:sz w:val="28"/>
          <w:szCs w:val="28"/>
        </w:rPr>
      </w:pPr>
    </w:p>
    <w:p w14:paraId="63B834D9">
      <w:pPr>
        <w:spacing w:after="120" w:afterLines="50" w:line="400" w:lineRule="exact"/>
        <w:jc w:val="center"/>
        <w:rPr>
          <w:rFonts w:hint="eastAsia" w:ascii="宋体" w:hAnsi="宋体" w:cs="Arial"/>
          <w:b/>
          <w:color w:val="auto"/>
          <w:sz w:val="28"/>
          <w:szCs w:val="28"/>
        </w:rPr>
      </w:pPr>
      <w:r>
        <w:rPr>
          <w:rFonts w:hint="eastAsia" w:ascii="宋体" w:hAnsi="宋体" w:cs="Arial"/>
          <w:b/>
          <w:color w:val="auto"/>
          <w:sz w:val="28"/>
          <w:szCs w:val="28"/>
        </w:rPr>
        <w:br w:type="page"/>
      </w:r>
      <w:r>
        <w:rPr>
          <w:rFonts w:hint="eastAsia" w:ascii="宋体" w:hAnsi="宋体" w:cs="Arial"/>
          <w:b/>
          <w:color w:val="auto"/>
          <w:sz w:val="28"/>
          <w:szCs w:val="28"/>
        </w:rPr>
        <w:t>第二部分   通用条款</w:t>
      </w:r>
    </w:p>
    <w:p w14:paraId="5D6D6E3F">
      <w:pPr>
        <w:widowControl/>
        <w:spacing w:line="400" w:lineRule="exact"/>
        <w:ind w:firstLine="482" w:firstLineChars="200"/>
        <w:jc w:val="left"/>
        <w:outlineLvl w:val="0"/>
        <w:rPr>
          <w:rFonts w:hint="eastAsia" w:ascii="宋体" w:hAnsi="宋体" w:cs="宋体"/>
          <w:b/>
          <w:color w:val="auto"/>
          <w:kern w:val="0"/>
          <w:sz w:val="24"/>
        </w:rPr>
      </w:pPr>
      <w:bookmarkStart w:id="0" w:name="_Toc447642114"/>
      <w:r>
        <w:rPr>
          <w:rFonts w:hint="eastAsia" w:ascii="宋体" w:hAnsi="宋体" w:cs="宋体"/>
          <w:b/>
          <w:color w:val="auto"/>
          <w:kern w:val="0"/>
          <w:sz w:val="24"/>
        </w:rPr>
        <w:t>一、词语定义及合同文件</w:t>
      </w:r>
      <w:bookmarkEnd w:id="0"/>
    </w:p>
    <w:p w14:paraId="453A8FD4">
      <w:pPr>
        <w:widowControl/>
        <w:spacing w:line="400" w:lineRule="exact"/>
        <w:ind w:firstLine="480" w:firstLineChars="200"/>
        <w:jc w:val="left"/>
        <w:outlineLvl w:val="0"/>
        <w:rPr>
          <w:rFonts w:hint="eastAsia" w:ascii="宋体" w:hAnsi="宋体" w:cs="宋体"/>
          <w:color w:val="auto"/>
          <w:kern w:val="0"/>
          <w:sz w:val="24"/>
        </w:rPr>
      </w:pPr>
      <w:bookmarkStart w:id="1" w:name="_Toc447642115"/>
      <w:r>
        <w:rPr>
          <w:rFonts w:hint="eastAsia" w:ascii="宋体" w:hAnsi="宋体" w:cs="宋体"/>
          <w:color w:val="auto"/>
          <w:kern w:val="0"/>
          <w:sz w:val="24"/>
        </w:rPr>
        <w:t>１、词语定义</w:t>
      </w:r>
      <w:bookmarkEnd w:id="1"/>
    </w:p>
    <w:p w14:paraId="354478C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下列词语除专用条款另有约定外，应具有本条所赋予的定义：</w:t>
      </w:r>
    </w:p>
    <w:p w14:paraId="4F84EBA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1.1通用条款：是根据法律、行政法规规定及建设工程施工的需要订立，通用于建设工程施工的条款。</w:t>
      </w:r>
    </w:p>
    <w:p w14:paraId="41426CE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1.2专用条款：是发包人与承包人根据法律、行政法规规定，结合具体工程实际，经协商达成一致意见的条款，是对通用条款的具体化、补充或修改。</w:t>
      </w:r>
    </w:p>
    <w:p w14:paraId="0ACEACE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1.3发包人：指在协议书中约定，具有工程发包主体资格和支付工程价款能力的当事人以及取得该当事人资格的合法继承人。</w:t>
      </w:r>
    </w:p>
    <w:p w14:paraId="1802F80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1.4承包人：指在协议书中约定，被发包人接受的具有工程施工承包主体资格的当事人以及取得该当事人资格的合法继承人。</w:t>
      </w:r>
    </w:p>
    <w:p w14:paraId="4CD3D4D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1.5项目经理：指承包人在专用条款中指定的具有执业资格的负责施工管理和合同履行的代表。</w:t>
      </w:r>
    </w:p>
    <w:p w14:paraId="605C2EE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1.6设计单位：指发包人委托的负责本工程设计并取得相应工程设计资质等级证书的单位。</w:t>
      </w:r>
    </w:p>
    <w:p w14:paraId="714EFB4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1.7监理单位：指发包人委托的负责本工程监理并取得相应工程监理资质等级证书的单位。</w:t>
      </w:r>
    </w:p>
    <w:p w14:paraId="7272C54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1.8工程师：指本工程监理单位委派的总监理工程师或发包人指定的履行本合同的代表，其具体身份和职权由发包人承包人在专用条款中约定。</w:t>
      </w:r>
    </w:p>
    <w:p w14:paraId="78C4885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1.9工程造价管理部门：指国务院有关部门、县级以上人民政府建设行政主管部门或其委托的工程造价管理机构。</w:t>
      </w:r>
    </w:p>
    <w:p w14:paraId="37B217C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1.10工程：指发包人承包人在协议书中约定的承包范围内的工程。</w:t>
      </w:r>
    </w:p>
    <w:p w14:paraId="1489E7B8">
      <w:pPr>
        <w:widowControl/>
        <w:spacing w:line="40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1.11工程量清单：表现拟建工程的分部分项工程项目、措施项目、其他项目名称和相应数量的明细清单。</w:t>
      </w:r>
    </w:p>
    <w:p w14:paraId="0992BFB3">
      <w:pPr>
        <w:widowControl/>
        <w:spacing w:line="40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1.12综合单价：完成工程量清单中一个规定计量单位项目所需的人工费、材料费、机械使用费、管理费和利润，并考虑风险因素。</w:t>
      </w:r>
    </w:p>
    <w:p w14:paraId="723F16E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1.13合同价款：指发包人承包人在协议书中约定，发包人用以支付承包人按照合同约定完成承包范围内全部工程并承担质量保修责任的款项。</w:t>
      </w:r>
    </w:p>
    <w:p w14:paraId="630A9F9B">
      <w:pPr>
        <w:widowControl/>
        <w:spacing w:line="40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1.14暂列金额：招标人在工程量清单中暂定并包括在合同价款中的一笔款项。用于施工合同签订时尚未确定或不可预见的所需材料、设备、服务的采购，施工中有可能发生的工程变更、合同约定调整因素出现时的工程价款调整以及发生的索赔、现场签证确认等费用。</w:t>
      </w:r>
    </w:p>
    <w:p w14:paraId="063E3EB0">
      <w:pPr>
        <w:widowControl/>
        <w:spacing w:line="40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1.15工程分包和材料购置费：指发包人将按有关规定准予分包的工作、指定分包人或指定材料供应商供应材料而预留的款额。</w:t>
      </w:r>
    </w:p>
    <w:p w14:paraId="537CACA1">
      <w:pPr>
        <w:widowControl/>
        <w:spacing w:line="40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1.16总承包服务费：为配合协调发包人进行的工程分包和材料采购所需的费用。</w:t>
      </w:r>
    </w:p>
    <w:p w14:paraId="77B10797">
      <w:pPr>
        <w:widowControl/>
        <w:spacing w:line="400" w:lineRule="exact"/>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1.17零星工作项目费：完成发包人提出的工程量暂估的零星工作所需的费用。</w:t>
      </w:r>
    </w:p>
    <w:p w14:paraId="623B235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1.18追加合同价款：指在合同履行中发生需要增加合同价款的情况，经发包人确认后按计算合同价款的方法增加的合同价款。</w:t>
      </w:r>
    </w:p>
    <w:p w14:paraId="6C86CF3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1.19费用：指不包含在合同价款之内的应当由发包人或承包人承担的经济支出。</w:t>
      </w:r>
    </w:p>
    <w:p w14:paraId="0BF7A7F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1.20工期：指发包人承包人在协议书中约定，按总日历天数（包括法定节假日）计算的承包天数。</w:t>
      </w:r>
    </w:p>
    <w:p w14:paraId="379502F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1.21开工日期：指发包人承包人在协议书中约定，承包人开始施工的绝对或相对的日期。</w:t>
      </w:r>
    </w:p>
    <w:p w14:paraId="07563EA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1.22竣工日期：指发包人承包人在协议书中约定，承包人完成承包范围内工程的绝对或相对的日期。</w:t>
      </w:r>
    </w:p>
    <w:p w14:paraId="50F36A5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1.23图纸：指由发包人提供或由承包人提供并经发包人批准，满足承包人施工需要的所有图纸（包括配套说明和有关资料）。</w:t>
      </w:r>
    </w:p>
    <w:p w14:paraId="503F6EC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1.24施工场地：指由发包人提供的用于工程施工的场所以及发包人在图纸中具体指定的供施工使用的任何其他场所。</w:t>
      </w:r>
    </w:p>
    <w:p w14:paraId="2005AEF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1.25书面形式：指合同书、信件和数据电文（包括电报、电传、传真、电子数据交换和电子邮件）等可以有形地表现所载内容的形式。</w:t>
      </w:r>
    </w:p>
    <w:p w14:paraId="522EC6C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1.26违约责任：指合同一方不履行合同义务或履行合同义务不符合约定所应承担的责任。</w:t>
      </w:r>
    </w:p>
    <w:p w14:paraId="79BC64EF">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1.27索赔：指在合同履行过程中，对于并非自己的过错，而是应由对方承担责任的情况造成的实际损失，向对方提出经济补偿和（或）工期顺延的要求。</w:t>
      </w:r>
    </w:p>
    <w:p w14:paraId="36EA586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1.28不可抗力：指不能预见、不能避免并不能克服的客观情况。</w:t>
      </w:r>
    </w:p>
    <w:p w14:paraId="12EF407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4B65772D">
      <w:pPr>
        <w:widowControl/>
        <w:spacing w:line="400" w:lineRule="exact"/>
        <w:ind w:firstLine="480" w:firstLineChars="200"/>
        <w:jc w:val="left"/>
        <w:outlineLvl w:val="0"/>
        <w:rPr>
          <w:rFonts w:hint="eastAsia" w:ascii="宋体" w:hAnsi="宋体" w:cs="宋体"/>
          <w:color w:val="auto"/>
          <w:kern w:val="0"/>
          <w:sz w:val="24"/>
        </w:rPr>
      </w:pPr>
      <w:bookmarkStart w:id="2" w:name="_Toc447642116"/>
      <w:r>
        <w:rPr>
          <w:rFonts w:hint="eastAsia" w:ascii="宋体" w:hAnsi="宋体" w:cs="宋体"/>
          <w:color w:val="auto"/>
          <w:kern w:val="0"/>
          <w:sz w:val="24"/>
        </w:rPr>
        <w:t>２、合同文件及解释顺序</w:t>
      </w:r>
      <w:bookmarkEnd w:id="2"/>
    </w:p>
    <w:p w14:paraId="75B1D3D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2.1合同文件应能相互解释，互为说明。除专用条款另有约定外，组成本合同的文件及优先解释顺序如下：</w:t>
      </w:r>
    </w:p>
    <w:p w14:paraId="0F5028E2">
      <w:pPr>
        <w:widowControl/>
        <w:spacing w:line="400" w:lineRule="exact"/>
        <w:ind w:firstLine="480" w:firstLineChars="200"/>
        <w:jc w:val="left"/>
        <w:rPr>
          <w:rFonts w:hint="eastAsia" w:ascii="宋体" w:hAnsi="宋体" w:cs="宋体"/>
          <w:color w:val="auto"/>
          <w:kern w:val="0"/>
          <w:sz w:val="24"/>
        </w:rPr>
      </w:pPr>
      <w:r>
        <w:rPr>
          <w:rFonts w:hint="eastAsia" w:ascii="宋体" w:hAnsi="宋体"/>
          <w:color w:val="auto"/>
          <w:kern w:val="0"/>
          <w:sz w:val="24"/>
        </w:rPr>
        <w:t>1</w:t>
      </w:r>
      <w:r>
        <w:rPr>
          <w:rFonts w:hint="eastAsia" w:ascii="宋体" w:hAnsi="宋体" w:cs="宋体"/>
          <w:color w:val="auto"/>
          <w:kern w:val="0"/>
          <w:sz w:val="24"/>
        </w:rPr>
        <w:t>、本合同协议书</w:t>
      </w:r>
    </w:p>
    <w:p w14:paraId="600C5838">
      <w:pPr>
        <w:widowControl/>
        <w:spacing w:line="400" w:lineRule="exact"/>
        <w:ind w:firstLine="480" w:firstLineChars="200"/>
        <w:jc w:val="left"/>
        <w:rPr>
          <w:rFonts w:hint="eastAsia" w:ascii="宋体" w:hAnsi="宋体" w:cs="宋体"/>
          <w:color w:val="auto"/>
          <w:kern w:val="0"/>
          <w:sz w:val="24"/>
        </w:rPr>
      </w:pPr>
      <w:r>
        <w:rPr>
          <w:rFonts w:hint="eastAsia" w:ascii="宋体" w:hAnsi="宋体"/>
          <w:color w:val="auto"/>
          <w:kern w:val="0"/>
          <w:sz w:val="24"/>
        </w:rPr>
        <w:t>2</w:t>
      </w:r>
      <w:r>
        <w:rPr>
          <w:rFonts w:hint="eastAsia" w:ascii="宋体" w:hAnsi="宋体" w:cs="宋体"/>
          <w:color w:val="auto"/>
          <w:kern w:val="0"/>
          <w:sz w:val="24"/>
        </w:rPr>
        <w:t>、本合同专用条款</w:t>
      </w:r>
    </w:p>
    <w:p w14:paraId="47B1A3BD">
      <w:pPr>
        <w:widowControl/>
        <w:spacing w:line="400" w:lineRule="exact"/>
        <w:ind w:firstLine="480" w:firstLineChars="200"/>
        <w:jc w:val="left"/>
        <w:rPr>
          <w:rFonts w:hint="eastAsia" w:ascii="宋体" w:hAnsi="宋体" w:cs="宋体"/>
          <w:b/>
          <w:bCs/>
          <w:color w:val="auto"/>
          <w:kern w:val="0"/>
          <w:sz w:val="24"/>
        </w:rPr>
      </w:pPr>
      <w:r>
        <w:rPr>
          <w:rFonts w:hint="eastAsia" w:ascii="宋体" w:hAnsi="宋体"/>
          <w:color w:val="auto"/>
          <w:kern w:val="0"/>
          <w:sz w:val="24"/>
        </w:rPr>
        <w:t>3</w:t>
      </w:r>
      <w:r>
        <w:rPr>
          <w:rFonts w:hint="eastAsia" w:ascii="宋体" w:hAnsi="宋体" w:cs="宋体"/>
          <w:color w:val="auto"/>
          <w:kern w:val="0"/>
          <w:sz w:val="24"/>
        </w:rPr>
        <w:t>、本合同通用条款</w:t>
      </w:r>
    </w:p>
    <w:p w14:paraId="6777CA18">
      <w:pPr>
        <w:widowControl/>
        <w:spacing w:line="400" w:lineRule="exact"/>
        <w:ind w:firstLine="480" w:firstLineChars="200"/>
        <w:jc w:val="left"/>
        <w:rPr>
          <w:rFonts w:hint="eastAsia" w:ascii="宋体" w:hAnsi="宋体" w:cs="宋体"/>
          <w:color w:val="auto"/>
          <w:kern w:val="0"/>
          <w:sz w:val="24"/>
        </w:rPr>
      </w:pPr>
      <w:r>
        <w:rPr>
          <w:rFonts w:hint="eastAsia" w:ascii="宋体" w:hAnsi="宋体"/>
          <w:color w:val="auto"/>
          <w:kern w:val="0"/>
          <w:sz w:val="24"/>
        </w:rPr>
        <w:t>4</w:t>
      </w:r>
      <w:r>
        <w:rPr>
          <w:rFonts w:hint="eastAsia" w:ascii="宋体" w:hAnsi="宋体" w:cs="宋体"/>
          <w:color w:val="auto"/>
          <w:kern w:val="0"/>
          <w:sz w:val="24"/>
        </w:rPr>
        <w:t>、中标通知书</w:t>
      </w:r>
    </w:p>
    <w:p w14:paraId="08E14F2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5、投标书、工程报价单或预算书及其附件</w:t>
      </w:r>
    </w:p>
    <w:p w14:paraId="2A61383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6、招标文件、答疑纪要及工程量清单　</w:t>
      </w:r>
    </w:p>
    <w:p w14:paraId="1D1A456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7、图纸</w:t>
      </w:r>
    </w:p>
    <w:p w14:paraId="7B7524D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8、标准、规范及有关技术文件</w:t>
      </w:r>
    </w:p>
    <w:p w14:paraId="0C8E8C6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双方为履行本合同的有关洽商、变更等书面协议、文件，视为本合同的组成部分。</w:t>
      </w:r>
    </w:p>
    <w:p w14:paraId="4B807F5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3D52082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3、语言文字和适用法律、标准及规范</w:t>
      </w:r>
    </w:p>
    <w:p w14:paraId="2DAFED7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3.1语言文字</w:t>
      </w:r>
    </w:p>
    <w:p w14:paraId="6D21EAB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本合同文件使用汉语语言文字书写、解释和说明。如专用条款约定使用两种以上（含两种）语言文字时，汉语应为解释和说明本合同的标准语言文字。</w:t>
      </w:r>
    </w:p>
    <w:p w14:paraId="01F2C22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3.2适用法律和法规</w:t>
      </w:r>
    </w:p>
    <w:p w14:paraId="0A5144E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本合同文件适用国家的法律和行政法规。需要明示的法律、行政法规，由双方在专用条款中约定。</w:t>
      </w:r>
    </w:p>
    <w:p w14:paraId="5656EA4A">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3.3适用标准、规范</w:t>
      </w:r>
    </w:p>
    <w:p w14:paraId="34DEFFC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466B84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46A82F7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本条所发生的购买、翻译标准、规范或制定施工工艺的费用，由发包人承担。</w:t>
      </w:r>
    </w:p>
    <w:p w14:paraId="080B7881">
      <w:pPr>
        <w:widowControl/>
        <w:spacing w:line="400" w:lineRule="exact"/>
        <w:ind w:firstLine="480" w:firstLineChars="200"/>
        <w:jc w:val="left"/>
        <w:outlineLvl w:val="0"/>
        <w:rPr>
          <w:rFonts w:hint="eastAsia" w:ascii="宋体" w:hAnsi="宋体" w:cs="宋体"/>
          <w:color w:val="auto"/>
          <w:kern w:val="0"/>
          <w:sz w:val="24"/>
        </w:rPr>
      </w:pPr>
      <w:bookmarkStart w:id="3" w:name="_Toc447642117"/>
      <w:r>
        <w:rPr>
          <w:rFonts w:hint="eastAsia" w:ascii="宋体" w:hAnsi="宋体" w:cs="宋体"/>
          <w:color w:val="auto"/>
          <w:kern w:val="0"/>
          <w:sz w:val="24"/>
        </w:rPr>
        <w:t>４、图纸</w:t>
      </w:r>
      <w:bookmarkEnd w:id="3"/>
    </w:p>
    <w:p w14:paraId="23FEB26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60E4908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4.2承包人未经发包人同意，不得将本工程图纸转给第三人。工程质量保修期满后，除承包人存档需要的图纸外，应将全部图纸退还给发包人。</w:t>
      </w:r>
    </w:p>
    <w:p w14:paraId="02354E2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4.3承包人应在施工现场保留一套完整图纸，供工程师及有关人员进行工程检查时使用。</w:t>
      </w:r>
    </w:p>
    <w:p w14:paraId="4980D9E7">
      <w:pPr>
        <w:widowControl/>
        <w:spacing w:line="400" w:lineRule="exact"/>
        <w:ind w:firstLine="482" w:firstLineChars="200"/>
        <w:jc w:val="left"/>
        <w:outlineLvl w:val="0"/>
        <w:rPr>
          <w:rFonts w:hint="eastAsia" w:ascii="宋体" w:hAnsi="宋体" w:cs="宋体"/>
          <w:b/>
          <w:color w:val="auto"/>
          <w:kern w:val="0"/>
          <w:sz w:val="24"/>
        </w:rPr>
      </w:pPr>
      <w:bookmarkStart w:id="4" w:name="_Toc447642118"/>
      <w:r>
        <w:rPr>
          <w:rFonts w:hint="eastAsia" w:ascii="宋体" w:hAnsi="宋体" w:cs="宋体"/>
          <w:b/>
          <w:color w:val="auto"/>
          <w:kern w:val="0"/>
          <w:sz w:val="24"/>
        </w:rPr>
        <w:t>二、双方一般权利和义务</w:t>
      </w:r>
      <w:bookmarkEnd w:id="4"/>
    </w:p>
    <w:p w14:paraId="7736E9D0">
      <w:pPr>
        <w:widowControl/>
        <w:spacing w:line="400" w:lineRule="exact"/>
        <w:ind w:firstLine="480" w:firstLineChars="200"/>
        <w:jc w:val="left"/>
        <w:outlineLvl w:val="0"/>
        <w:rPr>
          <w:rFonts w:hint="eastAsia" w:ascii="宋体" w:hAnsi="宋体" w:cs="宋体"/>
          <w:color w:val="auto"/>
          <w:kern w:val="0"/>
          <w:sz w:val="24"/>
        </w:rPr>
      </w:pPr>
      <w:bookmarkStart w:id="5" w:name="_Toc447642119"/>
      <w:r>
        <w:rPr>
          <w:rFonts w:hint="eastAsia" w:ascii="宋体" w:hAnsi="宋体" w:cs="宋体"/>
          <w:color w:val="auto"/>
          <w:kern w:val="0"/>
          <w:sz w:val="24"/>
        </w:rPr>
        <w:t>５、工程师</w:t>
      </w:r>
      <w:bookmarkEnd w:id="5"/>
    </w:p>
    <w:p w14:paraId="401419B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5.1实行工程监理的，发包人应在实施监理前将委托的监理单位名称、监理内容及监理权限以书面形式通知承包人。</w:t>
      </w:r>
    </w:p>
    <w:p w14:paraId="576A79B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C09633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73F375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7FC9B9B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5.5除合同内有明确约定或经发包人同意外，负责监理的工程师无权解除本合同约定的承包人的任何权利与义务。</w:t>
      </w:r>
    </w:p>
    <w:p w14:paraId="398833E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5.6不实行工程监理的，本合同中工程师专指发包人派驻施工场地履行合同的代表，其具体职权由发包人在专用条款内写明。</w:t>
      </w:r>
    </w:p>
    <w:p w14:paraId="79B9DCDB">
      <w:pPr>
        <w:widowControl/>
        <w:spacing w:line="400" w:lineRule="exact"/>
        <w:ind w:firstLine="480" w:firstLineChars="200"/>
        <w:jc w:val="left"/>
        <w:outlineLvl w:val="0"/>
        <w:rPr>
          <w:rFonts w:hint="eastAsia" w:ascii="宋体" w:hAnsi="宋体" w:cs="宋体"/>
          <w:color w:val="auto"/>
          <w:kern w:val="0"/>
          <w:sz w:val="24"/>
        </w:rPr>
      </w:pPr>
      <w:bookmarkStart w:id="6" w:name="_Toc447642120"/>
      <w:r>
        <w:rPr>
          <w:rFonts w:hint="eastAsia" w:ascii="宋体" w:hAnsi="宋体" w:cs="宋体"/>
          <w:color w:val="auto"/>
          <w:kern w:val="0"/>
          <w:sz w:val="24"/>
        </w:rPr>
        <w:t>６、工程师的委派和指令</w:t>
      </w:r>
      <w:bookmarkEnd w:id="6"/>
    </w:p>
    <w:p w14:paraId="254382EF">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6.1工程师可委派工程师代表，行使合同约定的自己的职权，并可在认为必要时撤回委派。委派和撤回均应提前</w:t>
      </w:r>
      <w:r>
        <w:rPr>
          <w:rFonts w:hint="eastAsia" w:ascii="宋体" w:hAnsi="宋体"/>
          <w:color w:val="auto"/>
          <w:kern w:val="0"/>
          <w:sz w:val="24"/>
        </w:rPr>
        <w:t>7</w:t>
      </w:r>
      <w:r>
        <w:rPr>
          <w:rFonts w:hint="eastAsia" w:ascii="宋体" w:hAnsi="宋体" w:cs="宋体"/>
          <w:color w:val="auto"/>
          <w:kern w:val="0"/>
          <w:sz w:val="24"/>
        </w:rPr>
        <w:t>天以书面形式通知承包人，负责监理的工程师还应将委派和撤回通知发包人。委派书和撤回通知作为本合同附件。</w:t>
      </w:r>
    </w:p>
    <w:p w14:paraId="3B8EA96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08C470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除工程师或工程师代表外，发包人派驻工地的其他人员均无权向承包人发出任何指令。</w:t>
      </w:r>
    </w:p>
    <w:p w14:paraId="2638A6D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6.2工程师的指令、通知由其本人签字后，以书面形式交给项目经理，项目经理在回执上签署姓名和收到时间后生效。确有必要时，工程师可发出口头指令，并在</w:t>
      </w:r>
      <w:r>
        <w:rPr>
          <w:rFonts w:hint="eastAsia" w:ascii="宋体" w:hAnsi="宋体"/>
          <w:color w:val="auto"/>
          <w:kern w:val="0"/>
          <w:sz w:val="24"/>
        </w:rPr>
        <w:t>48</w:t>
      </w:r>
      <w:r>
        <w:rPr>
          <w:rFonts w:hint="eastAsia" w:ascii="宋体" w:hAnsi="宋体" w:cs="宋体"/>
          <w:color w:val="auto"/>
          <w:kern w:val="0"/>
          <w:sz w:val="24"/>
        </w:rPr>
        <w:t>小时内给予书面确认，承包人对工程师的指令应予执行。工程师不能及时给予书面确认的，承包人应于工程师发出口头指令后</w:t>
      </w:r>
      <w:r>
        <w:rPr>
          <w:rFonts w:hint="eastAsia" w:ascii="宋体" w:hAnsi="宋体"/>
          <w:color w:val="auto"/>
          <w:kern w:val="0"/>
          <w:sz w:val="24"/>
        </w:rPr>
        <w:t>7</w:t>
      </w:r>
      <w:r>
        <w:rPr>
          <w:rFonts w:hint="eastAsia" w:ascii="宋体" w:hAnsi="宋体" w:cs="宋体"/>
          <w:color w:val="auto"/>
          <w:kern w:val="0"/>
          <w:sz w:val="24"/>
        </w:rPr>
        <w:t>天内提出书面确认要求。工程师在承包人提出确认要求后</w:t>
      </w:r>
      <w:r>
        <w:rPr>
          <w:rFonts w:hint="eastAsia" w:ascii="宋体" w:hAnsi="宋体"/>
          <w:color w:val="auto"/>
          <w:kern w:val="0"/>
          <w:sz w:val="24"/>
        </w:rPr>
        <w:t>48</w:t>
      </w:r>
      <w:r>
        <w:rPr>
          <w:rFonts w:hint="eastAsia" w:ascii="宋体" w:hAnsi="宋体" w:cs="宋体"/>
          <w:color w:val="auto"/>
          <w:kern w:val="0"/>
          <w:sz w:val="24"/>
        </w:rPr>
        <w:t>小时内不予答复的，视为口头指令已被确认。</w:t>
      </w:r>
    </w:p>
    <w:p w14:paraId="56D6EA5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承包人认为工程师指令不合理，应在收到指令后</w:t>
      </w:r>
      <w:r>
        <w:rPr>
          <w:rFonts w:hint="eastAsia" w:ascii="宋体" w:hAnsi="宋体"/>
          <w:color w:val="auto"/>
          <w:kern w:val="0"/>
          <w:sz w:val="24"/>
        </w:rPr>
        <w:t>24</w:t>
      </w:r>
      <w:r>
        <w:rPr>
          <w:rFonts w:hint="eastAsia" w:ascii="宋体" w:hAnsi="宋体" w:cs="宋体"/>
          <w:color w:val="auto"/>
          <w:kern w:val="0"/>
          <w:sz w:val="24"/>
        </w:rPr>
        <w:t>小时内向工程师提出修改指令的书面报告，工程师在收到承包人报告后</w:t>
      </w:r>
      <w:r>
        <w:rPr>
          <w:rFonts w:hint="eastAsia" w:ascii="宋体" w:hAnsi="宋体"/>
          <w:color w:val="auto"/>
          <w:kern w:val="0"/>
          <w:sz w:val="24"/>
        </w:rPr>
        <w:t>24</w:t>
      </w:r>
      <w:r>
        <w:rPr>
          <w:rFonts w:hint="eastAsia" w:ascii="宋体" w:hAnsi="宋体" w:cs="宋体"/>
          <w:color w:val="auto"/>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25DD55C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本款规定同样适用于由工程师代表发出的指令、通知。</w:t>
      </w:r>
    </w:p>
    <w:p w14:paraId="74DCFD7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CFE8CA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6.4如需更换工程师，发包人应至少提前</w:t>
      </w:r>
      <w:r>
        <w:rPr>
          <w:rFonts w:hint="eastAsia" w:ascii="宋体" w:hAnsi="宋体"/>
          <w:color w:val="auto"/>
          <w:kern w:val="0"/>
          <w:sz w:val="24"/>
        </w:rPr>
        <w:t>7</w:t>
      </w:r>
      <w:r>
        <w:rPr>
          <w:rFonts w:hint="eastAsia" w:ascii="宋体" w:hAnsi="宋体" w:cs="宋体"/>
          <w:color w:val="auto"/>
          <w:kern w:val="0"/>
          <w:sz w:val="24"/>
        </w:rPr>
        <w:t>天以书面形式通知承包人，后任继续行使合同文件约定的前任的职权，履行前任的义务。</w:t>
      </w:r>
    </w:p>
    <w:p w14:paraId="0192909E">
      <w:pPr>
        <w:spacing w:line="480" w:lineRule="exact"/>
        <w:ind w:firstLine="480" w:firstLineChars="200"/>
        <w:rPr>
          <w:rFonts w:ascii="宋体" w:hAnsi="宋体" w:cs="宋体"/>
          <w:color w:val="auto"/>
          <w:kern w:val="0"/>
          <w:sz w:val="24"/>
        </w:rPr>
      </w:pPr>
      <w:r>
        <w:rPr>
          <w:rFonts w:hint="eastAsia" w:ascii="宋体" w:hAnsi="宋体" w:cs="宋体"/>
          <w:color w:val="auto"/>
          <w:kern w:val="0"/>
          <w:sz w:val="24"/>
        </w:rPr>
        <w:t>7、项目经理</w:t>
      </w:r>
    </w:p>
    <w:p w14:paraId="3FEEDEFC">
      <w:pPr>
        <w:spacing w:line="480" w:lineRule="exact"/>
        <w:ind w:firstLine="480" w:firstLineChars="200"/>
        <w:rPr>
          <w:rFonts w:ascii="宋体" w:hAnsi="宋体" w:cs="宋体"/>
          <w:color w:val="auto"/>
          <w:kern w:val="0"/>
          <w:sz w:val="24"/>
        </w:rPr>
      </w:pPr>
      <w:r>
        <w:rPr>
          <w:rFonts w:hint="eastAsia" w:ascii="宋体" w:hAnsi="宋体" w:cs="宋体"/>
          <w:color w:val="auto"/>
          <w:kern w:val="0"/>
          <w:sz w:val="24"/>
        </w:rPr>
        <w:t>7.1项目经理的姓名、职务在专用条款内写明。</w:t>
      </w:r>
    </w:p>
    <w:p w14:paraId="34D3FC2A">
      <w:pPr>
        <w:spacing w:line="480" w:lineRule="exact"/>
        <w:ind w:firstLine="480" w:firstLineChars="200"/>
        <w:rPr>
          <w:rFonts w:ascii="宋体" w:hAnsi="宋体" w:cs="宋体"/>
          <w:color w:val="auto"/>
          <w:kern w:val="0"/>
          <w:sz w:val="24"/>
        </w:rPr>
      </w:pPr>
      <w:r>
        <w:rPr>
          <w:rFonts w:hint="eastAsia" w:ascii="宋体" w:hAnsi="宋体" w:cs="宋体"/>
          <w:color w:val="auto"/>
          <w:kern w:val="0"/>
          <w:sz w:val="24"/>
        </w:rPr>
        <w:t>7.2承包人依据合同发出的通知，以书面形式由项目经理签字后送交工程师，工程师在回执上签署姓名和收到时间后生效。</w:t>
      </w:r>
    </w:p>
    <w:p w14:paraId="7DF71975">
      <w:pPr>
        <w:spacing w:line="480" w:lineRule="exact"/>
        <w:ind w:firstLine="480" w:firstLineChars="200"/>
        <w:rPr>
          <w:rFonts w:ascii="宋体" w:hAnsi="宋体" w:cs="宋体"/>
          <w:color w:val="auto"/>
          <w:kern w:val="0"/>
          <w:sz w:val="24"/>
        </w:rPr>
      </w:pPr>
      <w:r>
        <w:rPr>
          <w:rFonts w:hint="eastAsia" w:ascii="宋体" w:hAnsi="宋体" w:cs="宋体"/>
          <w:color w:val="auto"/>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cs="宋体"/>
          <w:color w:val="auto"/>
          <w:kern w:val="0"/>
          <w:sz w:val="24"/>
        </w:rPr>
        <w:t>48</w:t>
      </w:r>
      <w:r>
        <w:rPr>
          <w:rFonts w:hint="eastAsia" w:ascii="宋体" w:hAnsi="宋体" w:cs="宋体"/>
          <w:color w:val="auto"/>
          <w:kern w:val="0"/>
          <w:sz w:val="24"/>
        </w:rPr>
        <w:t>小时内向工程师送交报告。责任在发包人或第三人，由发包人承担由此发生的追加合同价款，相应顺延工期；责任在承包人，由承包人承担费用，不顺延工期。</w:t>
      </w:r>
    </w:p>
    <w:p w14:paraId="7DE60032">
      <w:pPr>
        <w:spacing w:line="480" w:lineRule="exact"/>
        <w:ind w:firstLine="480" w:firstLineChars="200"/>
        <w:rPr>
          <w:rFonts w:ascii="宋体" w:hAnsi="宋体" w:cs="宋体"/>
          <w:color w:val="auto"/>
          <w:kern w:val="0"/>
          <w:sz w:val="24"/>
        </w:rPr>
      </w:pPr>
      <w:r>
        <w:rPr>
          <w:rFonts w:hint="eastAsia" w:ascii="宋体" w:hAnsi="宋体" w:cs="宋体"/>
          <w:color w:val="auto"/>
          <w:kern w:val="0"/>
          <w:sz w:val="24"/>
        </w:rPr>
        <w:t>7.4承包人如需要更换项目经理，应至少提前</w:t>
      </w:r>
      <w:r>
        <w:rPr>
          <w:rFonts w:ascii="宋体" w:hAnsi="宋体" w:cs="宋体"/>
          <w:color w:val="auto"/>
          <w:kern w:val="0"/>
          <w:sz w:val="24"/>
        </w:rPr>
        <w:t>7</w:t>
      </w:r>
      <w:r>
        <w:rPr>
          <w:rFonts w:hint="eastAsia" w:ascii="宋体" w:hAnsi="宋体" w:cs="宋体"/>
          <w:color w:val="auto"/>
          <w:kern w:val="0"/>
          <w:sz w:val="24"/>
        </w:rPr>
        <w:t>天以书面形式通知发包人，并征得发包人同意。后任继续行使合同文件约定的前任的职权，履行前任的义务。</w:t>
      </w:r>
    </w:p>
    <w:p w14:paraId="0DEBCAB7">
      <w:pPr>
        <w:spacing w:line="480" w:lineRule="exact"/>
        <w:ind w:firstLine="480" w:firstLineChars="200"/>
        <w:rPr>
          <w:rFonts w:ascii="宋体" w:hAnsi="宋体" w:cs="宋体"/>
          <w:color w:val="auto"/>
          <w:kern w:val="0"/>
          <w:sz w:val="24"/>
        </w:rPr>
      </w:pPr>
      <w:r>
        <w:rPr>
          <w:rFonts w:hint="eastAsia" w:ascii="宋体" w:hAnsi="宋体" w:cs="宋体"/>
          <w:color w:val="auto"/>
          <w:kern w:val="0"/>
          <w:sz w:val="24"/>
        </w:rPr>
        <w:t>7.5发包人可以与承包人协商，建议更换其认为不称职的项目经理。</w:t>
      </w:r>
    </w:p>
    <w:p w14:paraId="56589611">
      <w:pPr>
        <w:widowControl/>
        <w:spacing w:line="400" w:lineRule="exact"/>
        <w:ind w:firstLine="480" w:firstLineChars="200"/>
        <w:jc w:val="left"/>
        <w:outlineLvl w:val="0"/>
        <w:rPr>
          <w:rFonts w:hint="eastAsia" w:ascii="宋体" w:hAnsi="宋体" w:cs="宋体"/>
          <w:color w:val="auto"/>
          <w:kern w:val="0"/>
          <w:sz w:val="24"/>
        </w:rPr>
      </w:pPr>
      <w:bookmarkStart w:id="7" w:name="_Toc447642121"/>
      <w:r>
        <w:rPr>
          <w:rFonts w:hint="eastAsia" w:ascii="宋体" w:hAnsi="宋体" w:cs="宋体"/>
          <w:color w:val="auto"/>
          <w:kern w:val="0"/>
          <w:sz w:val="24"/>
        </w:rPr>
        <w:t>８、发包人工作</w:t>
      </w:r>
      <w:bookmarkEnd w:id="7"/>
    </w:p>
    <w:p w14:paraId="3F7002E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8.1发包人按专用条款约定的内容和时间完成以下工作：</w:t>
      </w:r>
    </w:p>
    <w:p w14:paraId="1A8B9C5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olor w:val="auto"/>
          <w:kern w:val="0"/>
          <w:sz w:val="24"/>
        </w:rPr>
        <w:t>1</w:t>
      </w:r>
      <w:r>
        <w:rPr>
          <w:rFonts w:hint="eastAsia" w:ascii="宋体" w:hAnsi="宋体" w:cs="宋体"/>
          <w:color w:val="auto"/>
          <w:kern w:val="0"/>
          <w:sz w:val="24"/>
        </w:rPr>
        <w:t>）办理土地征用、拆迁补偿、平整施工场地等工作，使施工场地具备施工条件，在开工后继续负责解决以上事项遗留问题；</w:t>
      </w:r>
    </w:p>
    <w:p w14:paraId="785D67D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olor w:val="auto"/>
          <w:kern w:val="0"/>
          <w:sz w:val="24"/>
        </w:rPr>
        <w:t>2</w:t>
      </w:r>
      <w:r>
        <w:rPr>
          <w:rFonts w:hint="eastAsia" w:ascii="宋体" w:hAnsi="宋体" w:cs="宋体"/>
          <w:color w:val="auto"/>
          <w:kern w:val="0"/>
          <w:sz w:val="24"/>
        </w:rPr>
        <w:t>）将施工所需水、电、电讯线路从施工场地外部接至专用条款约定地点，保证施工期间的需要；</w:t>
      </w:r>
    </w:p>
    <w:p w14:paraId="25F9A00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olor w:val="auto"/>
          <w:kern w:val="0"/>
          <w:sz w:val="24"/>
        </w:rPr>
        <w:t>3</w:t>
      </w:r>
      <w:r>
        <w:rPr>
          <w:rFonts w:hint="eastAsia" w:ascii="宋体" w:hAnsi="宋体" w:cs="宋体"/>
          <w:color w:val="auto"/>
          <w:kern w:val="0"/>
          <w:sz w:val="24"/>
        </w:rPr>
        <w:t>）开通施工场地与城乡公共道路的通道，以及专用条款约定的施工场地内的主要道路，满足施工运输的需要，保证施工期间的畅通；</w:t>
      </w:r>
    </w:p>
    <w:p w14:paraId="6B81E68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olor w:val="auto"/>
          <w:kern w:val="0"/>
          <w:sz w:val="24"/>
        </w:rPr>
        <w:t>4</w:t>
      </w:r>
      <w:r>
        <w:rPr>
          <w:rFonts w:hint="eastAsia" w:ascii="宋体" w:hAnsi="宋体" w:cs="宋体"/>
          <w:color w:val="auto"/>
          <w:kern w:val="0"/>
          <w:sz w:val="24"/>
        </w:rPr>
        <w:t>）向承包人提供施工场地的工程地质和地下管线资料，对资料的真实准确性负责；</w:t>
      </w:r>
    </w:p>
    <w:p w14:paraId="33675CF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olor w:val="auto"/>
          <w:kern w:val="0"/>
          <w:sz w:val="24"/>
        </w:rPr>
        <w:t>5</w:t>
      </w:r>
      <w:r>
        <w:rPr>
          <w:rFonts w:hint="eastAsia" w:ascii="宋体" w:hAnsi="宋体" w:cs="宋体"/>
          <w:color w:val="auto"/>
          <w:kern w:val="0"/>
          <w:sz w:val="24"/>
        </w:rPr>
        <w:t>）办理施工许可证及其它施工所需批件和临时用地、停水、停电、中断道路交通、爆破作业等的证件申请批准手续（证明承包人自身资质的证件除外）；</w:t>
      </w:r>
    </w:p>
    <w:p w14:paraId="5E59B99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olor w:val="auto"/>
          <w:kern w:val="0"/>
          <w:sz w:val="24"/>
        </w:rPr>
        <w:t>6</w:t>
      </w:r>
      <w:r>
        <w:rPr>
          <w:rFonts w:hint="eastAsia" w:ascii="宋体" w:hAnsi="宋体" w:cs="宋体"/>
          <w:color w:val="auto"/>
          <w:kern w:val="0"/>
          <w:sz w:val="24"/>
        </w:rPr>
        <w:t>）确定水准点与坐标控制点，以书面形式交给承包人，进行现场交验；</w:t>
      </w:r>
    </w:p>
    <w:p w14:paraId="3ED2485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olor w:val="auto"/>
          <w:kern w:val="0"/>
          <w:sz w:val="24"/>
        </w:rPr>
        <w:t>7</w:t>
      </w:r>
      <w:r>
        <w:rPr>
          <w:rFonts w:hint="eastAsia" w:ascii="宋体" w:hAnsi="宋体" w:cs="宋体"/>
          <w:color w:val="auto"/>
          <w:kern w:val="0"/>
          <w:sz w:val="24"/>
        </w:rPr>
        <w:t>）组织承包人和设计单位进行图纸会审和设计交底；</w:t>
      </w:r>
    </w:p>
    <w:p w14:paraId="4D4B67DA">
      <w:pPr>
        <w:widowControl/>
        <w:spacing w:line="400" w:lineRule="exact"/>
        <w:ind w:firstLine="480" w:firstLineChars="200"/>
        <w:jc w:val="left"/>
        <w:rPr>
          <w:rFonts w:hint="eastAsia" w:ascii="宋体" w:hAnsi="宋体"/>
          <w:color w:val="auto"/>
          <w:kern w:val="0"/>
          <w:sz w:val="24"/>
        </w:rPr>
      </w:pPr>
      <w:r>
        <w:rPr>
          <w:rFonts w:hint="eastAsia" w:ascii="宋体" w:hAnsi="宋体" w:cs="宋体"/>
          <w:color w:val="auto"/>
          <w:kern w:val="0"/>
          <w:sz w:val="24"/>
        </w:rPr>
        <w:t>（</w:t>
      </w:r>
      <w:r>
        <w:rPr>
          <w:rFonts w:hint="eastAsia" w:ascii="宋体" w:hAnsi="宋体"/>
          <w:color w:val="auto"/>
          <w:kern w:val="0"/>
          <w:sz w:val="24"/>
        </w:rPr>
        <w:t>8</w:t>
      </w:r>
      <w:r>
        <w:rPr>
          <w:rFonts w:hint="eastAsia" w:ascii="宋体" w:hAnsi="宋体" w:cs="宋体"/>
          <w:color w:val="auto"/>
          <w:kern w:val="0"/>
          <w:sz w:val="24"/>
        </w:rPr>
        <w:t>）协调处理施工场地周围地下管线和邻近建筑物、构筑物（包括文物保护建筑）、古树名木的保护工作、承担有关费用；</w:t>
      </w:r>
    </w:p>
    <w:p w14:paraId="32E9429F">
      <w:pPr>
        <w:widowControl/>
        <w:spacing w:line="400" w:lineRule="exact"/>
        <w:ind w:firstLine="480" w:firstLineChars="200"/>
        <w:jc w:val="left"/>
        <w:rPr>
          <w:rFonts w:hint="eastAsia" w:ascii="宋体" w:hAnsi="宋体"/>
          <w:color w:val="auto"/>
          <w:kern w:val="0"/>
          <w:sz w:val="24"/>
        </w:rPr>
      </w:pPr>
      <w:r>
        <w:rPr>
          <w:rFonts w:hint="eastAsia" w:ascii="宋体" w:hAnsi="宋体" w:cs="宋体"/>
          <w:color w:val="auto"/>
          <w:kern w:val="0"/>
          <w:sz w:val="24"/>
        </w:rPr>
        <w:t>（</w:t>
      </w:r>
      <w:r>
        <w:rPr>
          <w:rFonts w:hint="eastAsia" w:ascii="宋体" w:hAnsi="宋体"/>
          <w:color w:val="auto"/>
          <w:kern w:val="0"/>
          <w:sz w:val="24"/>
        </w:rPr>
        <w:t>9</w:t>
      </w:r>
      <w:r>
        <w:rPr>
          <w:rFonts w:hint="eastAsia" w:ascii="宋体" w:hAnsi="宋体" w:cs="宋体"/>
          <w:color w:val="auto"/>
          <w:kern w:val="0"/>
          <w:sz w:val="24"/>
        </w:rPr>
        <w:t>）发包人应做的其他工作，双方在专用条款内约定。</w:t>
      </w:r>
    </w:p>
    <w:p w14:paraId="18BE651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8.2发包人可以将</w:t>
      </w:r>
      <w:r>
        <w:rPr>
          <w:rFonts w:hint="eastAsia" w:ascii="宋体" w:hAnsi="宋体"/>
          <w:color w:val="auto"/>
          <w:kern w:val="0"/>
          <w:sz w:val="24"/>
        </w:rPr>
        <w:t>8.1</w:t>
      </w:r>
      <w:r>
        <w:rPr>
          <w:rFonts w:hint="eastAsia" w:ascii="宋体" w:hAnsi="宋体" w:cs="宋体"/>
          <w:color w:val="auto"/>
          <w:kern w:val="0"/>
          <w:sz w:val="24"/>
        </w:rPr>
        <w:t>款部分工作委托承包人办理，双方在专用条款内约定，其费用由发包人承担。</w:t>
      </w:r>
    </w:p>
    <w:p w14:paraId="6250BB0C">
      <w:pPr>
        <w:widowControl/>
        <w:spacing w:line="400" w:lineRule="exact"/>
        <w:ind w:firstLine="480" w:firstLineChars="200"/>
        <w:jc w:val="left"/>
        <w:rPr>
          <w:rFonts w:hint="eastAsia" w:ascii="宋体" w:hAnsi="宋体"/>
          <w:color w:val="auto"/>
          <w:kern w:val="0"/>
          <w:sz w:val="24"/>
        </w:rPr>
      </w:pPr>
      <w:r>
        <w:rPr>
          <w:rFonts w:hint="eastAsia" w:ascii="宋体" w:hAnsi="宋体" w:cs="宋体"/>
          <w:color w:val="auto"/>
          <w:kern w:val="0"/>
          <w:sz w:val="24"/>
        </w:rPr>
        <w:t>8.3发包人未能履行</w:t>
      </w:r>
      <w:r>
        <w:rPr>
          <w:rFonts w:hint="eastAsia" w:ascii="宋体" w:hAnsi="宋体"/>
          <w:color w:val="auto"/>
          <w:kern w:val="0"/>
          <w:sz w:val="24"/>
        </w:rPr>
        <w:t>8.1</w:t>
      </w:r>
      <w:r>
        <w:rPr>
          <w:rFonts w:hint="eastAsia" w:ascii="宋体" w:hAnsi="宋体" w:cs="宋体"/>
          <w:color w:val="auto"/>
          <w:kern w:val="0"/>
          <w:sz w:val="24"/>
        </w:rPr>
        <w:t>款各项义务，导致工期延误或给承包人造成损失的，发包人赔偿承包人有关损失，顺延延误的工期。</w:t>
      </w:r>
    </w:p>
    <w:p w14:paraId="0CDBE6F4">
      <w:pPr>
        <w:widowControl/>
        <w:spacing w:line="400" w:lineRule="exact"/>
        <w:ind w:firstLine="480" w:firstLineChars="200"/>
        <w:jc w:val="left"/>
        <w:outlineLvl w:val="0"/>
        <w:rPr>
          <w:rFonts w:hint="eastAsia" w:ascii="宋体" w:hAnsi="宋体" w:cs="宋体"/>
          <w:color w:val="auto"/>
          <w:kern w:val="0"/>
          <w:sz w:val="24"/>
        </w:rPr>
      </w:pPr>
      <w:bookmarkStart w:id="8" w:name="_Toc447642122"/>
      <w:r>
        <w:rPr>
          <w:rFonts w:hint="eastAsia" w:ascii="宋体" w:hAnsi="宋体" w:cs="宋体"/>
          <w:color w:val="auto"/>
          <w:kern w:val="0"/>
          <w:sz w:val="24"/>
        </w:rPr>
        <w:t>９、承包人工作</w:t>
      </w:r>
      <w:bookmarkEnd w:id="8"/>
    </w:p>
    <w:p w14:paraId="46D84EE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9.1承包人按专用条款约定的内容和时间完成以下工作：</w:t>
      </w:r>
    </w:p>
    <w:p w14:paraId="4D8983D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（1）根据发包人委托，在其设计资质等级和业务允许的范围内，完成施工图设计或与工程配套的设计，经工程师确认后使用，发包人承担由此发生的费用；</w:t>
      </w:r>
    </w:p>
    <w:p w14:paraId="3B80D56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（2）向工程师提供年、季、月度工程进度计划及相应进度统计报表；</w:t>
      </w:r>
    </w:p>
    <w:p w14:paraId="44C20480">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（3）根据工程需要，提供和维修非夜间施工使用的照明、围栏设施；负责施工现场安全保卫；</w:t>
      </w:r>
    </w:p>
    <w:p w14:paraId="6C52292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（4）按专用条款约定的数量和要求，向发包人提供施工场地办公和生活的房屋及设施，发包人承担由此发生的费用；</w:t>
      </w:r>
    </w:p>
    <w:p w14:paraId="14DCF02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（5）遵守政府有关主管部门对施工场地安全防护、文明施工、环境保护以及场地交通等的管理规定，按规定办理有关手续，并以书面形式通知发包人。</w:t>
      </w:r>
    </w:p>
    <w:p w14:paraId="2D9DE4AA">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2B96E2B">
      <w:pPr>
        <w:widowControl/>
        <w:spacing w:line="400" w:lineRule="exact"/>
        <w:ind w:firstLine="480" w:firstLineChars="200"/>
        <w:jc w:val="left"/>
        <w:rPr>
          <w:rFonts w:hint="eastAsia" w:ascii="宋体" w:hAnsi="宋体" w:cs="宋体"/>
          <w:b/>
          <w:bCs/>
          <w:color w:val="auto"/>
          <w:kern w:val="0"/>
          <w:sz w:val="24"/>
        </w:rPr>
      </w:pPr>
      <w:r>
        <w:rPr>
          <w:rFonts w:hint="eastAsia" w:ascii="宋体" w:hAnsi="宋体" w:cs="宋体"/>
          <w:color w:val="auto"/>
          <w:kern w:val="0"/>
          <w:sz w:val="24"/>
        </w:rPr>
        <w:t>（7）按专用条款约定做好施工场地地下管线和邻近建筑物、构筑物（包括文物保护建筑）、古树名木的保护工作</w:t>
      </w:r>
      <w:r>
        <w:rPr>
          <w:rFonts w:hint="eastAsia" w:ascii="宋体" w:hAnsi="宋体" w:cs="宋体"/>
          <w:b/>
          <w:bCs/>
          <w:color w:val="auto"/>
          <w:kern w:val="0"/>
          <w:sz w:val="24"/>
        </w:rPr>
        <w:t>；</w:t>
      </w:r>
    </w:p>
    <w:p w14:paraId="4CBEDF7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（8）保证施工场地清洁符合环境卫生管理的有关规定，交工前清理现场达到专用条款约定的要求，承担因自身原因违反有关规定造成的损失和罚款；</w:t>
      </w:r>
    </w:p>
    <w:p w14:paraId="5ACAB80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（9）承包人应做的其他工作，双方在专用条款内约定。</w:t>
      </w:r>
    </w:p>
    <w:p w14:paraId="44EAF50F">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9.2承包人未能履行9.1款各项义务，造成发包人损失的，承包人赔偿发包人有关损失。</w:t>
      </w:r>
    </w:p>
    <w:p w14:paraId="2EC4D887">
      <w:pPr>
        <w:widowControl/>
        <w:spacing w:line="400" w:lineRule="exact"/>
        <w:ind w:firstLine="482" w:firstLineChars="200"/>
        <w:jc w:val="left"/>
        <w:outlineLvl w:val="0"/>
        <w:rPr>
          <w:rFonts w:hint="eastAsia" w:ascii="宋体" w:hAnsi="宋体" w:cs="宋体"/>
          <w:b/>
          <w:color w:val="auto"/>
          <w:kern w:val="0"/>
          <w:sz w:val="24"/>
        </w:rPr>
      </w:pPr>
      <w:bookmarkStart w:id="9" w:name="_Toc447642123"/>
      <w:r>
        <w:rPr>
          <w:rFonts w:hint="eastAsia" w:ascii="宋体" w:hAnsi="宋体" w:cs="宋体"/>
          <w:b/>
          <w:color w:val="auto"/>
          <w:kern w:val="0"/>
          <w:sz w:val="24"/>
        </w:rPr>
        <w:t>三、施工组织设计和工期</w:t>
      </w:r>
      <w:bookmarkEnd w:id="9"/>
    </w:p>
    <w:p w14:paraId="45133F4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10、进度计划</w:t>
      </w:r>
    </w:p>
    <w:p w14:paraId="36FCB6E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373B9A5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10.2群体工程中单位工程分期进行施工的，承包人应按照发包人提供图纸及有关资料的时间，按单位工程编制进度计划，其具体内容双方在专用条款中约定。</w:t>
      </w:r>
    </w:p>
    <w:p w14:paraId="274EEEB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00808E80">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11、开工及延期开工</w:t>
      </w:r>
    </w:p>
    <w:p w14:paraId="4F8D904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7E318E70">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11.2因发包人原因不能按照协议书约定的开工日期开工，工程师应以书面形式通知承包人，推迟开工日期。发包人赔偿承包人因延期开工造成的损失，并相应顺延工期。</w:t>
      </w:r>
    </w:p>
    <w:p w14:paraId="65CEDF6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12、暂停施工</w:t>
      </w:r>
    </w:p>
    <w:p w14:paraId="0D1B109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53D1974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13、工期延误</w:t>
      </w:r>
    </w:p>
    <w:p w14:paraId="758E34B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13.1因以下原因造成工期延误，经工程师确认，工期相应顺延：</w:t>
      </w:r>
    </w:p>
    <w:p w14:paraId="5D45773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（1）发包人未能按专用条款的约定提供图纸及开工条件；</w:t>
      </w:r>
    </w:p>
    <w:p w14:paraId="03031A8A">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（2）发包人未能按约定日期支付工程预付款、进度款，致使施工不能正常进行；</w:t>
      </w:r>
    </w:p>
    <w:p w14:paraId="42F4C33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（3）工程师未按合同约定提供所需指令、批准等，致使施工不能正常进行；</w:t>
      </w:r>
    </w:p>
    <w:p w14:paraId="2668880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（4）设计变更和工程量增加；</w:t>
      </w:r>
    </w:p>
    <w:p w14:paraId="70F2CB2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（5）一周内非承包人原因停水、停电、停气造成停工累计超过8小时；</w:t>
      </w:r>
    </w:p>
    <w:p w14:paraId="66D0260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（6）不可抗力；</w:t>
      </w:r>
    </w:p>
    <w:p w14:paraId="6D96FFB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（7）专用条款中约定或工程师同意工期顺延的其他情况。</w:t>
      </w:r>
    </w:p>
    <w:p w14:paraId="6CAE9BF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13.2承包人在13.1款情况发生后14天内，就延误的工期以书面形式向工程师提出报告。工程师在收到报告后14天内予以确认，逾期不予确认也不提出修改意见，视为同意顺延工期。</w:t>
      </w:r>
    </w:p>
    <w:p w14:paraId="11484B1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14、工程竣工</w:t>
      </w:r>
    </w:p>
    <w:p w14:paraId="06DA7A9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14.1承包人必须按照协议书约定的竣工日期或工程师同意顺延的工期竣工。</w:t>
      </w:r>
    </w:p>
    <w:p w14:paraId="7A6EC0C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14.2因承包人原因不能按照协议书约定的竣工日期或工程师同意顺延的工期竣工的，承包人承担违约责任。</w:t>
      </w:r>
    </w:p>
    <w:p w14:paraId="5CCABA7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7663BCE">
      <w:pPr>
        <w:widowControl/>
        <w:spacing w:line="400" w:lineRule="exact"/>
        <w:ind w:firstLine="482" w:firstLineChars="200"/>
        <w:jc w:val="left"/>
        <w:outlineLvl w:val="0"/>
        <w:rPr>
          <w:rFonts w:hint="eastAsia" w:ascii="宋体" w:hAnsi="宋体" w:cs="宋体"/>
          <w:b/>
          <w:color w:val="auto"/>
          <w:kern w:val="0"/>
          <w:sz w:val="24"/>
        </w:rPr>
      </w:pPr>
      <w:bookmarkStart w:id="10" w:name="_Toc447642124"/>
      <w:r>
        <w:rPr>
          <w:rFonts w:hint="eastAsia" w:ascii="宋体" w:hAnsi="宋体" w:cs="宋体"/>
          <w:b/>
          <w:color w:val="auto"/>
          <w:kern w:val="0"/>
          <w:sz w:val="24"/>
        </w:rPr>
        <w:t>四、质量与检验</w:t>
      </w:r>
      <w:bookmarkEnd w:id="10"/>
    </w:p>
    <w:p w14:paraId="65342BD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15、工程质量</w:t>
      </w:r>
    </w:p>
    <w:p w14:paraId="1693A7F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15.1工程质量应当达到协议书约定的质量标准，质量标准的评定以国家或行业的质量检验评定标准为依据。因承包人原因工程质量达不到约定的质量标准，承包人承担违约责任。</w:t>
      </w:r>
    </w:p>
    <w:p w14:paraId="1152C41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15.2双方对工程质量有争议，由双方同意的工程质量检测机构鉴定，所需费用及因此造成的损失，由责任方承担。双方均有责任，由双方根据其责任分别承担。</w:t>
      </w:r>
    </w:p>
    <w:p w14:paraId="1100BF9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16、检查和返工</w:t>
      </w:r>
    </w:p>
    <w:p w14:paraId="02B4E48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16.1承包人应认真按照标准、规范和设计图纸要求以及工程师依据合同发出的指令施工，随时接受工程师的检查检验，为检查检验提供便利条件。</w:t>
      </w:r>
    </w:p>
    <w:p w14:paraId="6EABC5E9">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A27B92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333A8C6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16.4因工程师指令失误或其他非承包人原因发生的追加合同价款，由发包人承担。</w:t>
      </w:r>
    </w:p>
    <w:p w14:paraId="110FC4D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17、隐蔽工程和中间验收</w:t>
      </w:r>
    </w:p>
    <w:p w14:paraId="3ACF5B4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168F616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1621DD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17.3经工程师验收，工程质量符合标准、规范和设计图纸等要求，验收24小时后，工程师不在验收记录上签字，视为工程师已经认可验收记录，承包人可进行隐蔽或继续施工。</w:t>
      </w:r>
    </w:p>
    <w:p w14:paraId="64AE6D0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18、重新检验，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57DE8B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19、工程试车</w:t>
      </w:r>
    </w:p>
    <w:p w14:paraId="179D345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19.1双方约定需要试车的，试车内容应与承包人承包的安装范围相一致。</w:t>
      </w:r>
    </w:p>
    <w:p w14:paraId="1985BD80">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324AD60">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19.3工程师不能按时参加试车，须在开始试车前24小时以书面形式向承包人提出延期要求，延期不能超过48小时。工程师未能按以上时间提出延期要求，不参加试车，应承认试车记录。</w:t>
      </w:r>
    </w:p>
    <w:p w14:paraId="37671BB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2938021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19.5双方责任</w:t>
      </w:r>
    </w:p>
    <w:p w14:paraId="6339200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65291C1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6BB0212A">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（3）由于承包人施工原因试车达不到验收要求，承包人按工程师要求重新安装和试车，并承担重新安装和试车的费用，工期不予顺延。</w:t>
      </w:r>
    </w:p>
    <w:p w14:paraId="4E53AE4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（4）试车费用除已包括在合同价款之内或专用条款另有约定外，均由发包人承担。</w:t>
      </w:r>
    </w:p>
    <w:p w14:paraId="264184DF">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（5）工程师在试车合格后不在试车记录上签字，试车结束24小时后，视为工程师已经认可试车记录，承包人可继续施工或办理竣工手续。</w:t>
      </w:r>
    </w:p>
    <w:p w14:paraId="25D2D26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19.6投料试车应在工程竣工验收后由发包人负责，如发包人要求在工程竣工验收前进行或需要承包人配合时，应征得承包人同意，另行签订补充协议。</w:t>
      </w:r>
    </w:p>
    <w:p w14:paraId="414DD272">
      <w:pPr>
        <w:widowControl/>
        <w:spacing w:line="400" w:lineRule="exact"/>
        <w:ind w:firstLine="482" w:firstLineChars="200"/>
        <w:jc w:val="left"/>
        <w:outlineLvl w:val="0"/>
        <w:rPr>
          <w:rFonts w:hint="eastAsia" w:ascii="宋体" w:hAnsi="宋体"/>
          <w:b/>
          <w:color w:val="auto"/>
          <w:kern w:val="0"/>
          <w:sz w:val="24"/>
        </w:rPr>
      </w:pPr>
      <w:bookmarkStart w:id="11" w:name="_Toc447642125"/>
      <w:r>
        <w:rPr>
          <w:rFonts w:hint="eastAsia" w:ascii="宋体" w:hAnsi="宋体" w:cs="宋体"/>
          <w:b/>
          <w:color w:val="auto"/>
          <w:kern w:val="0"/>
          <w:sz w:val="24"/>
        </w:rPr>
        <w:t>五、安全防护、文明施工</w:t>
      </w:r>
      <w:bookmarkEnd w:id="11"/>
    </w:p>
    <w:p w14:paraId="183DF676">
      <w:pPr>
        <w:widowControl/>
        <w:spacing w:line="400" w:lineRule="exact"/>
        <w:ind w:firstLine="480" w:firstLineChars="200"/>
        <w:jc w:val="left"/>
        <w:rPr>
          <w:rFonts w:hint="eastAsia" w:ascii="宋体" w:hAnsi="宋体" w:cs="宋体"/>
          <w:color w:val="auto"/>
          <w:kern w:val="0"/>
          <w:sz w:val="24"/>
        </w:rPr>
      </w:pPr>
      <w:r>
        <w:rPr>
          <w:rFonts w:hint="eastAsia" w:ascii="宋体" w:hAnsi="宋体"/>
          <w:color w:val="auto"/>
          <w:kern w:val="0"/>
          <w:sz w:val="24"/>
        </w:rPr>
        <w:t>20</w:t>
      </w:r>
      <w:r>
        <w:rPr>
          <w:rFonts w:hint="eastAsia" w:ascii="宋体" w:hAnsi="宋体" w:cs="宋体"/>
          <w:color w:val="auto"/>
          <w:kern w:val="0"/>
          <w:sz w:val="24"/>
        </w:rPr>
        <w:t>、发包人责任</w:t>
      </w:r>
    </w:p>
    <w:p w14:paraId="5F55557C">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20．1发包人应遵守安全防护和文明施工的规定，督促承包人落实安全防护、文明施工措施，并按规定支付安全防护、文明施工措施费。</w:t>
      </w:r>
    </w:p>
    <w:p w14:paraId="65E0F9B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20．2发包人应对其在施工现场人员进行安全防护、文明施工教育，并对他们的安全负责。</w:t>
      </w:r>
    </w:p>
    <w:p w14:paraId="22ADC4A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50D86AD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20．4发包人违反上述规定或由于发包人原因导致安全事故的，由发包人承担相应责任和费用，顺延延误的工期。</w:t>
      </w:r>
    </w:p>
    <w:p w14:paraId="66D6737E">
      <w:pPr>
        <w:widowControl/>
        <w:spacing w:line="400" w:lineRule="exact"/>
        <w:ind w:firstLine="480" w:firstLineChars="200"/>
        <w:jc w:val="left"/>
        <w:rPr>
          <w:rFonts w:hint="eastAsia" w:ascii="宋体" w:hAnsi="宋体"/>
          <w:color w:val="auto"/>
          <w:kern w:val="0"/>
          <w:sz w:val="24"/>
        </w:rPr>
      </w:pPr>
      <w:r>
        <w:rPr>
          <w:rFonts w:hint="eastAsia" w:ascii="宋体" w:hAnsi="宋体"/>
          <w:color w:val="auto"/>
          <w:kern w:val="0"/>
          <w:sz w:val="24"/>
        </w:rPr>
        <w:t>21</w:t>
      </w:r>
      <w:r>
        <w:rPr>
          <w:rFonts w:hint="eastAsia" w:ascii="宋体" w:hAnsi="宋体" w:cs="宋体"/>
          <w:color w:val="auto"/>
          <w:kern w:val="0"/>
          <w:sz w:val="24"/>
        </w:rPr>
        <w:t>、承包人责任</w:t>
      </w:r>
    </w:p>
    <w:p w14:paraId="4D81BE3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21.1承包人应遵守安全防护和文明施工的规定，建立健全安全防护和文明施工的制度，对其在施工现场人员进行安全防护、文明施工教育，并对他们的安全负责。</w:t>
      </w:r>
    </w:p>
    <w:p w14:paraId="46CC58C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21.2完善安全防护和文明施工条件，严格按照安全防护和文明施工的规定组织施工，采取必要的安全防护措施，消除事故隐患，自觉接受和配合依法实施的监督检查。</w:t>
      </w:r>
    </w:p>
    <w:p w14:paraId="4EE81255">
      <w:pPr>
        <w:widowControl/>
        <w:spacing w:line="400" w:lineRule="exact"/>
        <w:ind w:firstLine="480" w:firstLineChars="200"/>
        <w:jc w:val="left"/>
        <w:rPr>
          <w:rFonts w:hint="eastAsia" w:ascii="宋体" w:hAnsi="宋体"/>
          <w:color w:val="auto"/>
          <w:kern w:val="0"/>
          <w:sz w:val="24"/>
        </w:rPr>
      </w:pPr>
      <w:r>
        <w:rPr>
          <w:rFonts w:hint="eastAsia" w:ascii="宋体" w:hAnsi="宋体"/>
          <w:color w:val="auto"/>
          <w:kern w:val="0"/>
          <w:sz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34323F66">
      <w:pPr>
        <w:widowControl/>
        <w:spacing w:line="400" w:lineRule="exact"/>
        <w:ind w:firstLine="480" w:firstLineChars="200"/>
        <w:jc w:val="left"/>
        <w:rPr>
          <w:rFonts w:hint="eastAsia" w:ascii="宋体" w:hAnsi="宋体"/>
          <w:color w:val="auto"/>
          <w:kern w:val="0"/>
          <w:sz w:val="24"/>
        </w:rPr>
      </w:pPr>
      <w:r>
        <w:rPr>
          <w:rFonts w:hint="eastAsia" w:ascii="宋体" w:hAnsi="宋体" w:cs="宋体"/>
          <w:color w:val="auto"/>
          <w:kern w:val="0"/>
          <w:sz w:val="24"/>
        </w:rPr>
        <w:t>21.4应按规定的范围使用安全文明措施费，</w:t>
      </w:r>
      <w:r>
        <w:rPr>
          <w:rFonts w:hint="eastAsia" w:ascii="宋体" w:hAnsi="宋体"/>
          <w:color w:val="auto"/>
          <w:kern w:val="0"/>
          <w:sz w:val="24"/>
        </w:rPr>
        <w:t>保证专款专用，不得挪作它用。</w:t>
      </w:r>
    </w:p>
    <w:p w14:paraId="7F969669">
      <w:pPr>
        <w:widowControl/>
        <w:spacing w:line="400" w:lineRule="exact"/>
        <w:ind w:firstLine="480" w:firstLineChars="200"/>
        <w:jc w:val="left"/>
        <w:rPr>
          <w:rFonts w:hint="eastAsia" w:ascii="宋体" w:hAnsi="宋体"/>
          <w:color w:val="auto"/>
          <w:kern w:val="0"/>
          <w:sz w:val="24"/>
        </w:rPr>
      </w:pPr>
      <w:r>
        <w:rPr>
          <w:rFonts w:hint="eastAsia" w:ascii="宋体" w:hAnsi="宋体"/>
          <w:color w:val="auto"/>
          <w:kern w:val="0"/>
          <w:sz w:val="24"/>
        </w:rPr>
        <w:t>21.5承包人对合同工程的安全施工负责，并应及时、如实报告生产安全事故。承包人违反上述规定或由于承包人原因造成的安全事故，由承包人承担相应责任和费用，工期不予顺延。</w:t>
      </w:r>
    </w:p>
    <w:p w14:paraId="49D177AF">
      <w:pPr>
        <w:widowControl/>
        <w:spacing w:line="400" w:lineRule="exact"/>
        <w:ind w:firstLine="480" w:firstLineChars="200"/>
        <w:jc w:val="left"/>
        <w:rPr>
          <w:rFonts w:hint="eastAsia" w:ascii="宋体" w:hAnsi="宋体"/>
          <w:color w:val="auto"/>
          <w:kern w:val="0"/>
          <w:sz w:val="24"/>
        </w:rPr>
      </w:pPr>
      <w:r>
        <w:rPr>
          <w:rFonts w:hint="eastAsia" w:ascii="宋体" w:hAnsi="宋体"/>
          <w:color w:val="auto"/>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492E133B">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23、实施爆破作业，在放射、毒害性环境中施工（含储存、运输、使用）及使用毒害性、腐蚀性物品施工时，承包人应在施工前</w:t>
      </w:r>
      <w:r>
        <w:rPr>
          <w:rFonts w:hint="eastAsia" w:ascii="宋体" w:hAnsi="宋体"/>
          <w:color w:val="auto"/>
          <w:kern w:val="0"/>
          <w:sz w:val="24"/>
        </w:rPr>
        <w:t>14</w:t>
      </w:r>
      <w:r>
        <w:rPr>
          <w:rFonts w:hint="eastAsia" w:ascii="宋体" w:hAnsi="宋体" w:cs="宋体"/>
          <w:color w:val="auto"/>
          <w:kern w:val="0"/>
          <w:sz w:val="24"/>
        </w:rPr>
        <w:t>天以书面通知工程师，并提出相应的安全防护措施，经工程师认可后实施，由发包人承担安全防护措施费用。</w:t>
      </w:r>
    </w:p>
    <w:p w14:paraId="7ADF49AC">
      <w:pPr>
        <w:widowControl/>
        <w:spacing w:line="400" w:lineRule="exact"/>
        <w:ind w:firstLine="480" w:firstLineChars="200"/>
        <w:jc w:val="left"/>
        <w:rPr>
          <w:rFonts w:hint="eastAsia" w:ascii="宋体" w:hAnsi="宋体"/>
          <w:color w:val="auto"/>
          <w:kern w:val="0"/>
          <w:sz w:val="24"/>
        </w:rPr>
      </w:pPr>
      <w:r>
        <w:rPr>
          <w:rFonts w:hint="eastAsia" w:ascii="宋体" w:hAnsi="宋体"/>
          <w:color w:val="auto"/>
          <w:kern w:val="0"/>
          <w:sz w:val="24"/>
        </w:rPr>
        <w:t>24</w:t>
      </w:r>
      <w:r>
        <w:rPr>
          <w:rFonts w:hint="eastAsia" w:ascii="宋体" w:hAnsi="宋体" w:cs="宋体"/>
          <w:color w:val="auto"/>
          <w:kern w:val="0"/>
          <w:sz w:val="24"/>
        </w:rPr>
        <w:t>、事故处理</w:t>
      </w:r>
    </w:p>
    <w:p w14:paraId="543D682C">
      <w:pPr>
        <w:widowControl/>
        <w:spacing w:line="400" w:lineRule="exact"/>
        <w:ind w:firstLine="480" w:firstLineChars="200"/>
        <w:jc w:val="left"/>
        <w:rPr>
          <w:rFonts w:hint="eastAsia" w:ascii="宋体" w:hAnsi="宋体"/>
          <w:color w:val="auto"/>
          <w:kern w:val="0"/>
          <w:sz w:val="24"/>
        </w:rPr>
      </w:pPr>
      <w:r>
        <w:rPr>
          <w:rFonts w:hint="eastAsia" w:ascii="宋体" w:hAnsi="宋体"/>
          <w:color w:val="auto"/>
          <w:kern w:val="0"/>
          <w:sz w:val="24"/>
        </w:rPr>
        <w:t>24.1</w:t>
      </w:r>
      <w:r>
        <w:rPr>
          <w:rFonts w:hint="eastAsia" w:ascii="宋体" w:hAnsi="宋体" w:cs="宋体"/>
          <w:color w:val="auto"/>
          <w:kern w:val="0"/>
          <w:sz w:val="24"/>
        </w:rPr>
        <w:t>发生伤亡及其他安全事故，承包人应按有关规定立即上报有关部门并通知工程师，同时按政府有关部门要求处理，由事故责任方承担发生的费用。</w:t>
      </w:r>
    </w:p>
    <w:p w14:paraId="198AC543">
      <w:pPr>
        <w:widowControl/>
        <w:spacing w:line="400" w:lineRule="exact"/>
        <w:ind w:firstLine="480" w:firstLineChars="200"/>
        <w:jc w:val="left"/>
        <w:rPr>
          <w:rFonts w:hint="eastAsia" w:ascii="宋体" w:hAnsi="宋体"/>
          <w:color w:val="auto"/>
          <w:kern w:val="0"/>
          <w:sz w:val="24"/>
        </w:rPr>
      </w:pPr>
      <w:r>
        <w:rPr>
          <w:rFonts w:hint="eastAsia" w:ascii="宋体" w:hAnsi="宋体"/>
          <w:color w:val="auto"/>
          <w:kern w:val="0"/>
          <w:sz w:val="24"/>
        </w:rPr>
        <w:t>24.2</w:t>
      </w:r>
      <w:r>
        <w:rPr>
          <w:rFonts w:hint="eastAsia" w:ascii="宋体" w:hAnsi="宋体" w:cs="宋体"/>
          <w:color w:val="auto"/>
          <w:kern w:val="0"/>
          <w:sz w:val="24"/>
        </w:rPr>
        <w:t>发包人承包人对事故责任有争议时，应按政府有关部门的认定处理。</w:t>
      </w:r>
    </w:p>
    <w:p w14:paraId="1F1DD1AA">
      <w:pPr>
        <w:widowControl/>
        <w:spacing w:line="400" w:lineRule="exact"/>
        <w:ind w:firstLine="482" w:firstLineChars="200"/>
        <w:jc w:val="left"/>
        <w:outlineLvl w:val="0"/>
        <w:rPr>
          <w:rFonts w:hint="eastAsia" w:ascii="宋体" w:hAnsi="宋体"/>
          <w:b/>
          <w:color w:val="auto"/>
          <w:kern w:val="0"/>
          <w:sz w:val="24"/>
        </w:rPr>
      </w:pPr>
      <w:bookmarkStart w:id="12" w:name="_Toc447642126"/>
      <w:r>
        <w:rPr>
          <w:rFonts w:hint="eastAsia" w:ascii="宋体" w:hAnsi="宋体" w:cs="宋体"/>
          <w:b/>
          <w:color w:val="auto"/>
          <w:kern w:val="0"/>
          <w:sz w:val="24"/>
        </w:rPr>
        <w:t>六、合同价款</w:t>
      </w:r>
      <w:bookmarkEnd w:id="12"/>
    </w:p>
    <w:p w14:paraId="604454C0">
      <w:pPr>
        <w:widowControl/>
        <w:spacing w:line="400" w:lineRule="exact"/>
        <w:ind w:firstLine="480" w:firstLineChars="200"/>
        <w:jc w:val="left"/>
        <w:rPr>
          <w:rFonts w:hint="eastAsia" w:ascii="宋体" w:hAnsi="宋体"/>
          <w:color w:val="auto"/>
          <w:sz w:val="24"/>
        </w:rPr>
      </w:pPr>
      <w:r>
        <w:rPr>
          <w:rFonts w:hint="eastAsia" w:ascii="宋体" w:hAnsi="宋体"/>
          <w:color w:val="auto"/>
          <w:kern w:val="0"/>
          <w:sz w:val="24"/>
        </w:rPr>
        <w:t>25</w:t>
      </w:r>
      <w:r>
        <w:rPr>
          <w:rFonts w:hint="eastAsia" w:ascii="宋体" w:hAnsi="宋体" w:cs="宋体"/>
          <w:color w:val="auto"/>
          <w:kern w:val="0"/>
          <w:sz w:val="24"/>
        </w:rPr>
        <w:t>、</w:t>
      </w:r>
      <w:r>
        <w:rPr>
          <w:rFonts w:hint="eastAsia" w:ascii="宋体" w:hAnsi="宋体"/>
          <w:color w:val="auto"/>
          <w:kern w:val="0"/>
          <w:sz w:val="24"/>
        </w:rPr>
        <w:t>工程的计量规则和计价办法以《陕西省建设工程工程量清单计价规则》及相关规定为准，工程师应按照合同约定，依据上述规定进行工程计量和计价。</w:t>
      </w:r>
    </w:p>
    <w:p w14:paraId="020FC97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26、合同价款约定</w:t>
      </w:r>
    </w:p>
    <w:p w14:paraId="7874D1DD">
      <w:pPr>
        <w:widowControl/>
        <w:spacing w:line="400" w:lineRule="exact"/>
        <w:ind w:firstLine="240" w:firstLineChars="100"/>
        <w:jc w:val="left"/>
        <w:rPr>
          <w:rFonts w:hint="eastAsia" w:ascii="宋体" w:hAnsi="宋体" w:cs="宋体"/>
          <w:color w:val="auto"/>
          <w:kern w:val="0"/>
          <w:sz w:val="24"/>
        </w:rPr>
      </w:pPr>
      <w:r>
        <w:rPr>
          <w:rFonts w:hint="eastAsia" w:ascii="宋体" w:hAnsi="宋体" w:cs="宋体"/>
          <w:color w:val="auto"/>
          <w:kern w:val="0"/>
          <w:sz w:val="24"/>
        </w:rPr>
        <w:t>26.1招标工程的合同价款由发包人承包人依据中标通知书中的中标价格在协议书内约定。非招标工程的合同价款由发包人承包人依据双方确认的工程预算书在协议书内约定。</w:t>
      </w:r>
    </w:p>
    <w:p w14:paraId="1721420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26.2合同价款在协议书内约定后，任何一方不得擅自改变。下列三种确定合同价款的方式，双方可在专用条款内约定采用其中一种：</w:t>
      </w:r>
    </w:p>
    <w:p w14:paraId="3B3AADE4">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（1）固定总价合同。合同工期较短且工程合同总价较低的工程，可以采用固定总价合同方式。</w:t>
      </w:r>
    </w:p>
    <w:p w14:paraId="52E65C9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27、合同价款调整</w:t>
      </w:r>
    </w:p>
    <w:p w14:paraId="620D55BD">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27.1价格中工程量、综合单价、措施项目费用的调整因素包括：</w:t>
      </w:r>
    </w:p>
    <w:p w14:paraId="630F0B8F">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（1）法律、行政法规和国家有关政策变化影响合同价款；</w:t>
      </w:r>
    </w:p>
    <w:p w14:paraId="3601C256">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val="en-US" w:eastAsia="zh-CN"/>
        </w:rPr>
        <w:t>2</w:t>
      </w:r>
      <w:r>
        <w:rPr>
          <w:rFonts w:hint="eastAsia" w:ascii="宋体" w:hAnsi="宋体" w:cs="宋体"/>
          <w:color w:val="auto"/>
          <w:kern w:val="0"/>
          <w:sz w:val="24"/>
        </w:rPr>
        <w:t>）经批准的设计变更；</w:t>
      </w:r>
    </w:p>
    <w:p w14:paraId="4E500430">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val="en-US" w:eastAsia="zh-CN"/>
        </w:rPr>
        <w:t>3</w:t>
      </w:r>
      <w:r>
        <w:rPr>
          <w:rFonts w:hint="eastAsia" w:ascii="宋体" w:hAnsi="宋体" w:cs="宋体"/>
          <w:color w:val="auto"/>
          <w:kern w:val="0"/>
          <w:sz w:val="24"/>
        </w:rPr>
        <w:t>）发包人更改经审定批准的施工组织设计（修正错误除外）造成费用变化；</w:t>
      </w:r>
    </w:p>
    <w:p w14:paraId="2F85D517">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val="en-US" w:eastAsia="zh-CN"/>
        </w:rPr>
        <w:t>4</w:t>
      </w:r>
      <w:r>
        <w:rPr>
          <w:rFonts w:hint="eastAsia" w:ascii="宋体" w:hAnsi="宋体" w:cs="宋体"/>
          <w:color w:val="auto"/>
          <w:kern w:val="0"/>
          <w:sz w:val="24"/>
        </w:rPr>
        <w:t>）双方在专用条款中约定的其他因素。</w:t>
      </w:r>
    </w:p>
    <w:p w14:paraId="68DDBF7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AFB08A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28、工程预付款</w:t>
      </w:r>
    </w:p>
    <w:p w14:paraId="6B59C6D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DF354F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28.2安全防护和文明施工措施费应在专用条款中约定预付方式。合同工期在一年以内的，预付比例不得低于总额的70%；合同工期在一年以上的（含一年），预付比例不得低于总额的50%。</w:t>
      </w:r>
    </w:p>
    <w:p w14:paraId="4493896F">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29、已完工程量确认</w:t>
      </w:r>
    </w:p>
    <w:p w14:paraId="6625317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AE5D0E8">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1FE9CD1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29.3对承包人超出设计图纸（含设计变更）范围和因承包人原因造成返工的工程量，工程师不予计量。</w:t>
      </w:r>
    </w:p>
    <w:p w14:paraId="0E892AB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30、工程进度款结算与支付</w:t>
      </w:r>
    </w:p>
    <w:p w14:paraId="28120FAE">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30.1　双方应在专用条款内约定工程进度款结算支付方式。结算支付方式分为按月结算支付与分阶段结算支付。</w:t>
      </w:r>
    </w:p>
    <w:p w14:paraId="70DE6B13">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30.2在确认计量结果后14天内，发包人应向承包人支付不低于应付款额75%、不高于应付款额90%的工程进度款。按约定时间发包人应扣回的预付款，与工程进度款同期结算抵扣。</w:t>
      </w:r>
    </w:p>
    <w:p w14:paraId="16F8EFA2">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30.3本通用条款第27条确定调整的合同价款，第35条工程变更调整的合同价款及其他条款中约定的追加合同价款，应与工程进度款同期调整支付。</w:t>
      </w:r>
    </w:p>
    <w:p w14:paraId="54BF0AE1">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57F0C9F5">
      <w:pPr>
        <w:widowControl/>
        <w:spacing w:line="400" w:lineRule="exact"/>
        <w:ind w:firstLine="480" w:firstLineChars="200"/>
        <w:jc w:val="left"/>
        <w:rPr>
          <w:rFonts w:hint="eastAsia" w:ascii="宋体" w:hAnsi="宋体" w:cs="宋体"/>
          <w:color w:val="auto"/>
          <w:kern w:val="0"/>
          <w:sz w:val="24"/>
        </w:rPr>
      </w:pPr>
      <w:r>
        <w:rPr>
          <w:rFonts w:hint="eastAsia" w:ascii="宋体" w:hAnsi="宋体" w:cs="宋体"/>
          <w:color w:val="auto"/>
          <w:kern w:val="0"/>
          <w:sz w:val="24"/>
        </w:rPr>
        <w:t>30.5发包人不按合同约定支付工程进度款，双方又未达成延期付款协议，导致施工无法进行，承包人可停止施工，由发包人承担违约责任。</w:t>
      </w:r>
    </w:p>
    <w:p w14:paraId="1F475BCC">
      <w:pPr>
        <w:widowControl/>
        <w:spacing w:line="400" w:lineRule="exact"/>
        <w:ind w:firstLine="482" w:firstLineChars="200"/>
        <w:outlineLvl w:val="0"/>
        <w:rPr>
          <w:rFonts w:hint="eastAsia" w:ascii="宋体" w:hAnsi="宋体" w:cs="宋体"/>
          <w:b/>
          <w:color w:val="auto"/>
          <w:kern w:val="0"/>
          <w:sz w:val="24"/>
        </w:rPr>
      </w:pPr>
      <w:bookmarkStart w:id="13" w:name="_Toc447642127"/>
      <w:r>
        <w:rPr>
          <w:rFonts w:hint="eastAsia" w:ascii="宋体" w:hAnsi="宋体" w:cs="宋体"/>
          <w:b/>
          <w:color w:val="auto"/>
          <w:kern w:val="0"/>
          <w:sz w:val="24"/>
        </w:rPr>
        <w:t>七、材料设备供应</w:t>
      </w:r>
      <w:bookmarkEnd w:id="13"/>
    </w:p>
    <w:p w14:paraId="155D28D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31、发包人供应材料设备</w:t>
      </w:r>
    </w:p>
    <w:p w14:paraId="131E0EFC">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11EC62C9">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44A89225">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ED28A8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31.4发包人供应的材料设备与一览表不符时，发包人承担有关责任。发包人应承担责任的具体内容，双方根据下列情况在专用条款内约定：</w:t>
      </w:r>
    </w:p>
    <w:p w14:paraId="48ACA751">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（1）材料设备单价与一览表不符，由发包人承担所有价差；</w:t>
      </w:r>
    </w:p>
    <w:p w14:paraId="06A50188">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（2）材料设备的品种、规格、型号、质量等级与一览表不符，承包人可拒绝接收保管，由发包人运出施工场地并重新采购；</w:t>
      </w:r>
    </w:p>
    <w:p w14:paraId="447A0C09">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（3）发包人供应的材料规格、型号与一览表不符，经发包人同意，承包人可代为调剂串换，由发包人承担相应费用；</w:t>
      </w:r>
    </w:p>
    <w:p w14:paraId="76D311CD">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（4）到货地点与一览表不符，由发包人负责运至一览表指定地点；</w:t>
      </w:r>
    </w:p>
    <w:p w14:paraId="11403F2B">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（5）供应数量少于一览表约定的数量时，由发包人补齐，多于一览表约定数量时，发包人负责将多出部分运出施工场地；</w:t>
      </w:r>
    </w:p>
    <w:p w14:paraId="5EE6F9FC">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（6）到货时间早于一览表约定时间，由发包人承担因此发生的保管费用；到货时间迟于一览表约定的供应时间，发包人赔偿由此造成的承包人损失，造成工期延误的，相应顺延工期；</w:t>
      </w:r>
    </w:p>
    <w:p w14:paraId="303FDAD3">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31.5发包人供应的材料设备使用前，由承包人负责检验或试验，不合格的不得使用，检验或试验费用由发包人承担。</w:t>
      </w:r>
    </w:p>
    <w:p w14:paraId="661841F7">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31.6发包人供应材料设备的结算方法，双方在专用条款内约定。</w:t>
      </w:r>
    </w:p>
    <w:p w14:paraId="336E442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32、承包人采购材料设备</w:t>
      </w:r>
    </w:p>
    <w:p w14:paraId="45C91C1F">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32.1承包人负责采购材料设备的，应按照专用条款约定及设计和有关标准要求采购，并提供产品合格证明，对材料设备质量负责。承包人在材料设备到货前24小时通知工程师清点。</w:t>
      </w:r>
    </w:p>
    <w:p w14:paraId="56C45547">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32.2承包人采购的材料设备与设计标准要求不符时，承包人应按工程师要求的时间运出施工场地，重新采购符合要求的产品，承担由此发生的费用，由此延误的工期不予顺延。</w:t>
      </w:r>
    </w:p>
    <w:p w14:paraId="291AEF67">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32.3承包人采购的材料设备在使用前，承包人应按工程师的要求进行检验或试验，不合格的不得使用，检验或试验费用由承包人承担。</w:t>
      </w:r>
    </w:p>
    <w:p w14:paraId="5633E426">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32.4工程师发现承包人采购并使用不符合设计和标准要求的材料设备时，应要求承包人负责修复、拆除或重新采购，由承包人承担发生的费用，由此延误的工期不予顺延。</w:t>
      </w:r>
    </w:p>
    <w:p w14:paraId="195A5907">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32.5承包人需要使用代用材料时，应经工程师认可后才能使用，由此增减的合同价款双方以书面形式议定。</w:t>
      </w:r>
    </w:p>
    <w:p w14:paraId="5CB5B7FF">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32.6由承包人采购的材料设备，发包人不得指定生产厂或供应商。</w:t>
      </w:r>
    </w:p>
    <w:p w14:paraId="3B580E7F">
      <w:pPr>
        <w:widowControl/>
        <w:spacing w:line="400" w:lineRule="exact"/>
        <w:ind w:firstLine="482" w:firstLineChars="200"/>
        <w:outlineLvl w:val="0"/>
        <w:rPr>
          <w:rFonts w:hint="eastAsia" w:ascii="宋体" w:hAnsi="宋体" w:cs="宋体"/>
          <w:b/>
          <w:color w:val="auto"/>
          <w:kern w:val="0"/>
          <w:sz w:val="24"/>
        </w:rPr>
      </w:pPr>
      <w:r>
        <w:rPr>
          <w:rFonts w:hint="eastAsia" w:ascii="宋体" w:hAnsi="宋体" w:cs="宋体"/>
          <w:b/>
          <w:color w:val="auto"/>
          <w:kern w:val="0"/>
          <w:sz w:val="24"/>
        </w:rPr>
        <w:t>八、工程变更</w:t>
      </w:r>
    </w:p>
    <w:p w14:paraId="5A18730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33、工程设计变更</w:t>
      </w:r>
    </w:p>
    <w:p w14:paraId="65A2BE49">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BAC4CCB">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（1）更改工程有关部分的标高、基线、位置和尺寸；</w:t>
      </w:r>
    </w:p>
    <w:p w14:paraId="3C1E087F">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（2）增减合同中约定的工程量；</w:t>
      </w:r>
    </w:p>
    <w:p w14:paraId="4D66ED6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（3）改变有关工程的施工时间和顺序；</w:t>
      </w:r>
    </w:p>
    <w:p w14:paraId="1A1F33E0">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（4）其他有关工程变更需要的附加工作。</w:t>
      </w:r>
    </w:p>
    <w:p w14:paraId="01D04585">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因变更导致合同价款的增减及造成的承包人损失，由发包人承担，延误的工期相应顺延。</w:t>
      </w:r>
    </w:p>
    <w:p w14:paraId="78B6A2D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33.2施工中承包人不得对原工程设计进行变更。因承包人擅自变更设计发生的费用和由此导致发包人的直接损失，由承包人承担，延误的工期不予顺延。</w:t>
      </w:r>
    </w:p>
    <w:p w14:paraId="297F818D">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566F5C76">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34、其他变更</w:t>
      </w:r>
    </w:p>
    <w:p w14:paraId="330854F1">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合同履行中发包人要求变更工程质量标准及发生其他实质性变更，由双方协商解决。</w:t>
      </w:r>
    </w:p>
    <w:p w14:paraId="3E8F015D">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35、确定变更价款</w:t>
      </w:r>
    </w:p>
    <w:p w14:paraId="55CB386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35.1承包人在工程变更确定后14天内，提出变更工程价款的报告，经工程师确认后调整合同价款。变更合同价款按下列方法进行：</w:t>
      </w:r>
    </w:p>
    <w:p w14:paraId="5A11F0B2">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（1）合同中已有适用于变更工程的综合单价或价格，按合同已有的综合单价或价格变更合同价款；</w:t>
      </w:r>
    </w:p>
    <w:p w14:paraId="0AAF674B">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（2）合同中只有类似于变更工程的综合单价或价格，可以参照类似综合单价或价格变更合同价款；</w:t>
      </w:r>
    </w:p>
    <w:p w14:paraId="24541AAF">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（3）合同中没有适用或类似于变更工程的综合单价或价格，由承包人或发包人提出综合单价或价格，经双方确认后执行。</w:t>
      </w:r>
    </w:p>
    <w:p w14:paraId="7DC67A5E">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35.2承包人在双方确定变更后14天内应向工程师提出变更工程价款报告，否则发包人可根据所掌握的资料决定是否调整合同价款和调整的具体金额，并书面通知承包人。</w:t>
      </w:r>
    </w:p>
    <w:p w14:paraId="5BCD2792">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1514CEA2">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35.4发承包双方对变更价款不能达成一致时，按本通用条款第41条关于争议的约定处理。</w:t>
      </w:r>
    </w:p>
    <w:p w14:paraId="6D0C273B">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35.5因承包人自身原因导致的工程变更，承包人无权要求追加合同价款。</w:t>
      </w:r>
    </w:p>
    <w:p w14:paraId="1F81C674">
      <w:pPr>
        <w:widowControl/>
        <w:spacing w:line="400" w:lineRule="exact"/>
        <w:ind w:firstLine="482" w:firstLineChars="200"/>
        <w:outlineLvl w:val="0"/>
        <w:rPr>
          <w:rFonts w:hint="eastAsia" w:ascii="宋体" w:hAnsi="宋体" w:cs="宋体"/>
          <w:b/>
          <w:color w:val="auto"/>
          <w:kern w:val="0"/>
          <w:sz w:val="24"/>
        </w:rPr>
      </w:pPr>
      <w:r>
        <w:rPr>
          <w:rFonts w:hint="eastAsia" w:ascii="宋体" w:hAnsi="宋体" w:cs="宋体"/>
          <w:b/>
          <w:color w:val="auto"/>
          <w:kern w:val="0"/>
          <w:sz w:val="24"/>
        </w:rPr>
        <w:t>九、竣工验收与结算</w:t>
      </w:r>
    </w:p>
    <w:p w14:paraId="658CEC5B">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36、竣工验收</w:t>
      </w:r>
    </w:p>
    <w:p w14:paraId="4EFB4326">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12D2E65C">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36.2发包人收到竣工验收报告后28天内组织有关单位验收，并在验收后14天内给予认可或提出修改意见。承包人按要求修改，并承担由自身原因造成修改的费用。</w:t>
      </w:r>
    </w:p>
    <w:p w14:paraId="6E49DE9F">
      <w:pPr>
        <w:widowControl/>
        <w:spacing w:line="40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36.3发包人收到承包人送交的竣工验收报告后28天内不组织验收，或验收后14天内不提出修改意见，视为竣工验收报告已被认可。</w:t>
      </w:r>
    </w:p>
    <w:p w14:paraId="4C7ECE3E">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36.4工程竣工验收通过，承包人送交竣工验收报告的日期为实际竣工日期。工程按发包人要求修改后通过竣工验收的，实际竣工日期为承包人修改后提请发包人验收的日期。</w:t>
      </w:r>
    </w:p>
    <w:p w14:paraId="35F0181F">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36.5发包人收到承包人竣工验收报告后28天内不组织验收，从第29天起承担工程保管及一切意外责任。</w:t>
      </w:r>
    </w:p>
    <w:p w14:paraId="04D6EC54">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36.6中间交工工程的范围和竣工时间，双方在专用条款内约定，其验收程序按本通用条款36.1款至36.4款办理。</w:t>
      </w:r>
    </w:p>
    <w:p w14:paraId="057CE52E">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36.7因特殊原因，发包人要求部分单位工程或工程部位甩项竣工的，双方另行签订甩项竣工协议，明确双方责任和工程价款的支付方法。</w:t>
      </w:r>
    </w:p>
    <w:p w14:paraId="79FA2788">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36.8工程未经竣工验收或竣工验收未通过的，发包人不得使用。发包人强行使用时，由此发生的质量及其他问题，由发包人承担责任。</w:t>
      </w:r>
    </w:p>
    <w:p w14:paraId="1F1FF17F">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37、竣工结算</w:t>
      </w:r>
    </w:p>
    <w:p w14:paraId="4611F544">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37.1工程竣工结算分为单位工程竣工结算、单项工程竣工结算和建设项目竣工总结算。</w:t>
      </w:r>
    </w:p>
    <w:p w14:paraId="384FF5B0">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463ACD5B">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建设项目总结算在最后一个单项工程竣工结算审查确认后，一般在15天以内向发包人提交竣工结算汇总资料。</w:t>
      </w:r>
    </w:p>
    <w:p w14:paraId="4FD8F4EA">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B35762C">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37.4承包人收到竣工结算价款后14天内将竣工工程交付发包人。</w:t>
      </w:r>
    </w:p>
    <w:p w14:paraId="04E755A2">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37.5发包人收到承包人建设项目竣工总结算汇总资料后30天内，审查完成。</w:t>
      </w:r>
    </w:p>
    <w:p w14:paraId="4C0443CB">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37.6发包人收到竣工结算报告及结算资料后，在本条规定期限内对结算报告及资料没有提出意见则视同认可。</w:t>
      </w:r>
    </w:p>
    <w:p w14:paraId="5AFE17D3">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69571AFD">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9CCACDB">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37.9发包人承包人对工程竣工结算价款发生争议时，按本通用条款第41条关于争议的约定处理。</w:t>
      </w:r>
    </w:p>
    <w:p w14:paraId="471CF1AF">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38、质量保证</w:t>
      </w:r>
    </w:p>
    <w:p w14:paraId="23C4A2E4">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38.1承包人应按法律、行政法规或国家关于工程质量保修的有关规定，对交付发包人使用的工程在质量保修期内承担质量保修责任。</w:t>
      </w:r>
    </w:p>
    <w:p w14:paraId="36B514C2">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59E04ADF">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（1）保证金预留、返还方式；</w:t>
      </w:r>
    </w:p>
    <w:p w14:paraId="240C5F0F">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（2）保证金预留比例、期限；</w:t>
      </w:r>
    </w:p>
    <w:p w14:paraId="0D5AD522">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（3）保证金是否计付利息，如计利息，利息的计算方式；</w:t>
      </w:r>
    </w:p>
    <w:p w14:paraId="5F6CE35A">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（4）缺陷责任期的期限及计算方式；</w:t>
      </w:r>
    </w:p>
    <w:p w14:paraId="6D1B4107">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（5）保证金预留、返还及工程维修质量、费用等争议的处理程序；</w:t>
      </w:r>
    </w:p>
    <w:p w14:paraId="15AD419F">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（6）缺陷责任期内出现缺陷的索赔方式。</w:t>
      </w:r>
    </w:p>
    <w:p w14:paraId="5C16B9B8">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38.3质量保修书的主要内容包括：</w:t>
      </w:r>
    </w:p>
    <w:p w14:paraId="68335CD4">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（1）质量保修项目内容及范围；</w:t>
      </w:r>
    </w:p>
    <w:p w14:paraId="07CB4CA1">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（2）质量保修期；</w:t>
      </w:r>
    </w:p>
    <w:p w14:paraId="333DC8F7">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（3）质量保修责任；</w:t>
      </w:r>
    </w:p>
    <w:p w14:paraId="7FCE6AEB">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（4）质量保修金的支付方法。</w:t>
      </w:r>
    </w:p>
    <w:p w14:paraId="531B41F3">
      <w:pPr>
        <w:widowControl/>
        <w:spacing w:line="39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38.4质量保证金按工程价款结算总额5%以内的比例预留。</w:t>
      </w:r>
    </w:p>
    <w:p w14:paraId="12DA0B8D">
      <w:pPr>
        <w:widowControl/>
        <w:spacing w:line="390" w:lineRule="exact"/>
        <w:ind w:firstLine="482" w:firstLineChars="200"/>
        <w:outlineLvl w:val="0"/>
        <w:rPr>
          <w:rFonts w:hint="eastAsia" w:ascii="宋体" w:hAnsi="宋体"/>
          <w:b/>
          <w:color w:val="auto"/>
          <w:kern w:val="0"/>
          <w:sz w:val="24"/>
        </w:rPr>
      </w:pPr>
      <w:r>
        <w:rPr>
          <w:rFonts w:hint="eastAsia" w:ascii="宋体" w:hAnsi="宋体"/>
          <w:b/>
          <w:color w:val="auto"/>
          <w:kern w:val="0"/>
          <w:sz w:val="24"/>
        </w:rPr>
        <w:t>十、违约、索赔和争议</w:t>
      </w:r>
    </w:p>
    <w:p w14:paraId="25F16070">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39、违约</w:t>
      </w:r>
    </w:p>
    <w:p w14:paraId="73DD8853">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39.1发包人违约。当发生下列情况时：</w:t>
      </w:r>
    </w:p>
    <w:p w14:paraId="67CBE7DB">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（1）本通用条款第28.1款提到的发包人不按时支付工程预付款；</w:t>
      </w:r>
    </w:p>
    <w:p w14:paraId="5641A1A4">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（2）本通用条款第30.5款提到的发包人不按合同约定支付工程款，导致施工无法进行；</w:t>
      </w:r>
    </w:p>
    <w:p w14:paraId="00689221">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（3）本通用条款第37.6款提到的发包人无正当理由不支付工程竣工结算价款；</w:t>
      </w:r>
    </w:p>
    <w:p w14:paraId="6DD35596">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（4）发包人不履行合同义务或不按合同约定履行义务的其他情况。</w:t>
      </w:r>
    </w:p>
    <w:p w14:paraId="32D7B0A7">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7FA0FF4F">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39.2承包人违约。当发生下列情况时：</w:t>
      </w:r>
    </w:p>
    <w:p w14:paraId="78EA4F82">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（1）本通用条款第14.2款提到的因承包人原因不能按照协议书约定的竣工日期或工程师同意顺延的工期竣工；</w:t>
      </w:r>
    </w:p>
    <w:p w14:paraId="5D8BF665">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（2）本通用条款第15.1款提到的因承包人原因工程质量达不到协议书约定的质量标准；</w:t>
      </w:r>
    </w:p>
    <w:p w14:paraId="048CEE05">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（3）承包人不履行合同义务或不按合同约定履行义务的其他情况。</w:t>
      </w:r>
    </w:p>
    <w:p w14:paraId="693B8B77">
      <w:pPr>
        <w:widowControl/>
        <w:spacing w:line="390" w:lineRule="exact"/>
        <w:rPr>
          <w:rFonts w:hint="eastAsia" w:ascii="宋体" w:hAnsi="宋体"/>
          <w:color w:val="auto"/>
          <w:kern w:val="0"/>
          <w:sz w:val="24"/>
        </w:rPr>
      </w:pPr>
      <w:r>
        <w:rPr>
          <w:rFonts w:hint="eastAsia" w:ascii="宋体" w:hAnsi="宋体"/>
          <w:color w:val="auto"/>
          <w:kern w:val="0"/>
          <w:sz w:val="24"/>
        </w:rPr>
        <w:t>承包人承担违约责任，赔偿因其违约给发包人造成的损失。双方在专用条款内约定承包人赔偿发包人损失的计算方法或者承包人应当支付违约金的数额和计算方法。</w:t>
      </w:r>
    </w:p>
    <w:p w14:paraId="562D705A">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39.3一方违约后，另一方要求违约方继续履行合同时，违约方承担上述违约责任后仍应继续履行合同。</w:t>
      </w:r>
    </w:p>
    <w:p w14:paraId="1112377F">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40、索赔</w:t>
      </w:r>
    </w:p>
    <w:p w14:paraId="44CE897B">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40.1当一方向另一方提出索赔时，要有正当索赔理由，且有索赔事件发生时的有效证据。</w:t>
      </w:r>
    </w:p>
    <w:p w14:paraId="7B39D5FD">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75B4905">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（1）索赔事件发生后28天内，向工程师发出索赔意向通知；</w:t>
      </w:r>
    </w:p>
    <w:p w14:paraId="4A84D267">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（2）发出索赔意向通知后28天内，向工程师提出延长工期和（或）补偿经济损失的索赔报告及有关资料；</w:t>
      </w:r>
    </w:p>
    <w:p w14:paraId="536F6164">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（3）工程师在收到承包人送交的索赔报告和有关资料后，于28天内给予答复，或要求承包人进一步补充索赔理由和证据；</w:t>
      </w:r>
    </w:p>
    <w:p w14:paraId="466AAC01">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（4）工程师在收到承包人送交的索赔报告和有关资料后28天内未予答复或未对承包人作进一步要求，视为该项索赔已经认可；</w:t>
      </w:r>
    </w:p>
    <w:p w14:paraId="3A77CB1E">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（5）当该索赔事件持续进行时，承包人应当阶段性向工程师发出索赔意向，在索赔事件终了后28天内，向工程师送交索赔的有关资料和最终索赔报告。索赔答复程序与（3）、（4）规定相同。</w:t>
      </w:r>
    </w:p>
    <w:p w14:paraId="5A7F1F22">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40.3承包人未能按合同约定履行自己的各项义务或发生错误，给发包人造成经济损失，发包人可按40.2款确定的时限向承包人提出索赔。</w:t>
      </w:r>
    </w:p>
    <w:p w14:paraId="2DC9E57B">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41、争议</w:t>
      </w:r>
    </w:p>
    <w:p w14:paraId="62E22643">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41.1发包人承包人在履行合同时发生争议，可以协商和解或者要求有关主管部门调解。当事人不愿和解、调解或者和解、调解不成的，双方可以在专用条款内约定以下第二种方式解决争议：第一种解决方式：双方达成仲裁协议，向约定的仲裁委员会申请仲裁；第二种解决方式：向有管辖权的人民法院起诉。</w:t>
      </w:r>
    </w:p>
    <w:p w14:paraId="65A4DE84">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41.2发生争议后，除非出现下列情况的，双方都应继续履行合同，保持施工连续，保护好已完工程：</w:t>
      </w:r>
    </w:p>
    <w:p w14:paraId="39D7CEC5">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（1）单方违约导致合同确已无法履行，双方协议停止施工；</w:t>
      </w:r>
    </w:p>
    <w:p w14:paraId="265A3432">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（2）调解要求停止施工，且为双方接受；</w:t>
      </w:r>
    </w:p>
    <w:p w14:paraId="710153DE">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（3）法院要求停止施工。</w:t>
      </w:r>
    </w:p>
    <w:p w14:paraId="14DA508F">
      <w:pPr>
        <w:widowControl/>
        <w:spacing w:line="390" w:lineRule="exact"/>
        <w:ind w:firstLine="482" w:firstLineChars="200"/>
        <w:outlineLvl w:val="0"/>
        <w:rPr>
          <w:rFonts w:hint="eastAsia" w:ascii="宋体" w:hAnsi="宋体"/>
          <w:b/>
          <w:color w:val="auto"/>
          <w:kern w:val="0"/>
          <w:sz w:val="24"/>
        </w:rPr>
      </w:pPr>
      <w:r>
        <w:rPr>
          <w:rFonts w:hint="eastAsia" w:ascii="宋体" w:hAnsi="宋体"/>
          <w:b/>
          <w:color w:val="auto"/>
          <w:kern w:val="0"/>
          <w:sz w:val="24"/>
        </w:rPr>
        <w:t>十一、其他</w:t>
      </w:r>
    </w:p>
    <w:p w14:paraId="3857C362">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42、工程分包</w:t>
      </w:r>
    </w:p>
    <w:p w14:paraId="475D946E">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42.1承包人需要将专业工程或劳务进行分包的，应分包给具有相应资质的专业或劳务企业，并与分包企业签订分包合同。</w:t>
      </w:r>
    </w:p>
    <w:p w14:paraId="452C3440">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42.2承包人不得将其承包的工程转包给他人，也不得将其承包的工程以分包的名义转包给他人。</w:t>
      </w:r>
    </w:p>
    <w:p w14:paraId="44323CCF">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00889E67">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42.4分包工程价款由承包人与分包单位结算。发包人未经承包人同意不得以任何形式向分包单位支付各种工程款项。</w:t>
      </w:r>
    </w:p>
    <w:p w14:paraId="760D6D5F">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42.5承包人应按时支付分包工程款及劳务费。若承包人不能按时支付时，发包人可将此部分款项从向承包人支付的工程款中扣出并直接支付给分包人和劳务人员。</w:t>
      </w:r>
    </w:p>
    <w:p w14:paraId="53E502AE">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43、不可抗力</w:t>
      </w:r>
    </w:p>
    <w:p w14:paraId="26DA1E14">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43.1不可抗力包括因战争、动乱、空中飞行物体坠落或其他非发包人承包人责任造成的爆炸、火灾，以及专用条款约定的风、雨、雪、洪、震等自然灾害。</w:t>
      </w:r>
    </w:p>
    <w:p w14:paraId="1FD30426">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1BEB58B">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43.3因不可抗力事件导致的费用及延误的工期由双方按以下方法分别承担：</w:t>
      </w:r>
    </w:p>
    <w:p w14:paraId="58DB519A">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（1）工程本身的损害、因工程损害导致第三人人员伤亡和财产损失以及运至施工场地用于施工的材料和待安装的设备的损害，由发包人承担；</w:t>
      </w:r>
    </w:p>
    <w:p w14:paraId="51F07452">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（2）发包人承包人人员伤亡由其所在单位负责，并承担相应费用；</w:t>
      </w:r>
    </w:p>
    <w:p w14:paraId="0FC962B6">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（3）承包人机械设备损坏及停工损失，由承包人承担；</w:t>
      </w:r>
    </w:p>
    <w:p w14:paraId="563A824D">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（4）停工期间，承包人应工程师要求留在施工场地的必要的管理人员及保卫人员的费用由发包人承担；</w:t>
      </w:r>
    </w:p>
    <w:p w14:paraId="1EE36B39">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（5）工程所需清理、修复费用，由发包人承担；</w:t>
      </w:r>
    </w:p>
    <w:p w14:paraId="4EB134FB">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（6）延误的工期相应顺延。</w:t>
      </w:r>
    </w:p>
    <w:p w14:paraId="7F4A2E93">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43.4因合同一方迟延履行合同后发生不可抗力的，不能免除迟延履行方的相应责任。</w:t>
      </w:r>
    </w:p>
    <w:p w14:paraId="66477CDE">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44、保险</w:t>
      </w:r>
    </w:p>
    <w:p w14:paraId="21FA4E0F">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44.1工程开工前，发包人为建设工程和施工现场内的自有人员及第三人人员生命财产办理保险，支付保险费用。</w:t>
      </w:r>
    </w:p>
    <w:p w14:paraId="51A818FC">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44.2发包人供应的运至施工场地内用于工程的材料设备，由发包人办理保险，并支付保险费用。</w:t>
      </w:r>
    </w:p>
    <w:p w14:paraId="13C6BD6D">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44.3发包人可以将有关保险事项委托承包人办理，费用由发包人承担。</w:t>
      </w:r>
    </w:p>
    <w:p w14:paraId="52EE1891">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44.4承包人必须为施工场地内施工人员办理意外伤害保险和工伤保险，并为施工场地内的施工机械设备办理财产保险，支付保险费用。</w:t>
      </w:r>
    </w:p>
    <w:p w14:paraId="5D971177">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44.5保险事故发生时，发包人承包人有责任尽力采取必要的措施，防止或者减少损失。</w:t>
      </w:r>
    </w:p>
    <w:p w14:paraId="4230C51C">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44.6具体投保内容和相关责任，发包人承包人在专用条款中约定。</w:t>
      </w:r>
    </w:p>
    <w:p w14:paraId="1DA217CF">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45、担保</w:t>
      </w:r>
    </w:p>
    <w:p w14:paraId="6756AB1A">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45.1发包人承包人为了全面履行合同，应互相提供以下担保：</w:t>
      </w:r>
    </w:p>
    <w:p w14:paraId="74C84083">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（1）发包人向承包人提供支付担保，按合同约定支付工程价款及履行合同约定的其他义务。</w:t>
      </w:r>
    </w:p>
    <w:p w14:paraId="4849E63C">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（2）承包人向发包人提供履约担保，按合同约定履行自己的各项义务。</w:t>
      </w:r>
    </w:p>
    <w:p w14:paraId="6351D380">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45.2一方违约后，另一方可要求提供担保的第三人承担相应责任。</w:t>
      </w:r>
    </w:p>
    <w:p w14:paraId="1BA2589D">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45.3提供担保的内容、方式和相关责任，发包人承包人除在专用条款中约定外，被担保方与担保方还应签订担保合同，作为本合同附件。</w:t>
      </w:r>
    </w:p>
    <w:p w14:paraId="3C5EB468">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46、专利技术及特殊工艺</w:t>
      </w:r>
    </w:p>
    <w:p w14:paraId="5546B735">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0CB43816">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46.2擅自使用专利技术侵犯他人专利权的，责任者依法承担相应责任。</w:t>
      </w:r>
    </w:p>
    <w:p w14:paraId="4BC4FFA7">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47、文物和地下障碍物</w:t>
      </w:r>
    </w:p>
    <w:p w14:paraId="560FA3F0">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62F60D9">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如发现后隐瞒不报，致使文物遭受破坏，责任者依法承担相应责任。</w:t>
      </w:r>
    </w:p>
    <w:p w14:paraId="0AB20102">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2AE0457">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所发现的地下障碍物有归属单位时，发包人应报请有关部门协同处置。</w:t>
      </w:r>
    </w:p>
    <w:p w14:paraId="6153A85B">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48、合同解除</w:t>
      </w:r>
    </w:p>
    <w:p w14:paraId="61E79324">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48.1发包人承包人协商一致，可以解除合同。</w:t>
      </w:r>
    </w:p>
    <w:p w14:paraId="2B8C2E7C">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48.2发生本通用条款第30.5款情况，停止施工超过56天，发包人仍不支付工程款（进度款），承包人有权解除合同。</w:t>
      </w:r>
    </w:p>
    <w:p w14:paraId="39D3CCD8">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48.3发生本通用条款第42.2款禁止的情况，发包人有权解除合同。</w:t>
      </w:r>
    </w:p>
    <w:p w14:paraId="1616D021">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48.4有下列情形之一的，发包人承包人可以解除合同：</w:t>
      </w:r>
    </w:p>
    <w:p w14:paraId="1A8C37C9">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（1）因不可抗力致使合同无法履行；</w:t>
      </w:r>
    </w:p>
    <w:p w14:paraId="69F9AB89">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（2）因一方违约（包括因发包人原因造成工程停建或缓建）致使合同无法履行。</w:t>
      </w:r>
    </w:p>
    <w:p w14:paraId="010F5751">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BFD2F86">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503F9B5">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48.7合同解除后，不影响双方在合同中约定的结算和清理条款的效力。</w:t>
      </w:r>
    </w:p>
    <w:p w14:paraId="6E02CD87">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49、合同生效与终止</w:t>
      </w:r>
    </w:p>
    <w:p w14:paraId="2D60B55C">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49.1双方在协议书中约定合同生效方式。</w:t>
      </w:r>
    </w:p>
    <w:p w14:paraId="5212B9B3">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49.2除本通用条款第38条外，发包人承包人履行合同全部义务，竣工结算价款支付完毕，承包人向发包人交付竣工工程后，本合同即告终止。</w:t>
      </w:r>
    </w:p>
    <w:p w14:paraId="4483DA75">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49.3合同的权利义务终止后，发包人承包人应当遵循诚实信用原则，履行通知、协助、保密等义务。</w:t>
      </w:r>
    </w:p>
    <w:p w14:paraId="4AD067E4">
      <w:pPr>
        <w:widowControl/>
        <w:spacing w:line="390" w:lineRule="exact"/>
        <w:ind w:firstLine="480" w:firstLineChars="200"/>
        <w:outlineLvl w:val="0"/>
        <w:rPr>
          <w:rFonts w:hint="eastAsia" w:ascii="宋体" w:hAnsi="宋体"/>
          <w:color w:val="auto"/>
          <w:kern w:val="0"/>
          <w:sz w:val="24"/>
        </w:rPr>
      </w:pPr>
      <w:r>
        <w:rPr>
          <w:rFonts w:hint="eastAsia" w:ascii="宋体" w:hAnsi="宋体"/>
          <w:color w:val="auto"/>
          <w:kern w:val="0"/>
          <w:sz w:val="24"/>
        </w:rPr>
        <w:t>50、合同份数</w:t>
      </w:r>
    </w:p>
    <w:p w14:paraId="32D27A6E">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50.1本合同正本两份，具有同等效力，由发包人承包人分别保存一份。</w:t>
      </w:r>
    </w:p>
    <w:p w14:paraId="2EF9DDB0">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50.2本合同副本份数，由各方根据需要在专用条款内约定。</w:t>
      </w:r>
    </w:p>
    <w:p w14:paraId="7A157772">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51、补充条款</w:t>
      </w:r>
    </w:p>
    <w:p w14:paraId="3D231F31">
      <w:pPr>
        <w:widowControl/>
        <w:spacing w:line="390" w:lineRule="exact"/>
        <w:ind w:firstLine="480" w:firstLineChars="200"/>
        <w:rPr>
          <w:rFonts w:hint="eastAsia" w:ascii="宋体" w:hAnsi="宋体"/>
          <w:color w:val="auto"/>
          <w:kern w:val="0"/>
          <w:sz w:val="24"/>
        </w:rPr>
      </w:pPr>
      <w:r>
        <w:rPr>
          <w:rFonts w:hint="eastAsia" w:ascii="宋体" w:hAnsi="宋体"/>
          <w:color w:val="auto"/>
          <w:kern w:val="0"/>
          <w:sz w:val="24"/>
        </w:rPr>
        <w:t>双方根据有关法律、行政法规规定，结合工程实际经协商一致后，可对本通用条款内容具体化、补充或修改，在专用条款内约定。</w:t>
      </w:r>
    </w:p>
    <w:p w14:paraId="074CE1FE">
      <w:pPr>
        <w:spacing w:line="480" w:lineRule="exact"/>
        <w:jc w:val="center"/>
        <w:rPr>
          <w:rFonts w:hint="eastAsia" w:ascii="宋体" w:hAnsi="宋体" w:cs="Arial"/>
          <w:b/>
          <w:color w:val="auto"/>
          <w:sz w:val="24"/>
        </w:rPr>
      </w:pPr>
    </w:p>
    <w:p w14:paraId="29C15949">
      <w:pPr>
        <w:spacing w:line="480" w:lineRule="exact"/>
        <w:rPr>
          <w:rFonts w:hint="eastAsia" w:ascii="宋体" w:hAnsi="宋体" w:cs="Arial"/>
          <w:b/>
          <w:color w:val="auto"/>
          <w:sz w:val="24"/>
        </w:rPr>
      </w:pPr>
    </w:p>
    <w:p w14:paraId="2BAD5F10">
      <w:pPr>
        <w:spacing w:line="480" w:lineRule="exact"/>
        <w:rPr>
          <w:rFonts w:hint="eastAsia" w:ascii="宋体" w:hAnsi="宋体" w:cs="Arial"/>
          <w:b/>
          <w:color w:val="auto"/>
          <w:sz w:val="24"/>
        </w:rPr>
      </w:pPr>
    </w:p>
    <w:p w14:paraId="016AA733">
      <w:pPr>
        <w:spacing w:line="480" w:lineRule="exact"/>
        <w:jc w:val="center"/>
        <w:rPr>
          <w:rFonts w:hint="eastAsia" w:ascii="宋体" w:hAnsi="宋体" w:cs="Arial"/>
          <w:b/>
          <w:color w:val="auto"/>
          <w:sz w:val="24"/>
        </w:rPr>
      </w:pPr>
    </w:p>
    <w:p w14:paraId="4D9E1F61">
      <w:pPr>
        <w:spacing w:line="480" w:lineRule="exact"/>
        <w:jc w:val="center"/>
        <w:rPr>
          <w:rFonts w:hint="eastAsia" w:ascii="宋体" w:hAnsi="宋体" w:cs="Arial"/>
          <w:b/>
          <w:color w:val="auto"/>
          <w:sz w:val="24"/>
        </w:rPr>
      </w:pPr>
    </w:p>
    <w:p w14:paraId="4881AC85">
      <w:pPr>
        <w:spacing w:line="480" w:lineRule="exact"/>
        <w:jc w:val="center"/>
        <w:rPr>
          <w:rFonts w:hint="eastAsia" w:ascii="宋体" w:hAnsi="宋体" w:cs="Arial"/>
          <w:b/>
          <w:color w:val="auto"/>
          <w:sz w:val="24"/>
        </w:rPr>
      </w:pPr>
    </w:p>
    <w:p w14:paraId="27032F29">
      <w:pPr>
        <w:spacing w:line="480" w:lineRule="exact"/>
        <w:jc w:val="center"/>
        <w:rPr>
          <w:rFonts w:hint="eastAsia" w:ascii="宋体" w:hAnsi="宋体" w:cs="Arial"/>
          <w:b/>
          <w:color w:val="auto"/>
          <w:sz w:val="24"/>
        </w:rPr>
      </w:pPr>
    </w:p>
    <w:p w14:paraId="0CD48D5F">
      <w:pPr>
        <w:spacing w:line="480" w:lineRule="exact"/>
        <w:jc w:val="center"/>
        <w:rPr>
          <w:rFonts w:hint="eastAsia" w:ascii="宋体" w:hAnsi="宋体" w:cs="Arial"/>
          <w:b/>
          <w:color w:val="auto"/>
          <w:sz w:val="24"/>
        </w:rPr>
      </w:pPr>
    </w:p>
    <w:p w14:paraId="1F6BFEC1">
      <w:pPr>
        <w:spacing w:line="480" w:lineRule="exact"/>
        <w:jc w:val="center"/>
        <w:rPr>
          <w:rFonts w:hint="eastAsia" w:ascii="宋体" w:hAnsi="宋体" w:cs="Arial"/>
          <w:b/>
          <w:color w:val="auto"/>
          <w:sz w:val="24"/>
        </w:rPr>
      </w:pPr>
    </w:p>
    <w:p w14:paraId="71D51ED7">
      <w:pPr>
        <w:spacing w:line="480" w:lineRule="exact"/>
        <w:jc w:val="center"/>
        <w:rPr>
          <w:rFonts w:hint="eastAsia" w:ascii="宋体" w:hAnsi="宋体" w:cs="Arial"/>
          <w:b/>
          <w:color w:val="auto"/>
          <w:sz w:val="24"/>
        </w:rPr>
      </w:pPr>
    </w:p>
    <w:p w14:paraId="3A3DB9A1">
      <w:pPr>
        <w:spacing w:line="480" w:lineRule="exact"/>
        <w:jc w:val="center"/>
        <w:rPr>
          <w:rFonts w:hint="eastAsia" w:ascii="宋体" w:hAnsi="宋体" w:cs="Arial"/>
          <w:b/>
          <w:color w:val="auto"/>
          <w:sz w:val="24"/>
        </w:rPr>
      </w:pPr>
      <w:r>
        <w:rPr>
          <w:rFonts w:hint="eastAsia" w:ascii="宋体" w:hAnsi="宋体" w:cs="Arial"/>
          <w:b/>
          <w:color w:val="auto"/>
          <w:sz w:val="24"/>
        </w:rPr>
        <w:t>第三部分   专用条款</w:t>
      </w:r>
    </w:p>
    <w:p w14:paraId="0BD451D7">
      <w:pPr>
        <w:spacing w:line="480" w:lineRule="exact"/>
        <w:ind w:firstLine="482" w:firstLineChars="200"/>
        <w:outlineLvl w:val="0"/>
        <w:rPr>
          <w:rFonts w:hint="eastAsia" w:ascii="宋体" w:hAnsi="宋体" w:cs="Arial"/>
          <w:b/>
          <w:color w:val="auto"/>
          <w:sz w:val="24"/>
        </w:rPr>
      </w:pPr>
      <w:r>
        <w:rPr>
          <w:rFonts w:hint="eastAsia" w:ascii="宋体" w:hAnsi="宋体" w:cs="Arial"/>
          <w:b/>
          <w:color w:val="auto"/>
          <w:sz w:val="24"/>
        </w:rPr>
        <w:t>一、词语定义及合同文件</w:t>
      </w:r>
    </w:p>
    <w:p w14:paraId="45DCC0FD">
      <w:pPr>
        <w:spacing w:line="480" w:lineRule="exact"/>
        <w:ind w:firstLine="482" w:firstLineChars="200"/>
        <w:jc w:val="left"/>
        <w:rPr>
          <w:rFonts w:hint="eastAsia" w:ascii="宋体" w:hAnsi="宋体" w:cs="Arial"/>
          <w:b/>
          <w:color w:val="auto"/>
          <w:sz w:val="24"/>
        </w:rPr>
      </w:pPr>
      <w:r>
        <w:rPr>
          <w:rFonts w:hint="eastAsia" w:ascii="宋体" w:hAnsi="宋体" w:cs="Arial"/>
          <w:b/>
          <w:color w:val="auto"/>
          <w:sz w:val="24"/>
        </w:rPr>
        <w:t>2、合同文件及解释顺序</w:t>
      </w:r>
    </w:p>
    <w:p w14:paraId="592E97FE">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合同文件组成及解释顺序：</w:t>
      </w:r>
    </w:p>
    <w:p w14:paraId="19E7E71E">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本合同协议书</w:t>
      </w:r>
      <w:r>
        <w:rPr>
          <w:rFonts w:hint="eastAsia" w:ascii="宋体" w:hAnsi="宋体" w:cs="Arial"/>
          <w:color w:val="auto"/>
          <w:sz w:val="24"/>
          <w:u w:val="single"/>
          <w:lang w:eastAsia="zh-CN"/>
        </w:rPr>
        <w:t>、</w:t>
      </w:r>
      <w:r>
        <w:rPr>
          <w:rFonts w:hint="eastAsia" w:ascii="宋体" w:hAnsi="宋体" w:cs="Arial"/>
          <w:color w:val="auto"/>
          <w:sz w:val="24"/>
          <w:u w:val="single"/>
        </w:rPr>
        <w:t>本</w:t>
      </w:r>
      <w:r>
        <w:rPr>
          <w:rFonts w:hint="eastAsia" w:ascii="宋体" w:hAnsi="宋体" w:cs="Arial"/>
          <w:color w:val="auto"/>
          <w:sz w:val="24"/>
          <w:u w:val="single"/>
        </w:rPr>
        <w:t>合同</w:t>
      </w:r>
      <w:r>
        <w:rPr>
          <w:rFonts w:hint="eastAsia" w:ascii="宋体" w:hAnsi="宋体" w:cs="Arial"/>
          <w:color w:val="auto"/>
          <w:sz w:val="24"/>
          <w:u w:val="single"/>
        </w:rPr>
        <w:t>专用条款</w:t>
      </w:r>
      <w:r>
        <w:rPr>
          <w:rFonts w:hint="eastAsia" w:ascii="宋体" w:hAnsi="宋体" w:cs="Arial"/>
          <w:color w:val="auto"/>
          <w:sz w:val="24"/>
          <w:u w:val="single"/>
          <w:lang w:eastAsia="zh-CN"/>
        </w:rPr>
        <w:t>、</w:t>
      </w:r>
      <w:r>
        <w:rPr>
          <w:rFonts w:hint="eastAsia" w:ascii="宋体" w:hAnsi="宋体" w:cs="Arial"/>
          <w:color w:val="auto"/>
          <w:sz w:val="24"/>
          <w:u w:val="single"/>
        </w:rPr>
        <w:t>本合同通用条款</w:t>
      </w:r>
      <w:r>
        <w:rPr>
          <w:rFonts w:hint="eastAsia" w:ascii="宋体" w:hAnsi="宋体" w:cs="Arial"/>
          <w:color w:val="auto"/>
          <w:sz w:val="24"/>
          <w:u w:val="single"/>
          <w:lang w:eastAsia="zh-CN"/>
        </w:rPr>
        <w:t>、</w:t>
      </w:r>
      <w:r>
        <w:rPr>
          <w:rFonts w:hint="eastAsia" w:ascii="宋体" w:hAnsi="宋体" w:cs="Arial"/>
          <w:color w:val="auto"/>
          <w:sz w:val="24"/>
          <w:u w:val="single"/>
        </w:rPr>
        <w:t>中标（成交）通知书</w:t>
      </w:r>
      <w:r>
        <w:rPr>
          <w:rFonts w:hint="eastAsia" w:ascii="宋体" w:hAnsi="宋体" w:cs="Arial"/>
          <w:color w:val="auto"/>
          <w:sz w:val="24"/>
          <w:u w:val="single"/>
          <w:lang w:eastAsia="zh-CN"/>
        </w:rPr>
        <w:t>、</w:t>
      </w:r>
      <w:r>
        <w:rPr>
          <w:rFonts w:hint="eastAsia" w:ascii="宋体" w:hAnsi="宋体" w:cs="Arial"/>
          <w:color w:val="auto"/>
          <w:sz w:val="24"/>
          <w:u w:val="single"/>
        </w:rPr>
        <w:t>投标文件（含已标价工程量清单）</w:t>
      </w:r>
      <w:r>
        <w:rPr>
          <w:rFonts w:hint="eastAsia" w:ascii="宋体" w:hAnsi="宋体" w:cs="Arial"/>
          <w:color w:val="auto"/>
          <w:sz w:val="24"/>
          <w:u w:val="single"/>
          <w:lang w:eastAsia="zh-CN"/>
        </w:rPr>
        <w:t>、</w:t>
      </w:r>
      <w:r>
        <w:rPr>
          <w:rFonts w:hint="eastAsia" w:ascii="宋体" w:hAnsi="宋体" w:cs="Arial"/>
          <w:color w:val="auto"/>
          <w:sz w:val="24"/>
          <w:u w:val="single"/>
        </w:rPr>
        <w:t>招标文件及工程量清单</w:t>
      </w:r>
      <w:r>
        <w:rPr>
          <w:rFonts w:hint="eastAsia" w:ascii="宋体" w:hAnsi="宋体" w:cs="Arial"/>
          <w:color w:val="auto"/>
          <w:sz w:val="24"/>
          <w:u w:val="single"/>
          <w:lang w:eastAsia="zh-CN"/>
        </w:rPr>
        <w:t>、</w:t>
      </w:r>
      <w:r>
        <w:rPr>
          <w:rFonts w:hint="eastAsia" w:ascii="宋体" w:hAnsi="宋体" w:cs="Arial"/>
          <w:color w:val="auto"/>
          <w:sz w:val="24"/>
          <w:u w:val="single"/>
        </w:rPr>
        <w:t>图纸</w:t>
      </w:r>
      <w:r>
        <w:rPr>
          <w:rFonts w:hint="eastAsia" w:ascii="宋体" w:hAnsi="宋体" w:cs="Arial"/>
          <w:color w:val="auto"/>
          <w:sz w:val="24"/>
          <w:u w:val="single"/>
          <w:lang w:eastAsia="zh-CN"/>
        </w:rPr>
        <w:t>、</w:t>
      </w:r>
      <w:r>
        <w:rPr>
          <w:rFonts w:hint="eastAsia" w:ascii="宋体" w:hAnsi="宋体" w:cs="Arial"/>
          <w:color w:val="auto"/>
          <w:sz w:val="24"/>
          <w:u w:val="single"/>
        </w:rPr>
        <w:t xml:space="preserve">标准、规范及有关技术文件 </w:t>
      </w:r>
    </w:p>
    <w:p w14:paraId="5696E30F">
      <w:pPr>
        <w:spacing w:line="48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3、语言文字和适用法律、标准及规范</w:t>
      </w:r>
    </w:p>
    <w:p w14:paraId="41B7FEF7">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3.1本合同除使用汉字外，还使用</w:t>
      </w:r>
      <w:r>
        <w:rPr>
          <w:rFonts w:hint="eastAsia" w:ascii="宋体" w:hAnsi="宋体" w:cs="Arial"/>
          <w:color w:val="auto"/>
          <w:sz w:val="24"/>
          <w:u w:val="single"/>
        </w:rPr>
        <w:t xml:space="preserve">      /     </w:t>
      </w:r>
      <w:r>
        <w:rPr>
          <w:rFonts w:hint="eastAsia" w:ascii="宋体" w:hAnsi="宋体" w:cs="Arial"/>
          <w:color w:val="auto"/>
          <w:sz w:val="24"/>
        </w:rPr>
        <w:t>语言文字。</w:t>
      </w:r>
    </w:p>
    <w:p w14:paraId="79ECC818">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3.2适用法律和法规</w:t>
      </w:r>
    </w:p>
    <w:p w14:paraId="68727C83">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需要明示的法律、行政法规：</w:t>
      </w:r>
    </w:p>
    <w:p w14:paraId="119C1ABD">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《中华人民共和国建筑法》、《中华人民共和国</w:t>
      </w:r>
      <w:r>
        <w:rPr>
          <w:rFonts w:hint="eastAsia" w:ascii="宋体" w:hAnsi="宋体" w:cs="Arial"/>
          <w:color w:val="auto"/>
          <w:sz w:val="24"/>
          <w:u w:val="single"/>
          <w:lang w:val="en-US" w:eastAsia="zh-CN"/>
        </w:rPr>
        <w:t>民法典</w:t>
      </w:r>
      <w:r>
        <w:rPr>
          <w:rFonts w:hint="eastAsia" w:ascii="宋体" w:hAnsi="宋体" w:cs="Arial"/>
          <w:color w:val="auto"/>
          <w:sz w:val="24"/>
          <w:u w:val="single"/>
        </w:rPr>
        <w:t>》、《建设工程质量管理条例》、《建筑工程强制性标准条文》、《建筑工程质量保修办法》、陕西省建筑市场管理条例、陕西省关于安全生产文明施工的法规、条例和行政规范性文件等。</w:t>
      </w:r>
    </w:p>
    <w:p w14:paraId="7E424903">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3.3适用标准、规范</w:t>
      </w:r>
    </w:p>
    <w:p w14:paraId="0FBF92D0">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适用标准、规范的名称：</w:t>
      </w:r>
    </w:p>
    <w:p w14:paraId="4156589D">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u w:val="single"/>
        </w:rPr>
        <w:t>《中华人民共和国建筑法》、《中华人民共和国</w:t>
      </w:r>
      <w:r>
        <w:rPr>
          <w:rFonts w:hint="eastAsia" w:ascii="宋体" w:hAnsi="宋体" w:cs="Arial"/>
          <w:color w:val="auto"/>
          <w:sz w:val="24"/>
          <w:u w:val="single"/>
          <w:lang w:val="en-US" w:eastAsia="zh-CN"/>
        </w:rPr>
        <w:t>民法典</w:t>
      </w:r>
      <w:r>
        <w:rPr>
          <w:rFonts w:hint="eastAsia" w:ascii="宋体" w:hAnsi="宋体" w:cs="Arial"/>
          <w:color w:val="auto"/>
          <w:sz w:val="24"/>
          <w:u w:val="single"/>
        </w:rPr>
        <w:t>》、《建设工程质量管理条例》《建设工程安全生产管理条例》《建筑工程强制性标准条文》《建设工程质量保修办法》及陕西省、西安市有关建设工程质量、安全、文明施工等管理规定。</w:t>
      </w:r>
      <w:r>
        <w:rPr>
          <w:rFonts w:hint="eastAsia" w:ascii="宋体" w:hAnsi="宋体" w:cs="Arial"/>
          <w:color w:val="auto"/>
          <w:sz w:val="24"/>
        </w:rPr>
        <w:t>发包人提供标准、规范的时间：</w:t>
      </w:r>
      <w:r>
        <w:rPr>
          <w:rFonts w:hint="eastAsia" w:ascii="宋体" w:hAnsi="宋体" w:cs="Arial"/>
          <w:color w:val="auto"/>
          <w:sz w:val="24"/>
          <w:u w:val="single"/>
        </w:rPr>
        <w:t xml:space="preserve">             /              。</w:t>
      </w:r>
    </w:p>
    <w:p w14:paraId="71B91746">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 xml:space="preserve"> 国内没有相应标准、规范时的约定：</w:t>
      </w:r>
    </w:p>
    <w:p w14:paraId="18D2E9D7">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按生产企业在技术监督局的备案标准、并经监理工程师和业主同意。 </w:t>
      </w:r>
    </w:p>
    <w:p w14:paraId="54D74150">
      <w:pPr>
        <w:spacing w:line="48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4、图纸</w:t>
      </w:r>
    </w:p>
    <w:p w14:paraId="6A8787E5">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4.1发包人向承包人提供图纸日期和套数：</w:t>
      </w:r>
    </w:p>
    <w:p w14:paraId="5DEC77D3">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  发包人发出中标通知书后10日内向承包人提供施工图纸3套。承包人需要增加图纸套数的，发包人可代为复制，复制费用由承包人承担。 </w:t>
      </w:r>
    </w:p>
    <w:p w14:paraId="3635302E">
      <w:pPr>
        <w:spacing w:line="480" w:lineRule="exact"/>
        <w:ind w:firstLine="480" w:firstLineChars="200"/>
        <w:jc w:val="left"/>
        <w:rPr>
          <w:rFonts w:ascii="宋体" w:hAnsi="宋体" w:cs="Arial"/>
          <w:color w:val="auto"/>
          <w:sz w:val="24"/>
          <w:u w:val="single"/>
        </w:rPr>
      </w:pPr>
      <w:r>
        <w:rPr>
          <w:rFonts w:hint="eastAsia" w:ascii="宋体" w:hAnsi="宋体" w:cs="Arial"/>
          <w:color w:val="auto"/>
          <w:sz w:val="24"/>
        </w:rPr>
        <w:t>发包人对图纸的保密要求：</w:t>
      </w:r>
      <w:r>
        <w:rPr>
          <w:rFonts w:hint="eastAsia" w:ascii="宋体" w:hAnsi="宋体" w:cs="Arial"/>
          <w:color w:val="auto"/>
          <w:sz w:val="24"/>
          <w:u w:val="single"/>
        </w:rPr>
        <w:t>承包方不得将本工程的设计图纸向其它方提供，仅用于本工程的施工及验收全过程。</w:t>
      </w:r>
    </w:p>
    <w:p w14:paraId="615ADF7C">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使用国外图纸的要求及费用承担：</w:t>
      </w:r>
      <w:r>
        <w:rPr>
          <w:rFonts w:hint="eastAsia" w:ascii="宋体" w:hAnsi="宋体" w:cs="Arial"/>
          <w:color w:val="auto"/>
          <w:sz w:val="24"/>
          <w:u w:val="single"/>
        </w:rPr>
        <w:t xml:space="preserve">         /               </w:t>
      </w:r>
    </w:p>
    <w:p w14:paraId="66BB6416">
      <w:pPr>
        <w:spacing w:line="480" w:lineRule="exact"/>
        <w:ind w:firstLine="554" w:firstLineChars="230"/>
        <w:outlineLvl w:val="0"/>
        <w:rPr>
          <w:rFonts w:hint="eastAsia" w:ascii="宋体" w:hAnsi="宋体" w:cs="Arial"/>
          <w:b/>
          <w:color w:val="auto"/>
          <w:sz w:val="24"/>
        </w:rPr>
      </w:pPr>
      <w:r>
        <w:rPr>
          <w:rFonts w:hint="eastAsia" w:ascii="宋体" w:hAnsi="宋体" w:cs="Arial"/>
          <w:b/>
          <w:color w:val="auto"/>
          <w:sz w:val="24"/>
        </w:rPr>
        <w:t>二、双方一般权利和义务</w:t>
      </w:r>
    </w:p>
    <w:p w14:paraId="45BA8FE0">
      <w:pPr>
        <w:spacing w:line="480" w:lineRule="exact"/>
        <w:ind w:firstLine="482" w:firstLineChars="200"/>
        <w:jc w:val="left"/>
        <w:rPr>
          <w:rFonts w:hint="eastAsia" w:ascii="宋体" w:hAnsi="宋体" w:cs="Arial"/>
          <w:b/>
          <w:color w:val="auto"/>
          <w:sz w:val="24"/>
        </w:rPr>
      </w:pPr>
      <w:r>
        <w:rPr>
          <w:rFonts w:hint="eastAsia" w:ascii="宋体" w:hAnsi="宋体" w:cs="Arial"/>
          <w:b/>
          <w:color w:val="auto"/>
          <w:sz w:val="24"/>
        </w:rPr>
        <w:t>5、工程师</w:t>
      </w:r>
    </w:p>
    <w:p w14:paraId="14B9BACE">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5.2监理单位委派的工程师</w:t>
      </w:r>
    </w:p>
    <w:p w14:paraId="72546DFA">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姓名：</w:t>
      </w:r>
      <w:r>
        <w:rPr>
          <w:rFonts w:hint="eastAsia" w:ascii="宋体" w:hAnsi="宋体" w:cs="Arial"/>
          <w:color w:val="auto"/>
          <w:sz w:val="24"/>
          <w:u w:val="single"/>
        </w:rPr>
        <w:t xml:space="preserve">           </w:t>
      </w:r>
      <w:r>
        <w:rPr>
          <w:rFonts w:hint="eastAsia" w:ascii="宋体" w:hAnsi="宋体" w:cs="Arial"/>
          <w:color w:val="auto"/>
          <w:sz w:val="24"/>
        </w:rPr>
        <w:t xml:space="preserve">    职务：</w:t>
      </w:r>
      <w:r>
        <w:rPr>
          <w:rFonts w:hint="eastAsia" w:ascii="宋体" w:hAnsi="宋体" w:cs="Arial"/>
          <w:color w:val="auto"/>
          <w:sz w:val="24"/>
          <w:u w:val="single"/>
        </w:rPr>
        <w:t xml:space="preserve">   总监理工程师   </w:t>
      </w:r>
    </w:p>
    <w:p w14:paraId="16D6B859">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发包人委托的职权：</w:t>
      </w:r>
    </w:p>
    <w:p w14:paraId="58F5451A">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施工过程的质量、进度、造价控制，合同管理和信息管理，施工中各种矛盾的组织协调工作及全程监理。  </w:t>
      </w:r>
    </w:p>
    <w:p w14:paraId="445BCC48">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需要取得发包人批准才能行使的职权：</w:t>
      </w:r>
    </w:p>
    <w:p w14:paraId="213C4BB9">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工程洽商、设计变更、工程款支付结算等在决策之前需经业主同意。  </w:t>
      </w:r>
    </w:p>
    <w:p w14:paraId="4B44E56B">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5.4发包人派驻的工程师</w:t>
      </w:r>
    </w:p>
    <w:p w14:paraId="4AD51C6B">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姓名：</w:t>
      </w:r>
      <w:r>
        <w:rPr>
          <w:rFonts w:hint="eastAsia" w:ascii="宋体" w:hAnsi="宋体" w:cs="Arial"/>
          <w:color w:val="auto"/>
          <w:sz w:val="24"/>
          <w:u w:val="single"/>
        </w:rPr>
        <w:t xml:space="preserve">      /     </w:t>
      </w:r>
      <w:r>
        <w:rPr>
          <w:rFonts w:hint="eastAsia" w:ascii="宋体" w:hAnsi="宋体" w:cs="Arial"/>
          <w:color w:val="auto"/>
          <w:sz w:val="24"/>
        </w:rPr>
        <w:t xml:space="preserve">     职务：</w:t>
      </w:r>
      <w:r>
        <w:rPr>
          <w:rFonts w:hint="eastAsia" w:ascii="宋体" w:hAnsi="宋体" w:cs="Arial"/>
          <w:color w:val="auto"/>
          <w:sz w:val="24"/>
          <w:u w:val="single"/>
        </w:rPr>
        <w:t xml:space="preserve">    /      </w:t>
      </w:r>
    </w:p>
    <w:p w14:paraId="514A9584">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职权：</w:t>
      </w:r>
      <w:r>
        <w:rPr>
          <w:rFonts w:hint="eastAsia" w:ascii="宋体" w:hAnsi="宋体" w:cs="Arial"/>
          <w:color w:val="auto"/>
          <w:sz w:val="24"/>
          <w:u w:val="single"/>
        </w:rPr>
        <w:t xml:space="preserve">负责施工全过程内外关系协调、处理往来文件，对工程进度、质量、造价进行管理。 </w:t>
      </w:r>
    </w:p>
    <w:p w14:paraId="1EE011E5">
      <w:pPr>
        <w:spacing w:line="480" w:lineRule="exact"/>
        <w:ind w:firstLine="480" w:firstLineChars="200"/>
        <w:jc w:val="left"/>
        <w:outlineLvl w:val="0"/>
        <w:rPr>
          <w:rFonts w:hint="eastAsia" w:ascii="宋体" w:hAnsi="宋体" w:cs="Arial"/>
          <w:color w:val="auto"/>
          <w:sz w:val="24"/>
          <w:u w:val="single"/>
        </w:rPr>
      </w:pPr>
      <w:r>
        <w:rPr>
          <w:rFonts w:hint="eastAsia" w:ascii="宋体" w:hAnsi="宋体" w:cs="Arial"/>
          <w:color w:val="auto"/>
          <w:sz w:val="24"/>
        </w:rPr>
        <w:t>5.6不实行监理的，工程师的职权</w:t>
      </w:r>
      <w:r>
        <w:rPr>
          <w:rFonts w:hint="eastAsia" w:ascii="宋体" w:hAnsi="宋体" w:cs="Arial"/>
          <w:color w:val="auto"/>
          <w:sz w:val="24"/>
          <w:u w:val="single"/>
        </w:rPr>
        <w:t xml:space="preserve">                 /                  </w:t>
      </w:r>
    </w:p>
    <w:p w14:paraId="3899DB1D">
      <w:pPr>
        <w:spacing w:line="480" w:lineRule="exact"/>
        <w:ind w:firstLine="482" w:firstLineChars="200"/>
        <w:jc w:val="left"/>
        <w:rPr>
          <w:rFonts w:hint="eastAsia" w:ascii="宋体" w:hAnsi="宋体" w:cs="Arial"/>
          <w:b/>
          <w:color w:val="auto"/>
          <w:sz w:val="24"/>
        </w:rPr>
      </w:pPr>
      <w:r>
        <w:rPr>
          <w:rFonts w:hint="eastAsia" w:ascii="宋体" w:hAnsi="宋体" w:cs="Arial"/>
          <w:b/>
          <w:color w:val="auto"/>
          <w:sz w:val="24"/>
        </w:rPr>
        <w:t>7、项目经理及现场负责人</w:t>
      </w:r>
    </w:p>
    <w:p w14:paraId="729E98C9">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姓名：</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w:t>
      </w:r>
      <w:r>
        <w:rPr>
          <w:rFonts w:hint="eastAsia" w:ascii="宋体" w:hAnsi="宋体" w:cs="Arial"/>
          <w:color w:val="auto"/>
          <w:sz w:val="24"/>
        </w:rPr>
        <w:t xml:space="preserve"> 职务：</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（二级建造师） </w:t>
      </w:r>
      <w:r>
        <w:rPr>
          <w:rFonts w:hint="eastAsia" w:ascii="宋体" w:hAnsi="宋体" w:cs="Arial"/>
          <w:color w:val="auto"/>
          <w:sz w:val="24"/>
        </w:rPr>
        <w:t xml:space="preserve"> </w:t>
      </w:r>
    </w:p>
    <w:p w14:paraId="7F36ED48">
      <w:pPr>
        <w:spacing w:line="48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8、发包人工作</w:t>
      </w:r>
    </w:p>
    <w:p w14:paraId="352534B5">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8.1发包人应按约定的时间和要求完成以下工作；</w:t>
      </w:r>
    </w:p>
    <w:p w14:paraId="35F30F03">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（1）施工场地具备施工条件的要求及完成的时间：</w:t>
      </w:r>
      <w:r>
        <w:rPr>
          <w:rFonts w:hint="eastAsia" w:ascii="宋体" w:hAnsi="宋体" w:cs="Arial"/>
          <w:color w:val="auto"/>
          <w:sz w:val="24"/>
          <w:u w:val="single"/>
        </w:rPr>
        <w:t xml:space="preserve">  承包人在开工前自行</w:t>
      </w:r>
      <w:r>
        <w:rPr>
          <w:rFonts w:hint="eastAsia" w:ascii="宋体" w:hAnsi="宋体" w:cs="Arial"/>
          <w:color w:val="auto"/>
          <w:sz w:val="24"/>
          <w:u w:val="single"/>
          <w:lang w:val="en-US" w:eastAsia="zh-CN"/>
        </w:rPr>
        <w:t>安排</w:t>
      </w:r>
      <w:r>
        <w:rPr>
          <w:rFonts w:hint="eastAsia" w:ascii="宋体" w:hAnsi="宋体" w:cs="Arial"/>
          <w:color w:val="auto"/>
          <w:sz w:val="24"/>
          <w:u w:val="single"/>
        </w:rPr>
        <w:t xml:space="preserve"> 。  </w:t>
      </w:r>
    </w:p>
    <w:p w14:paraId="33C80E75">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（2）将施工所需的水、电、电讯线路接至施工场地的时间、地点和供应要求：</w:t>
      </w:r>
      <w:r>
        <w:rPr>
          <w:rFonts w:hint="eastAsia" w:ascii="宋体" w:hAnsi="宋体" w:cs="Arial"/>
          <w:color w:val="auto"/>
          <w:sz w:val="24"/>
          <w:u w:val="single"/>
        </w:rPr>
        <w:t>由发包人提供水源、电源，承包人负责安装，从发包人指定的位置引入施工现场，用水管道、电线、通讯、施工进出场道路及旧房拆除均由承包人自行解决。</w:t>
      </w:r>
    </w:p>
    <w:p w14:paraId="417F6725">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其计量和计价方法为：</w:t>
      </w:r>
      <w:r>
        <w:rPr>
          <w:rFonts w:hint="eastAsia" w:ascii="宋体" w:hAnsi="宋体" w:cs="Arial"/>
          <w:color w:val="auto"/>
          <w:sz w:val="24"/>
          <w:u w:val="single"/>
        </w:rPr>
        <w:t>水、电用量以计量表读数加分摊的损耗为准，价格执行相关部门的水、电费单价。水、电、施工进出场道路等所产生的费用由承包人承担。</w:t>
      </w:r>
      <w:r>
        <w:rPr>
          <w:rFonts w:hint="eastAsia" w:ascii="宋体" w:hAnsi="宋体" w:cs="Arial"/>
          <w:color w:val="auto"/>
          <w:sz w:val="24"/>
        </w:rPr>
        <w:t xml:space="preserve">                                 </w:t>
      </w:r>
    </w:p>
    <w:p w14:paraId="4E3D8DF5">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（3）施工场地与公共道路的通道开通时间和要求：</w:t>
      </w:r>
      <w:r>
        <w:rPr>
          <w:rFonts w:hint="eastAsia" w:ascii="宋体" w:hAnsi="宋体" w:cs="Arial"/>
          <w:color w:val="auto"/>
          <w:sz w:val="24"/>
          <w:u w:val="single"/>
        </w:rPr>
        <w:t xml:space="preserve">  承包人在开工前自行</w:t>
      </w:r>
      <w:r>
        <w:rPr>
          <w:rFonts w:hint="eastAsia" w:ascii="宋体" w:hAnsi="宋体" w:cs="Arial"/>
          <w:color w:val="auto"/>
          <w:sz w:val="24"/>
          <w:u w:val="single"/>
          <w:lang w:val="en-US" w:eastAsia="zh-CN"/>
        </w:rPr>
        <w:t>安排</w:t>
      </w:r>
      <w:r>
        <w:rPr>
          <w:rFonts w:hint="eastAsia" w:ascii="宋体" w:hAnsi="宋体" w:cs="Arial"/>
          <w:color w:val="auto"/>
          <w:sz w:val="24"/>
          <w:u w:val="single"/>
        </w:rPr>
        <w:t xml:space="preserve"> </w:t>
      </w:r>
    </w:p>
    <w:p w14:paraId="6C633765">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（4）工程地质和地下管线资料的提供时间：</w:t>
      </w:r>
      <w:r>
        <w:rPr>
          <w:rFonts w:hint="eastAsia" w:ascii="宋体" w:hAnsi="宋体" w:cs="Arial"/>
          <w:color w:val="auto"/>
          <w:sz w:val="24"/>
          <w:u w:val="single"/>
        </w:rPr>
        <w:t xml:space="preserve"> / 。</w:t>
      </w:r>
    </w:p>
    <w:p w14:paraId="26611526">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（5）由发包人办理的施工所需证件、批件的名称和完成时间：</w:t>
      </w:r>
      <w:r>
        <w:rPr>
          <w:rFonts w:hint="eastAsia" w:ascii="宋体" w:hAnsi="宋体" w:cs="Arial"/>
          <w:color w:val="auto"/>
          <w:sz w:val="24"/>
          <w:u w:val="single"/>
        </w:rPr>
        <w:t xml:space="preserve">    /    </w:t>
      </w:r>
    </w:p>
    <w:p w14:paraId="0CAE80FB">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（6）水准点与座标控制点交验要求：</w:t>
      </w:r>
      <w:r>
        <w:rPr>
          <w:rFonts w:hint="eastAsia" w:ascii="宋体" w:hAnsi="宋体" w:cs="Arial"/>
          <w:color w:val="auto"/>
          <w:sz w:val="24"/>
          <w:u w:val="single"/>
        </w:rPr>
        <w:t xml:space="preserve"> 执行《通用条款》8.1（6）款                  </w:t>
      </w:r>
    </w:p>
    <w:p w14:paraId="02D5F04C">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（7）图纸会审和设计交底时间：</w:t>
      </w:r>
      <w:r>
        <w:rPr>
          <w:rFonts w:hint="eastAsia" w:ascii="宋体" w:hAnsi="宋体" w:cs="Arial"/>
          <w:color w:val="auto"/>
          <w:sz w:val="24"/>
          <w:u w:val="single"/>
        </w:rPr>
        <w:t xml:space="preserve">       开工前         </w:t>
      </w:r>
    </w:p>
    <w:p w14:paraId="474B5CFE">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（8）协调处理施工场地周围地下管线和邻近建筑物、构筑物（含文物保护建筑）、古树名木的保护工作：</w:t>
      </w:r>
      <w:r>
        <w:rPr>
          <w:rFonts w:hint="eastAsia" w:ascii="宋体" w:hAnsi="宋体" w:cs="Arial"/>
          <w:color w:val="auto"/>
          <w:sz w:val="24"/>
          <w:u w:val="single"/>
        </w:rPr>
        <w:t xml:space="preserve">    执行《通用条款》8.1.（8）款        </w:t>
      </w:r>
    </w:p>
    <w:p w14:paraId="6468288C">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（9）双方约定发包人应做的其它工作：</w:t>
      </w:r>
      <w:r>
        <w:rPr>
          <w:rFonts w:hint="eastAsia" w:ascii="宋体" w:hAnsi="宋体" w:cs="Arial"/>
          <w:color w:val="auto"/>
          <w:sz w:val="24"/>
          <w:u w:val="single"/>
        </w:rPr>
        <w:t xml:space="preserve">            /                 </w:t>
      </w:r>
    </w:p>
    <w:p w14:paraId="463A4097">
      <w:pPr>
        <w:spacing w:line="480" w:lineRule="exact"/>
        <w:ind w:firstLine="240" w:firstLineChars="100"/>
        <w:jc w:val="left"/>
        <w:rPr>
          <w:rFonts w:hint="eastAsia" w:ascii="宋体" w:hAnsi="宋体" w:cs="Arial"/>
          <w:color w:val="auto"/>
          <w:sz w:val="24"/>
        </w:rPr>
      </w:pPr>
      <w:r>
        <w:rPr>
          <w:rFonts w:hint="eastAsia" w:ascii="宋体" w:hAnsi="宋体" w:cs="Arial"/>
          <w:color w:val="auto"/>
          <w:sz w:val="24"/>
        </w:rPr>
        <w:t>8.2发包人委托承包人办理的工作：</w:t>
      </w:r>
    </w:p>
    <w:p w14:paraId="7F705453">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配合发包人办理环保、质量监督农民工工资保证金等手续。</w:t>
      </w:r>
    </w:p>
    <w:p w14:paraId="4E7DEA6A">
      <w:pPr>
        <w:spacing w:line="48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9、承包人工作</w:t>
      </w:r>
    </w:p>
    <w:p w14:paraId="0697F98C">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9.1承包人应按约定时间和要求，完成以下工作：</w:t>
      </w:r>
    </w:p>
    <w:p w14:paraId="76F861B4">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（1）需由设计资质等级和业务范围允许的承包人完成的设计文件提交时间：</w:t>
      </w:r>
      <w:r>
        <w:rPr>
          <w:rFonts w:hint="eastAsia" w:ascii="宋体" w:hAnsi="宋体" w:cs="Arial"/>
          <w:color w:val="auto"/>
          <w:sz w:val="24"/>
          <w:u w:val="single"/>
        </w:rPr>
        <w:t xml:space="preserve">   /      </w:t>
      </w:r>
    </w:p>
    <w:p w14:paraId="3047A49F">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（2）应提供计划、报表的名称及完成时间：</w:t>
      </w:r>
    </w:p>
    <w:p w14:paraId="5DE11F0F">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每月25日前向业主、监理单位提供本月已完成工程报表一式三份，下月进度计划一式三份，《通用条款》9.1.（2）款规定的报表。 </w:t>
      </w:r>
    </w:p>
    <w:p w14:paraId="7F8E57F5">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（3）承担施工安全保卫工作及非夜间施工照明的责任和要求：</w:t>
      </w:r>
    </w:p>
    <w:p w14:paraId="57B69A79">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执行《通用条款》9.1.（5）款。</w:t>
      </w:r>
    </w:p>
    <w:p w14:paraId="5C7ADF94">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（4）向发包人提供的办公和生活房屋及设施的要求：</w:t>
      </w:r>
      <w:r>
        <w:rPr>
          <w:rFonts w:hint="eastAsia" w:ascii="宋体" w:hAnsi="宋体" w:cs="Arial"/>
          <w:color w:val="auto"/>
          <w:sz w:val="24"/>
          <w:u w:val="single"/>
        </w:rPr>
        <w:t xml:space="preserve">       /        </w:t>
      </w:r>
    </w:p>
    <w:p w14:paraId="475A2B21">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（5）承包人办理有关施工场地交通、环卫和施工噪音管理等手续：</w:t>
      </w:r>
    </w:p>
    <w:p w14:paraId="3C4D6D21">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执行《通用条款》9.1.（5）款。  </w:t>
      </w:r>
    </w:p>
    <w:p w14:paraId="0B199790">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（6）已完工程成品保护的特殊要求及费用承担：</w:t>
      </w:r>
    </w:p>
    <w:p w14:paraId="6CF7AB4C">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执行《通用条款》9.1.（6）款 ，其费用双方在签订合同时约定。 </w:t>
      </w:r>
    </w:p>
    <w:p w14:paraId="57D319F4">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（7）施工场地周围地下管线和邻近建筑物、构筑物（含文物保护建筑）、古树名木的保护要求及费用承担：</w:t>
      </w:r>
    </w:p>
    <w:p w14:paraId="7545198F">
      <w:pPr>
        <w:spacing w:line="480" w:lineRule="exact"/>
        <w:ind w:firstLine="720" w:firstLineChars="300"/>
        <w:jc w:val="left"/>
        <w:rPr>
          <w:rFonts w:hint="eastAsia" w:ascii="宋体" w:hAnsi="宋体" w:cs="Arial"/>
          <w:color w:val="auto"/>
          <w:sz w:val="24"/>
        </w:rPr>
      </w:pPr>
      <w:r>
        <w:rPr>
          <w:rFonts w:hint="eastAsia" w:ascii="宋体" w:hAnsi="宋体" w:cs="Arial"/>
          <w:color w:val="auto"/>
          <w:sz w:val="24"/>
          <w:u w:val="single"/>
        </w:rPr>
        <w:t xml:space="preserve">执行《通用条款》9.1（7）款 ，如因施工方法不当造成损失由承包方承担。  </w:t>
      </w:r>
    </w:p>
    <w:p w14:paraId="54A908C6">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（8）施工场地清洁卫生的要求：</w:t>
      </w:r>
    </w:p>
    <w:p w14:paraId="6D46FE83">
      <w:pPr>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执行《通用条款》9.1.（8）款。</w:t>
      </w:r>
    </w:p>
    <w:p w14:paraId="4DA19BA7">
      <w:pPr>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（9）双方特别约定：</w:t>
      </w:r>
      <w:r>
        <w:rPr>
          <w:rFonts w:hint="eastAsia" w:ascii="宋体" w:hAnsi="宋体" w:cs="Arial"/>
          <w:color w:val="auto"/>
          <w:sz w:val="24"/>
          <w:u w:val="single"/>
        </w:rPr>
        <w:t xml:space="preserve">  所有施工方案及进场材料须经发包人及监理人批准后方可实施；否则，由承包人承担全部责任。</w:t>
      </w:r>
    </w:p>
    <w:p w14:paraId="77CDA163">
      <w:pPr>
        <w:spacing w:line="480" w:lineRule="exact"/>
        <w:ind w:firstLine="554" w:firstLineChars="230"/>
        <w:outlineLvl w:val="0"/>
        <w:rPr>
          <w:rFonts w:hint="eastAsia" w:ascii="宋体" w:hAnsi="宋体" w:cs="Arial"/>
          <w:b/>
          <w:color w:val="auto"/>
          <w:sz w:val="24"/>
        </w:rPr>
      </w:pPr>
      <w:r>
        <w:rPr>
          <w:rFonts w:hint="eastAsia" w:ascii="宋体" w:hAnsi="宋体" w:cs="Arial"/>
          <w:b/>
          <w:color w:val="auto"/>
          <w:sz w:val="24"/>
        </w:rPr>
        <w:t>三、施工组织设计和工期</w:t>
      </w:r>
    </w:p>
    <w:p w14:paraId="321A8569">
      <w:pPr>
        <w:spacing w:line="460" w:lineRule="exact"/>
        <w:ind w:firstLine="482" w:firstLineChars="200"/>
        <w:jc w:val="left"/>
        <w:rPr>
          <w:rFonts w:hint="eastAsia" w:ascii="宋体" w:hAnsi="宋体" w:cs="Arial"/>
          <w:b/>
          <w:color w:val="auto"/>
          <w:sz w:val="24"/>
        </w:rPr>
      </w:pPr>
      <w:r>
        <w:rPr>
          <w:rFonts w:hint="eastAsia" w:ascii="宋体" w:hAnsi="宋体" w:cs="Arial"/>
          <w:b/>
          <w:color w:val="auto"/>
          <w:sz w:val="24"/>
        </w:rPr>
        <w:t>10、进度计划</w:t>
      </w:r>
    </w:p>
    <w:p w14:paraId="618CB48C">
      <w:pPr>
        <w:spacing w:line="460" w:lineRule="exact"/>
        <w:ind w:firstLine="480" w:firstLineChars="200"/>
        <w:jc w:val="left"/>
        <w:outlineLvl w:val="0"/>
        <w:rPr>
          <w:rFonts w:hint="eastAsia" w:ascii="宋体" w:hAnsi="宋体" w:cs="Arial"/>
          <w:color w:val="auto"/>
          <w:sz w:val="24"/>
        </w:rPr>
      </w:pPr>
      <w:r>
        <w:rPr>
          <w:rFonts w:hint="eastAsia" w:ascii="宋体" w:hAnsi="宋体" w:cs="Arial"/>
          <w:color w:val="auto"/>
          <w:sz w:val="24"/>
        </w:rPr>
        <w:t>10.1承包人提供施工组织设计（施工方案）和进度计划的时间：</w:t>
      </w:r>
      <w:r>
        <w:rPr>
          <w:rFonts w:hint="eastAsia" w:ascii="宋体" w:hAnsi="宋体" w:cs="Arial"/>
          <w:color w:val="auto"/>
          <w:sz w:val="24"/>
          <w:u w:val="single"/>
        </w:rPr>
        <w:t xml:space="preserve">  开工前10日内  </w:t>
      </w:r>
      <w:r>
        <w:rPr>
          <w:rFonts w:hint="eastAsia" w:ascii="宋体" w:hAnsi="宋体" w:cs="Arial"/>
          <w:color w:val="auto"/>
          <w:sz w:val="24"/>
        </w:rPr>
        <w:t>。</w:t>
      </w:r>
    </w:p>
    <w:p w14:paraId="3D6274C4">
      <w:pPr>
        <w:spacing w:line="46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工程师确认的时间：</w:t>
      </w:r>
      <w:r>
        <w:rPr>
          <w:rFonts w:hint="eastAsia" w:ascii="宋体" w:hAnsi="宋体" w:cs="Arial"/>
          <w:color w:val="auto"/>
          <w:sz w:val="24"/>
          <w:u w:val="single"/>
        </w:rPr>
        <w:t xml:space="preserve">  收到承包人报告后五日内 。  </w:t>
      </w:r>
    </w:p>
    <w:p w14:paraId="458CB241">
      <w:pPr>
        <w:spacing w:line="460" w:lineRule="exact"/>
        <w:ind w:firstLine="480" w:firstLineChars="200"/>
        <w:jc w:val="left"/>
        <w:rPr>
          <w:rFonts w:hint="eastAsia" w:ascii="宋体" w:hAnsi="宋体" w:cs="Arial"/>
          <w:color w:val="auto"/>
          <w:sz w:val="24"/>
        </w:rPr>
      </w:pPr>
      <w:r>
        <w:rPr>
          <w:rFonts w:hint="eastAsia" w:ascii="宋体" w:hAnsi="宋体" w:cs="Arial"/>
          <w:color w:val="auto"/>
          <w:sz w:val="24"/>
        </w:rPr>
        <w:t>10.2群体工程中有关进度计划的要求 ：</w:t>
      </w:r>
      <w:r>
        <w:rPr>
          <w:rFonts w:hint="eastAsia" w:ascii="宋体" w:hAnsi="宋体" w:cs="Arial"/>
          <w:color w:val="auto"/>
          <w:sz w:val="24"/>
          <w:u w:val="single"/>
        </w:rPr>
        <w:t xml:space="preserve">          /               </w:t>
      </w:r>
    </w:p>
    <w:p w14:paraId="2C62860F">
      <w:pPr>
        <w:spacing w:line="46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13、工期延误</w:t>
      </w:r>
    </w:p>
    <w:p w14:paraId="0A1A2E96">
      <w:pPr>
        <w:spacing w:line="460" w:lineRule="exact"/>
        <w:ind w:firstLine="480" w:firstLineChars="200"/>
        <w:jc w:val="left"/>
        <w:rPr>
          <w:rFonts w:hint="eastAsia" w:ascii="宋体" w:hAnsi="宋体" w:cs="Arial"/>
          <w:color w:val="auto"/>
          <w:sz w:val="24"/>
        </w:rPr>
      </w:pPr>
      <w:r>
        <w:rPr>
          <w:rFonts w:hint="eastAsia" w:ascii="宋体" w:hAnsi="宋体" w:cs="Arial"/>
          <w:color w:val="auto"/>
          <w:sz w:val="24"/>
        </w:rPr>
        <w:t>13.1双方约定工期顺延的其他情况</w:t>
      </w:r>
    </w:p>
    <w:p w14:paraId="6DA312BD">
      <w:pPr>
        <w:spacing w:line="46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工期顺延执行《通用条款》第13条。       </w:t>
      </w:r>
    </w:p>
    <w:p w14:paraId="7303757E">
      <w:pPr>
        <w:spacing w:line="460" w:lineRule="exact"/>
        <w:ind w:firstLine="559" w:firstLineChars="232"/>
        <w:rPr>
          <w:rFonts w:hint="eastAsia" w:ascii="宋体" w:hAnsi="宋体" w:cs="Arial"/>
          <w:b/>
          <w:color w:val="auto"/>
          <w:sz w:val="24"/>
        </w:rPr>
      </w:pPr>
      <w:r>
        <w:rPr>
          <w:rFonts w:hint="eastAsia" w:ascii="宋体" w:hAnsi="宋体" w:cs="Arial"/>
          <w:b/>
          <w:color w:val="auto"/>
          <w:sz w:val="24"/>
        </w:rPr>
        <w:t>四、质量与验收</w:t>
      </w:r>
    </w:p>
    <w:p w14:paraId="44AC4D27">
      <w:pPr>
        <w:spacing w:line="460" w:lineRule="exact"/>
        <w:ind w:firstLine="482" w:firstLineChars="200"/>
        <w:jc w:val="left"/>
        <w:rPr>
          <w:rFonts w:hint="eastAsia" w:ascii="宋体" w:hAnsi="宋体" w:cs="Arial"/>
          <w:b/>
          <w:color w:val="auto"/>
          <w:sz w:val="24"/>
        </w:rPr>
      </w:pPr>
      <w:r>
        <w:rPr>
          <w:rFonts w:hint="eastAsia" w:ascii="宋体" w:hAnsi="宋体" w:cs="Arial"/>
          <w:b/>
          <w:color w:val="auto"/>
          <w:sz w:val="24"/>
        </w:rPr>
        <w:t>15.1工程质量：</w:t>
      </w:r>
    </w:p>
    <w:p w14:paraId="36DC9588">
      <w:pPr>
        <w:spacing w:line="46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符合国家《建筑工程施工质量验收统一标准》（GB50300-2001</w:t>
      </w:r>
      <w:r>
        <w:rPr>
          <w:rFonts w:ascii="宋体" w:hAnsi="宋体" w:cs="Arial"/>
          <w:color w:val="auto"/>
          <w:sz w:val="24"/>
          <w:u w:val="single"/>
        </w:rPr>
        <w:t>）</w:t>
      </w:r>
      <w:r>
        <w:rPr>
          <w:rFonts w:hint="eastAsia" w:ascii="宋体" w:hAnsi="宋体" w:cs="Arial"/>
          <w:color w:val="auto"/>
          <w:sz w:val="24"/>
          <w:u w:val="single"/>
        </w:rPr>
        <w:t>合格等级。</w:t>
      </w:r>
    </w:p>
    <w:p w14:paraId="06EF5AA9">
      <w:pPr>
        <w:spacing w:line="46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17、隐蔽工程和中间验收</w:t>
      </w:r>
    </w:p>
    <w:p w14:paraId="62BC02DB">
      <w:pPr>
        <w:spacing w:line="460" w:lineRule="exact"/>
        <w:ind w:firstLine="480" w:firstLineChars="200"/>
        <w:jc w:val="left"/>
        <w:rPr>
          <w:rFonts w:hint="eastAsia" w:ascii="宋体" w:hAnsi="宋体" w:cs="Arial"/>
          <w:color w:val="auto"/>
          <w:sz w:val="24"/>
        </w:rPr>
      </w:pPr>
      <w:r>
        <w:rPr>
          <w:rFonts w:hint="eastAsia" w:ascii="宋体" w:hAnsi="宋体" w:cs="Arial"/>
          <w:color w:val="auto"/>
          <w:sz w:val="24"/>
        </w:rPr>
        <w:t>17.1双方约定中间验收部位：</w:t>
      </w:r>
    </w:p>
    <w:p w14:paraId="499E8572">
      <w:pPr>
        <w:spacing w:line="46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执行《通用条款》17条。 </w:t>
      </w:r>
    </w:p>
    <w:p w14:paraId="577B768E">
      <w:pPr>
        <w:spacing w:line="46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19、工程试车</w:t>
      </w:r>
    </w:p>
    <w:p w14:paraId="572603E1">
      <w:pPr>
        <w:spacing w:line="46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19.5试车费用的承担：</w:t>
      </w:r>
      <w:r>
        <w:rPr>
          <w:rFonts w:hint="eastAsia" w:ascii="宋体" w:hAnsi="宋体" w:cs="Arial"/>
          <w:color w:val="auto"/>
          <w:sz w:val="24"/>
          <w:u w:val="single"/>
        </w:rPr>
        <w:t xml:space="preserve">        /              </w:t>
      </w:r>
    </w:p>
    <w:p w14:paraId="02EA4382">
      <w:pPr>
        <w:spacing w:line="460" w:lineRule="exact"/>
        <w:ind w:firstLine="472" w:firstLineChars="196"/>
        <w:rPr>
          <w:rFonts w:hint="eastAsia" w:ascii="宋体" w:hAnsi="宋体" w:cs="Arial"/>
          <w:b/>
          <w:color w:val="auto"/>
          <w:sz w:val="24"/>
        </w:rPr>
      </w:pPr>
      <w:r>
        <w:rPr>
          <w:rFonts w:hint="eastAsia" w:ascii="宋体" w:hAnsi="宋体" w:cs="Arial"/>
          <w:b/>
          <w:color w:val="auto"/>
          <w:sz w:val="24"/>
        </w:rPr>
        <w:t>五、安全防护、文明施工</w:t>
      </w:r>
    </w:p>
    <w:p w14:paraId="1795649B">
      <w:pPr>
        <w:spacing w:line="460" w:lineRule="exact"/>
        <w:ind w:firstLine="480" w:firstLineChars="200"/>
        <w:jc w:val="left"/>
        <w:rPr>
          <w:rFonts w:hint="eastAsia" w:ascii="宋体" w:hAnsi="宋体" w:cs="Arial"/>
          <w:color w:val="auto"/>
          <w:sz w:val="24"/>
          <w:u w:val="single"/>
        </w:rPr>
      </w:pPr>
      <w:r>
        <w:rPr>
          <w:rFonts w:hint="eastAsia" w:ascii="宋体" w:hAnsi="宋体" w:cs="Arial"/>
          <w:color w:val="auto"/>
          <w:sz w:val="24"/>
          <w:u w:val="single"/>
        </w:rPr>
        <w:t xml:space="preserve">执行《通用条款》第五条全部条款和国家、省、市关于安全文明施工的要求规定。 </w:t>
      </w:r>
    </w:p>
    <w:p w14:paraId="5C45D540">
      <w:pPr>
        <w:spacing w:line="460" w:lineRule="exact"/>
        <w:ind w:firstLine="472" w:firstLineChars="196"/>
        <w:rPr>
          <w:rFonts w:hint="eastAsia" w:ascii="宋体" w:hAnsi="宋体" w:cs="Arial"/>
          <w:b/>
          <w:color w:val="auto"/>
          <w:sz w:val="24"/>
        </w:rPr>
      </w:pPr>
      <w:r>
        <w:rPr>
          <w:rFonts w:hint="eastAsia" w:ascii="宋体" w:hAnsi="宋体" w:cs="Arial"/>
          <w:b/>
          <w:color w:val="auto"/>
          <w:sz w:val="24"/>
        </w:rPr>
        <w:t>六、合同价款</w:t>
      </w:r>
    </w:p>
    <w:p w14:paraId="6D6E5921">
      <w:pPr>
        <w:spacing w:line="460" w:lineRule="exact"/>
        <w:ind w:firstLine="472" w:firstLineChars="196"/>
        <w:jc w:val="left"/>
        <w:outlineLvl w:val="0"/>
        <w:rPr>
          <w:rFonts w:hint="eastAsia" w:ascii="宋体" w:hAnsi="宋体" w:cs="Arial"/>
          <w:b/>
          <w:color w:val="auto"/>
          <w:sz w:val="24"/>
        </w:rPr>
      </w:pPr>
      <w:r>
        <w:rPr>
          <w:rFonts w:hint="eastAsia" w:ascii="宋体" w:hAnsi="宋体" w:cs="Arial"/>
          <w:b/>
          <w:color w:val="auto"/>
          <w:sz w:val="24"/>
        </w:rPr>
        <w:t>26、合同价款约定</w:t>
      </w:r>
    </w:p>
    <w:p w14:paraId="742B7CD7">
      <w:pPr>
        <w:spacing w:line="460" w:lineRule="exact"/>
        <w:ind w:firstLine="720" w:firstLineChars="300"/>
        <w:rPr>
          <w:rFonts w:hint="default" w:ascii="宋体" w:hAnsi="宋体" w:eastAsia="宋体"/>
          <w:color w:val="auto"/>
          <w:sz w:val="24"/>
          <w:u w:val="single"/>
          <w:lang w:val="en-US" w:eastAsia="zh-CN"/>
        </w:rPr>
      </w:pPr>
      <w:r>
        <w:rPr>
          <w:rFonts w:hint="eastAsia" w:ascii="宋体" w:hAnsi="宋体"/>
          <w:color w:val="auto"/>
          <w:sz w:val="24"/>
        </w:rPr>
        <w:t>采用固定总价合同</w:t>
      </w:r>
      <w:r>
        <w:rPr>
          <w:rFonts w:hint="eastAsia" w:ascii="宋体" w:hAnsi="宋体"/>
          <w:color w:val="auto"/>
          <w:sz w:val="24"/>
          <w:lang w:eastAsia="zh-CN"/>
        </w:rPr>
        <w:t>：</w:t>
      </w:r>
      <w:r>
        <w:rPr>
          <w:rFonts w:hint="eastAsia" w:ascii="宋体" w:hAnsi="宋体"/>
          <w:color w:val="auto"/>
          <w:sz w:val="24"/>
          <w:lang w:val="en-US" w:eastAsia="zh-CN"/>
        </w:rPr>
        <w:t>该合同价款不因材料、人工费、机械租赁费等费用的上涨变动。</w:t>
      </w:r>
    </w:p>
    <w:p w14:paraId="26EFBC8B">
      <w:pPr>
        <w:spacing w:line="46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27、合同价款调整</w:t>
      </w:r>
    </w:p>
    <w:p w14:paraId="180D7AF9">
      <w:pPr>
        <w:spacing w:line="46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27.1双方约定合同价款的其他调整因素:</w:t>
      </w:r>
      <w:r>
        <w:rPr>
          <w:rFonts w:hint="eastAsia" w:ascii="宋体" w:hAnsi="宋体" w:cs="Arial"/>
          <w:color w:val="auto"/>
          <w:sz w:val="24"/>
          <w:u w:val="single"/>
        </w:rPr>
        <w:t xml:space="preserve">          </w:t>
      </w:r>
      <w:r>
        <w:rPr>
          <w:rFonts w:hint="eastAsia" w:ascii="宋体" w:hAnsi="宋体"/>
          <w:color w:val="auto"/>
          <w:sz w:val="24"/>
          <w:u w:val="single"/>
        </w:rPr>
        <w:t xml:space="preserve">/           </w:t>
      </w:r>
    </w:p>
    <w:p w14:paraId="23B51090">
      <w:pPr>
        <w:spacing w:line="5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28、工程预付款</w:t>
      </w:r>
    </w:p>
    <w:p w14:paraId="41F3CB1C">
      <w:pPr>
        <w:spacing w:line="500" w:lineRule="exact"/>
        <w:ind w:firstLine="480" w:firstLineChars="200"/>
        <w:jc w:val="left"/>
        <w:rPr>
          <w:rFonts w:hint="eastAsia" w:ascii="宋体" w:hAnsi="宋体" w:cs="Arial"/>
          <w:color w:val="auto"/>
          <w:sz w:val="24"/>
        </w:rPr>
      </w:pPr>
      <w:r>
        <w:rPr>
          <w:rFonts w:hint="eastAsia" w:ascii="宋体" w:hAnsi="宋体" w:cs="Arial"/>
          <w:color w:val="auto"/>
          <w:sz w:val="24"/>
        </w:rPr>
        <w:t>发包人向承包人预付工程款的时间和金额或占合同价款总额的比例：</w:t>
      </w:r>
      <w:r>
        <w:rPr>
          <w:rFonts w:hint="eastAsia" w:ascii="宋体" w:hAnsi="宋体" w:cs="Arial"/>
          <w:color w:val="auto"/>
          <w:sz w:val="24"/>
          <w:u w:val="single"/>
        </w:rPr>
        <w:t xml:space="preserve">     </w:t>
      </w:r>
      <w:r>
        <w:rPr>
          <w:rFonts w:hint="eastAsia" w:ascii="宋体" w:hAnsi="宋体"/>
          <w:color w:val="auto"/>
          <w:sz w:val="24"/>
          <w:u w:val="single"/>
        </w:rPr>
        <w:t xml:space="preserve">/   </w:t>
      </w:r>
    </w:p>
    <w:p w14:paraId="6D4F238D">
      <w:pPr>
        <w:spacing w:line="500" w:lineRule="exact"/>
        <w:ind w:firstLine="480" w:firstLineChars="200"/>
        <w:jc w:val="left"/>
        <w:rPr>
          <w:rFonts w:hint="eastAsia" w:ascii="宋体" w:hAnsi="宋体" w:cs="Arial"/>
          <w:color w:val="auto"/>
          <w:sz w:val="24"/>
        </w:rPr>
      </w:pPr>
      <w:r>
        <w:rPr>
          <w:rFonts w:hint="eastAsia" w:ascii="宋体" w:hAnsi="宋体" w:cs="Arial"/>
          <w:color w:val="auto"/>
          <w:sz w:val="24"/>
        </w:rPr>
        <w:t>扣回工程款的时间、比例：</w:t>
      </w:r>
      <w:r>
        <w:rPr>
          <w:rFonts w:hint="eastAsia" w:ascii="宋体" w:hAnsi="宋体" w:cs="Arial"/>
          <w:color w:val="auto"/>
          <w:sz w:val="24"/>
          <w:u w:val="single"/>
        </w:rPr>
        <w:t xml:space="preserve">          </w:t>
      </w:r>
      <w:r>
        <w:rPr>
          <w:rFonts w:hint="eastAsia" w:ascii="宋体" w:hAnsi="宋体"/>
          <w:color w:val="auto"/>
          <w:sz w:val="24"/>
          <w:u w:val="single"/>
        </w:rPr>
        <w:t xml:space="preserve">/           </w:t>
      </w:r>
    </w:p>
    <w:p w14:paraId="19D53818">
      <w:pPr>
        <w:spacing w:line="500" w:lineRule="exact"/>
        <w:ind w:firstLine="480" w:firstLineChars="200"/>
        <w:jc w:val="left"/>
        <w:rPr>
          <w:rFonts w:ascii="宋体" w:hAnsi="宋体" w:cs="Arial"/>
          <w:color w:val="auto"/>
          <w:sz w:val="24"/>
        </w:rPr>
      </w:pPr>
      <w:r>
        <w:rPr>
          <w:rFonts w:hint="eastAsia" w:ascii="宋体" w:hAnsi="宋体" w:cs="Arial"/>
          <w:color w:val="auto"/>
          <w:sz w:val="24"/>
        </w:rPr>
        <w:t>预付安全防护、文明施工措施费用的比例和时间：</w:t>
      </w:r>
      <w:r>
        <w:rPr>
          <w:rFonts w:hint="eastAsia" w:ascii="宋体" w:hAnsi="宋体" w:cs="Arial"/>
          <w:color w:val="auto"/>
          <w:sz w:val="24"/>
          <w:u w:val="single"/>
        </w:rPr>
        <w:t xml:space="preserve">            /          </w:t>
      </w:r>
    </w:p>
    <w:p w14:paraId="2E8A5C33">
      <w:pPr>
        <w:spacing w:line="5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29、工程量确认</w:t>
      </w:r>
    </w:p>
    <w:p w14:paraId="0F66163B">
      <w:pPr>
        <w:spacing w:line="500" w:lineRule="exact"/>
        <w:ind w:firstLine="480" w:firstLineChars="200"/>
        <w:jc w:val="left"/>
        <w:rPr>
          <w:rFonts w:hint="eastAsia" w:ascii="宋体" w:hAnsi="宋体" w:cs="Arial"/>
          <w:color w:val="auto"/>
          <w:sz w:val="24"/>
        </w:rPr>
      </w:pPr>
      <w:r>
        <w:rPr>
          <w:rFonts w:hint="eastAsia" w:ascii="宋体" w:hAnsi="宋体" w:cs="Arial"/>
          <w:color w:val="auto"/>
          <w:sz w:val="24"/>
        </w:rPr>
        <w:t>29.1承包人向工程师提交已完成工程量报告时间：</w:t>
      </w:r>
      <w:r>
        <w:rPr>
          <w:rFonts w:hint="eastAsia" w:ascii="宋体" w:hAnsi="宋体" w:cs="Arial"/>
          <w:color w:val="auto"/>
          <w:sz w:val="24"/>
          <w:u w:val="single"/>
        </w:rPr>
        <w:t xml:space="preserve">  合同签订时约定  </w:t>
      </w:r>
      <w:r>
        <w:rPr>
          <w:rFonts w:hint="eastAsia" w:ascii="宋体" w:hAnsi="宋体" w:cs="Arial"/>
          <w:color w:val="auto"/>
          <w:sz w:val="24"/>
        </w:rPr>
        <w:t>。</w:t>
      </w:r>
    </w:p>
    <w:p w14:paraId="2F52D97F">
      <w:pPr>
        <w:spacing w:line="500" w:lineRule="exact"/>
        <w:ind w:firstLine="482" w:firstLineChars="200"/>
        <w:jc w:val="left"/>
        <w:outlineLvl w:val="0"/>
        <w:rPr>
          <w:rFonts w:hint="eastAsia" w:ascii="宋体" w:hAnsi="宋体" w:cs="Arial"/>
          <w:b/>
          <w:color w:val="auto"/>
          <w:sz w:val="24"/>
        </w:rPr>
      </w:pPr>
      <w:r>
        <w:rPr>
          <w:rFonts w:hint="eastAsia" w:ascii="宋体" w:hAnsi="宋体" w:cs="Arial"/>
          <w:b/>
          <w:color w:val="auto"/>
          <w:sz w:val="24"/>
        </w:rPr>
        <w:t>30、工程进度款结算与支付</w:t>
      </w:r>
    </w:p>
    <w:p w14:paraId="4EC737A8">
      <w:pPr>
        <w:spacing w:line="500" w:lineRule="exact"/>
        <w:ind w:firstLine="480" w:firstLineChars="200"/>
        <w:rPr>
          <w:rFonts w:ascii="宋体" w:hAnsi="宋体" w:cs="Arial"/>
          <w:color w:val="auto"/>
          <w:sz w:val="24"/>
        </w:rPr>
      </w:pPr>
      <w:r>
        <w:rPr>
          <w:rFonts w:hint="eastAsia" w:ascii="宋体" w:hAnsi="宋体" w:cs="Arial"/>
          <w:color w:val="auto"/>
          <w:sz w:val="24"/>
        </w:rPr>
        <w:t>双方约定的工程进度款支付的方式、时间和比例是：</w:t>
      </w:r>
      <w:r>
        <w:rPr>
          <w:rFonts w:hint="eastAsia" w:ascii="宋体" w:hAnsi="宋体" w:cs="Arial"/>
          <w:color w:val="auto"/>
          <w:sz w:val="24"/>
          <w:u w:val="single"/>
        </w:rPr>
        <w:t>（1）结算单位：采购人结算，在付款前，必须开具全额（等额）增值税发票给采购人。（2）付款方式：双方签订合同后，支付合同总金额的40%预付款，工程竣工验收合格付至工程款的90%，待工程审计结束付清至100%。（若发包方资金暂未到位，承包方应确保工程正常施工）。</w:t>
      </w:r>
    </w:p>
    <w:p w14:paraId="627999FD">
      <w:pPr>
        <w:spacing w:line="500" w:lineRule="exact"/>
        <w:ind w:left="120" w:leftChars="57" w:firstLine="361" w:firstLineChars="150"/>
        <w:outlineLvl w:val="0"/>
        <w:rPr>
          <w:rFonts w:hint="eastAsia" w:ascii="宋体" w:hAnsi="宋体"/>
          <w:b/>
          <w:color w:val="auto"/>
          <w:sz w:val="24"/>
        </w:rPr>
      </w:pPr>
      <w:r>
        <w:rPr>
          <w:rFonts w:hint="eastAsia" w:ascii="宋体" w:hAnsi="宋体"/>
          <w:b/>
          <w:color w:val="auto"/>
          <w:sz w:val="24"/>
        </w:rPr>
        <w:t>七、材料设备供应</w:t>
      </w:r>
    </w:p>
    <w:p w14:paraId="7F2529CB">
      <w:pPr>
        <w:spacing w:line="500" w:lineRule="exact"/>
        <w:ind w:left="120" w:leftChars="57" w:firstLine="360" w:firstLineChars="150"/>
        <w:rPr>
          <w:rFonts w:hint="eastAsia" w:ascii="宋体" w:hAnsi="宋体" w:cs="Arial"/>
          <w:color w:val="auto"/>
          <w:sz w:val="24"/>
        </w:rPr>
      </w:pPr>
      <w:r>
        <w:rPr>
          <w:rFonts w:hint="eastAsia" w:ascii="宋体" w:hAnsi="宋体" w:cs="Arial"/>
          <w:color w:val="auto"/>
          <w:sz w:val="24"/>
        </w:rPr>
        <w:t>31、发包人供应材料设备</w:t>
      </w:r>
    </w:p>
    <w:p w14:paraId="5C6AB96E">
      <w:pPr>
        <w:spacing w:line="500" w:lineRule="exact"/>
        <w:ind w:left="120" w:leftChars="57" w:firstLine="360" w:firstLineChars="150"/>
        <w:rPr>
          <w:rFonts w:hint="eastAsia" w:ascii="宋体" w:hAnsi="宋体" w:cs="Arial"/>
          <w:color w:val="auto"/>
          <w:sz w:val="24"/>
        </w:rPr>
      </w:pPr>
      <w:r>
        <w:rPr>
          <w:rFonts w:hint="eastAsia" w:ascii="宋体" w:hAnsi="宋体" w:cs="Arial"/>
          <w:color w:val="auto"/>
          <w:sz w:val="24"/>
        </w:rPr>
        <w:t>31.4、发包人供应的材料设备与一览表不符时，双方约定发包人承担责任如下：</w:t>
      </w:r>
    </w:p>
    <w:p w14:paraId="66269259">
      <w:pPr>
        <w:spacing w:line="500" w:lineRule="exact"/>
        <w:ind w:left="120" w:leftChars="57" w:firstLine="360" w:firstLineChars="150"/>
        <w:rPr>
          <w:rFonts w:hint="eastAsia" w:ascii="宋体" w:hAnsi="宋体" w:cs="Arial"/>
          <w:color w:val="auto"/>
          <w:sz w:val="24"/>
          <w:u w:val="single"/>
        </w:rPr>
      </w:pPr>
      <w:r>
        <w:rPr>
          <w:rFonts w:hint="eastAsia" w:ascii="宋体" w:hAnsi="宋体" w:cs="Arial"/>
          <w:color w:val="auto"/>
          <w:sz w:val="24"/>
        </w:rPr>
        <w:t>（1）材料设备单价与一览表不符：</w:t>
      </w:r>
      <w:r>
        <w:rPr>
          <w:rFonts w:hint="eastAsia" w:ascii="宋体" w:hAnsi="宋体" w:cs="Arial"/>
          <w:color w:val="auto"/>
          <w:sz w:val="24"/>
          <w:u w:val="single"/>
        </w:rPr>
        <w:t xml:space="preserve">  执行《通用条款》31.4（1）款。</w:t>
      </w:r>
    </w:p>
    <w:p w14:paraId="63947E5E">
      <w:pPr>
        <w:spacing w:line="500" w:lineRule="exact"/>
        <w:ind w:left="120" w:leftChars="57" w:firstLine="360" w:firstLineChars="150"/>
        <w:rPr>
          <w:rFonts w:hint="eastAsia" w:ascii="宋体" w:hAnsi="宋体" w:cs="Arial"/>
          <w:color w:val="auto"/>
          <w:sz w:val="24"/>
        </w:rPr>
      </w:pPr>
      <w:r>
        <w:rPr>
          <w:rFonts w:hint="eastAsia" w:ascii="宋体" w:hAnsi="宋体" w:cs="Arial"/>
          <w:color w:val="auto"/>
          <w:sz w:val="24"/>
        </w:rPr>
        <w:t>（2）材料设备品种、规格、型号、质量等级与一览表不符：</w:t>
      </w:r>
    </w:p>
    <w:p w14:paraId="6FBCA4CA">
      <w:pPr>
        <w:spacing w:line="500" w:lineRule="exact"/>
        <w:ind w:firstLine="840" w:firstLineChars="350"/>
        <w:rPr>
          <w:rFonts w:hint="eastAsia" w:ascii="宋体" w:hAnsi="宋体" w:cs="Arial"/>
          <w:color w:val="auto"/>
          <w:sz w:val="24"/>
          <w:u w:val="single"/>
        </w:rPr>
      </w:pPr>
      <w:r>
        <w:rPr>
          <w:rFonts w:hint="eastAsia" w:ascii="宋体" w:hAnsi="宋体" w:cs="Arial"/>
          <w:color w:val="auto"/>
          <w:sz w:val="24"/>
          <w:u w:val="single"/>
        </w:rPr>
        <w:t xml:space="preserve">      执行《通用条款》31.4（2）款。     </w:t>
      </w:r>
    </w:p>
    <w:p w14:paraId="33122D1C">
      <w:pPr>
        <w:spacing w:line="500" w:lineRule="exact"/>
        <w:ind w:firstLine="480" w:firstLineChars="200"/>
        <w:rPr>
          <w:rFonts w:hint="eastAsia" w:ascii="宋体" w:hAnsi="宋体" w:cs="Arial"/>
          <w:color w:val="auto"/>
          <w:sz w:val="24"/>
          <w:u w:val="single"/>
        </w:rPr>
      </w:pPr>
      <w:r>
        <w:rPr>
          <w:rFonts w:hint="eastAsia" w:ascii="宋体" w:hAnsi="宋体" w:cs="Arial"/>
          <w:color w:val="auto"/>
          <w:sz w:val="24"/>
        </w:rPr>
        <w:t>（3）承包人可代为调剂串换的材料：</w:t>
      </w:r>
      <w:r>
        <w:rPr>
          <w:rFonts w:hint="eastAsia" w:ascii="宋体" w:hAnsi="宋体" w:cs="Arial"/>
          <w:color w:val="auto"/>
          <w:sz w:val="24"/>
          <w:u w:val="single"/>
        </w:rPr>
        <w:t xml:space="preserve">      执行《通用条款》31.4（3）款。   </w:t>
      </w:r>
    </w:p>
    <w:p w14:paraId="7364D79B">
      <w:pPr>
        <w:spacing w:line="500" w:lineRule="exact"/>
        <w:ind w:left="120" w:leftChars="57" w:firstLine="360" w:firstLineChars="150"/>
        <w:rPr>
          <w:rFonts w:hint="eastAsia" w:ascii="宋体" w:hAnsi="宋体" w:cs="Arial"/>
          <w:color w:val="auto"/>
          <w:sz w:val="24"/>
          <w:u w:val="single"/>
        </w:rPr>
      </w:pPr>
      <w:r>
        <w:rPr>
          <w:rFonts w:hint="eastAsia" w:ascii="宋体" w:hAnsi="宋体" w:cs="Arial"/>
          <w:color w:val="auto"/>
          <w:sz w:val="24"/>
        </w:rPr>
        <w:t>（4</w:t>
      </w:r>
      <w:r>
        <w:rPr>
          <w:rFonts w:ascii="宋体" w:hAnsi="宋体" w:cs="Arial"/>
          <w:color w:val="auto"/>
          <w:sz w:val="24"/>
        </w:rPr>
        <w:t>）</w:t>
      </w:r>
      <w:r>
        <w:rPr>
          <w:rFonts w:hint="eastAsia" w:ascii="宋体" w:hAnsi="宋体" w:cs="Arial"/>
          <w:color w:val="auto"/>
          <w:sz w:val="24"/>
        </w:rPr>
        <w:t>到货地点与一览表不符：</w:t>
      </w:r>
      <w:r>
        <w:rPr>
          <w:rFonts w:hint="eastAsia" w:ascii="宋体" w:hAnsi="宋体" w:cs="Arial"/>
          <w:color w:val="auto"/>
          <w:sz w:val="24"/>
          <w:u w:val="single"/>
        </w:rPr>
        <w:t xml:space="preserve">     执行《通用条款》31.4（4）款。</w:t>
      </w:r>
    </w:p>
    <w:p w14:paraId="1B335E79">
      <w:pPr>
        <w:spacing w:line="500" w:lineRule="exact"/>
        <w:ind w:left="120" w:leftChars="57" w:firstLine="360" w:firstLineChars="150"/>
        <w:rPr>
          <w:rFonts w:hint="eastAsia" w:ascii="宋体" w:hAnsi="宋体" w:cs="Arial"/>
          <w:color w:val="auto"/>
          <w:sz w:val="24"/>
          <w:u w:val="single"/>
        </w:rPr>
      </w:pPr>
      <w:r>
        <w:rPr>
          <w:rFonts w:hint="eastAsia" w:ascii="宋体" w:hAnsi="宋体" w:cs="Arial"/>
          <w:color w:val="auto"/>
          <w:sz w:val="24"/>
        </w:rPr>
        <w:t>（5）供应数量与一览表不符：</w:t>
      </w:r>
      <w:r>
        <w:rPr>
          <w:rFonts w:hint="eastAsia" w:ascii="宋体" w:hAnsi="宋体" w:cs="Arial"/>
          <w:color w:val="auto"/>
          <w:sz w:val="24"/>
          <w:u w:val="single"/>
        </w:rPr>
        <w:t xml:space="preserve">     执行《通用条款》31.4（5）款。</w:t>
      </w:r>
    </w:p>
    <w:p w14:paraId="0737D26A">
      <w:pPr>
        <w:spacing w:line="500" w:lineRule="exact"/>
        <w:ind w:left="120" w:leftChars="57" w:firstLine="360" w:firstLineChars="150"/>
        <w:rPr>
          <w:rFonts w:hint="eastAsia" w:ascii="宋体" w:hAnsi="宋体" w:cs="Arial"/>
          <w:color w:val="auto"/>
          <w:sz w:val="24"/>
          <w:u w:val="single"/>
        </w:rPr>
      </w:pPr>
      <w:r>
        <w:rPr>
          <w:rFonts w:hint="eastAsia" w:ascii="宋体" w:hAnsi="宋体" w:cs="Arial"/>
          <w:color w:val="auto"/>
          <w:sz w:val="24"/>
        </w:rPr>
        <w:t>（6）到货时间与一览表不符：</w:t>
      </w:r>
      <w:r>
        <w:rPr>
          <w:rFonts w:hint="eastAsia" w:ascii="宋体" w:hAnsi="宋体" w:cs="Arial"/>
          <w:color w:val="auto"/>
          <w:sz w:val="24"/>
          <w:u w:val="single"/>
        </w:rPr>
        <w:t xml:space="preserve">     执行《通用条款》31.4（6）款。</w:t>
      </w:r>
    </w:p>
    <w:p w14:paraId="0D3261E4">
      <w:pPr>
        <w:spacing w:line="500" w:lineRule="exact"/>
        <w:ind w:left="120" w:leftChars="57" w:firstLine="360" w:firstLineChars="150"/>
        <w:rPr>
          <w:rFonts w:hint="eastAsia" w:ascii="宋体" w:hAnsi="宋体" w:cs="Arial"/>
          <w:color w:val="auto"/>
          <w:sz w:val="24"/>
        </w:rPr>
      </w:pPr>
      <w:r>
        <w:rPr>
          <w:rFonts w:hint="eastAsia" w:ascii="宋体" w:hAnsi="宋体" w:cs="Arial"/>
          <w:color w:val="auto"/>
          <w:sz w:val="24"/>
        </w:rPr>
        <w:t>31.6发包人供应材料设备的结算方法：</w:t>
      </w:r>
      <w:r>
        <w:rPr>
          <w:rFonts w:hint="eastAsia" w:ascii="宋体" w:hAnsi="宋体" w:cs="Arial"/>
          <w:color w:val="auto"/>
          <w:sz w:val="24"/>
          <w:u w:val="single"/>
        </w:rPr>
        <w:t xml:space="preserve">         /             。  </w:t>
      </w:r>
    </w:p>
    <w:p w14:paraId="6D446A2A">
      <w:pPr>
        <w:spacing w:line="500" w:lineRule="exact"/>
        <w:ind w:firstLine="482" w:firstLineChars="200"/>
        <w:jc w:val="left"/>
        <w:rPr>
          <w:rFonts w:hint="eastAsia" w:ascii="宋体" w:hAnsi="宋体"/>
          <w:b/>
          <w:color w:val="auto"/>
          <w:sz w:val="24"/>
        </w:rPr>
      </w:pPr>
      <w:r>
        <w:rPr>
          <w:rFonts w:hint="eastAsia" w:ascii="宋体" w:hAnsi="宋体"/>
          <w:b/>
          <w:color w:val="auto"/>
          <w:sz w:val="24"/>
        </w:rPr>
        <w:t>32、承包人采购材料设备</w:t>
      </w:r>
    </w:p>
    <w:p w14:paraId="6EA061E6">
      <w:pPr>
        <w:spacing w:line="500" w:lineRule="exact"/>
        <w:ind w:firstLine="480" w:firstLineChars="200"/>
        <w:jc w:val="left"/>
        <w:rPr>
          <w:rFonts w:hint="eastAsia" w:ascii="宋体" w:hAnsi="宋体"/>
          <w:color w:val="auto"/>
          <w:sz w:val="24"/>
        </w:rPr>
      </w:pPr>
      <w:r>
        <w:rPr>
          <w:rFonts w:hint="eastAsia" w:ascii="宋体" w:hAnsi="宋体"/>
          <w:color w:val="auto"/>
          <w:sz w:val="24"/>
        </w:rPr>
        <w:t>32.1承包人采购材料设备的约定：</w:t>
      </w:r>
    </w:p>
    <w:p w14:paraId="799E70B9">
      <w:pPr>
        <w:spacing w:line="500" w:lineRule="exact"/>
        <w:ind w:firstLine="480" w:firstLineChars="200"/>
        <w:jc w:val="left"/>
        <w:rPr>
          <w:rFonts w:hint="eastAsia" w:ascii="宋体" w:hAnsi="宋体"/>
          <w:color w:val="auto"/>
          <w:sz w:val="24"/>
          <w:u w:val="single"/>
        </w:rPr>
      </w:pPr>
      <w:r>
        <w:rPr>
          <w:rFonts w:hint="eastAsia" w:ascii="宋体" w:hAnsi="宋体"/>
          <w:color w:val="auto"/>
          <w:sz w:val="24"/>
          <w:u w:val="single"/>
        </w:rPr>
        <w:t xml:space="preserve">由发包人指定价的材料设备须经发包人认质认价后方可采购，同时执行《通用条款》第32条。 </w:t>
      </w:r>
    </w:p>
    <w:p w14:paraId="7646F796">
      <w:pPr>
        <w:spacing w:line="500" w:lineRule="exact"/>
        <w:ind w:firstLine="482" w:firstLineChars="200"/>
        <w:outlineLvl w:val="0"/>
        <w:rPr>
          <w:rFonts w:hint="default" w:ascii="宋体" w:hAnsi="宋体" w:eastAsia="宋体"/>
          <w:b/>
          <w:color w:val="auto"/>
          <w:sz w:val="24"/>
          <w:lang w:val="en-US" w:eastAsia="zh-CN"/>
        </w:rPr>
      </w:pPr>
      <w:r>
        <w:rPr>
          <w:rFonts w:hint="eastAsia" w:ascii="宋体" w:hAnsi="宋体"/>
          <w:b/>
          <w:color w:val="auto"/>
          <w:sz w:val="24"/>
        </w:rPr>
        <w:t>八、工程变更：</w:t>
      </w:r>
    </w:p>
    <w:p w14:paraId="69A7130C">
      <w:pPr>
        <w:spacing w:line="500" w:lineRule="exact"/>
        <w:outlineLvl w:val="0"/>
        <w:rPr>
          <w:rFonts w:hint="eastAsia" w:ascii="宋体" w:hAnsi="宋体"/>
          <w:b/>
          <w:color w:val="auto"/>
          <w:sz w:val="24"/>
        </w:rPr>
      </w:pPr>
      <w:r>
        <w:rPr>
          <w:rFonts w:hint="eastAsia" w:ascii="宋体" w:hAnsi="宋体"/>
          <w:b/>
          <w:color w:val="auto"/>
          <w:sz w:val="24"/>
        </w:rPr>
        <w:t xml:space="preserve">    九、竣工验收与结算</w:t>
      </w:r>
    </w:p>
    <w:p w14:paraId="5C1EF889">
      <w:pPr>
        <w:spacing w:line="500" w:lineRule="exact"/>
        <w:ind w:firstLine="482" w:firstLineChars="200"/>
        <w:jc w:val="left"/>
        <w:rPr>
          <w:rFonts w:hint="eastAsia" w:ascii="宋体" w:hAnsi="宋体"/>
          <w:b/>
          <w:color w:val="auto"/>
          <w:sz w:val="24"/>
        </w:rPr>
      </w:pPr>
      <w:r>
        <w:rPr>
          <w:rFonts w:hint="eastAsia" w:ascii="宋体" w:hAnsi="宋体"/>
          <w:b/>
          <w:color w:val="auto"/>
          <w:sz w:val="24"/>
        </w:rPr>
        <w:t>36、竣工验收</w:t>
      </w:r>
    </w:p>
    <w:p w14:paraId="692ABECB">
      <w:pPr>
        <w:spacing w:line="480" w:lineRule="exact"/>
        <w:ind w:firstLine="480" w:firstLineChars="200"/>
        <w:jc w:val="left"/>
        <w:rPr>
          <w:rFonts w:hint="eastAsia" w:ascii="宋体" w:hAnsi="宋体"/>
          <w:color w:val="auto"/>
          <w:sz w:val="24"/>
        </w:rPr>
      </w:pPr>
      <w:r>
        <w:rPr>
          <w:rFonts w:hint="eastAsia" w:ascii="宋体" w:hAnsi="宋体"/>
          <w:color w:val="auto"/>
          <w:sz w:val="24"/>
        </w:rPr>
        <w:t>36.1承包人提供竣工图的约定：</w:t>
      </w:r>
    </w:p>
    <w:p w14:paraId="0A9C560B">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竣工验收后一个月内，交竣工图及完整资料文件壹套。 工程竣工验收前，资料必须通过质检站备案要求。</w:t>
      </w:r>
    </w:p>
    <w:p w14:paraId="5F06903B">
      <w:pPr>
        <w:spacing w:line="480" w:lineRule="exact"/>
        <w:ind w:firstLine="480" w:firstLineChars="200"/>
        <w:jc w:val="left"/>
        <w:rPr>
          <w:rFonts w:hint="eastAsia" w:ascii="宋体" w:hAnsi="宋体"/>
          <w:color w:val="auto"/>
          <w:sz w:val="24"/>
        </w:rPr>
      </w:pPr>
      <w:r>
        <w:rPr>
          <w:rFonts w:hint="eastAsia" w:ascii="宋体" w:hAnsi="宋体"/>
          <w:color w:val="auto"/>
          <w:sz w:val="24"/>
        </w:rPr>
        <w:t>36.2中间交工工程的范围和竣工时间：</w:t>
      </w:r>
    </w:p>
    <w:p w14:paraId="50D00347">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 xml:space="preserve">                      /                             </w:t>
      </w:r>
    </w:p>
    <w:p w14:paraId="5C78924B">
      <w:pPr>
        <w:spacing w:line="480" w:lineRule="exact"/>
        <w:ind w:firstLine="482" w:firstLineChars="200"/>
        <w:jc w:val="left"/>
        <w:outlineLvl w:val="0"/>
        <w:rPr>
          <w:rFonts w:hint="eastAsia" w:ascii="宋体" w:hAnsi="宋体"/>
          <w:b/>
          <w:color w:val="auto"/>
          <w:sz w:val="24"/>
        </w:rPr>
      </w:pPr>
      <w:r>
        <w:rPr>
          <w:rFonts w:hint="eastAsia" w:ascii="宋体" w:hAnsi="宋体"/>
          <w:b/>
          <w:color w:val="auto"/>
          <w:sz w:val="24"/>
        </w:rPr>
        <w:t>37、竣工结算</w:t>
      </w:r>
    </w:p>
    <w:p w14:paraId="43899CFD">
      <w:pPr>
        <w:spacing w:line="480" w:lineRule="exact"/>
        <w:ind w:firstLine="480" w:firstLineChars="200"/>
        <w:jc w:val="left"/>
        <w:outlineLvl w:val="0"/>
        <w:rPr>
          <w:rFonts w:hint="eastAsia" w:ascii="宋体" w:hAnsi="宋体"/>
          <w:color w:val="auto"/>
          <w:sz w:val="24"/>
        </w:rPr>
      </w:pPr>
      <w:r>
        <w:rPr>
          <w:rFonts w:hint="eastAsia" w:ascii="宋体" w:hAnsi="宋体"/>
          <w:color w:val="auto"/>
          <w:sz w:val="24"/>
        </w:rPr>
        <w:t>结算审查期限：</w:t>
      </w:r>
    </w:p>
    <w:p w14:paraId="6979812B">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发包人在收到承包人递交的单项工程竣工结算报告及结算资料后20天内审查完成。</w:t>
      </w:r>
    </w:p>
    <w:p w14:paraId="10815AF1">
      <w:pPr>
        <w:spacing w:line="480" w:lineRule="exact"/>
        <w:ind w:firstLine="482" w:firstLineChars="200"/>
        <w:rPr>
          <w:rFonts w:hint="eastAsia" w:ascii="宋体" w:hAnsi="宋体"/>
          <w:b/>
          <w:color w:val="auto"/>
          <w:sz w:val="24"/>
        </w:rPr>
      </w:pPr>
      <w:r>
        <w:rPr>
          <w:rFonts w:hint="eastAsia" w:ascii="宋体" w:hAnsi="宋体"/>
          <w:b/>
          <w:color w:val="auto"/>
          <w:sz w:val="24"/>
        </w:rPr>
        <w:t>十、违约、索赔和争议</w:t>
      </w:r>
    </w:p>
    <w:p w14:paraId="02EFE085">
      <w:pPr>
        <w:spacing w:line="480" w:lineRule="exact"/>
        <w:ind w:firstLine="482" w:firstLineChars="200"/>
        <w:jc w:val="left"/>
        <w:outlineLvl w:val="0"/>
        <w:rPr>
          <w:rFonts w:hint="eastAsia" w:ascii="宋体" w:hAnsi="宋体"/>
          <w:b/>
          <w:color w:val="auto"/>
          <w:sz w:val="24"/>
        </w:rPr>
      </w:pPr>
      <w:r>
        <w:rPr>
          <w:rFonts w:hint="eastAsia" w:ascii="宋体" w:hAnsi="宋体"/>
          <w:b/>
          <w:color w:val="auto"/>
          <w:sz w:val="24"/>
        </w:rPr>
        <w:t>39、违约</w:t>
      </w:r>
    </w:p>
    <w:p w14:paraId="771BDEE5">
      <w:pPr>
        <w:spacing w:line="480" w:lineRule="exact"/>
        <w:ind w:firstLine="480" w:firstLineChars="200"/>
        <w:jc w:val="left"/>
        <w:rPr>
          <w:rFonts w:hint="eastAsia" w:ascii="宋体" w:hAnsi="宋体"/>
          <w:color w:val="auto"/>
          <w:sz w:val="24"/>
        </w:rPr>
      </w:pPr>
      <w:r>
        <w:rPr>
          <w:rFonts w:hint="eastAsia" w:ascii="宋体" w:hAnsi="宋体"/>
          <w:color w:val="auto"/>
          <w:sz w:val="24"/>
        </w:rPr>
        <w:t>39.1本合同中关于发包人违约的具体责任如下：</w:t>
      </w:r>
    </w:p>
    <w:p w14:paraId="7D046866">
      <w:pPr>
        <w:spacing w:line="480" w:lineRule="exact"/>
        <w:ind w:firstLine="480" w:firstLineChars="200"/>
        <w:jc w:val="left"/>
        <w:rPr>
          <w:rFonts w:hint="eastAsia" w:ascii="宋体" w:hAnsi="宋体"/>
          <w:color w:val="auto"/>
          <w:sz w:val="24"/>
        </w:rPr>
      </w:pPr>
      <w:r>
        <w:rPr>
          <w:rFonts w:hint="eastAsia" w:ascii="宋体" w:hAnsi="宋体"/>
          <w:color w:val="auto"/>
          <w:sz w:val="24"/>
        </w:rPr>
        <w:t>本合同通用条款第28.1条约定发包人违约应承担的违约责任：</w:t>
      </w:r>
    </w:p>
    <w:p w14:paraId="64B6F91E">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 xml:space="preserve">参照《通用条款》第28.1条款   </w:t>
      </w:r>
    </w:p>
    <w:p w14:paraId="3B0F6670">
      <w:pPr>
        <w:spacing w:line="480" w:lineRule="exact"/>
        <w:ind w:firstLine="480" w:firstLineChars="200"/>
        <w:jc w:val="left"/>
        <w:rPr>
          <w:rFonts w:hint="eastAsia" w:ascii="宋体" w:hAnsi="宋体"/>
          <w:color w:val="auto"/>
          <w:sz w:val="24"/>
        </w:rPr>
      </w:pPr>
      <w:r>
        <w:rPr>
          <w:rFonts w:hint="eastAsia" w:ascii="宋体" w:hAnsi="宋体"/>
          <w:color w:val="auto"/>
          <w:sz w:val="24"/>
        </w:rPr>
        <w:t>本合同通用条款第30.5款约定发包人违约应承担的违约责任；</w:t>
      </w:r>
    </w:p>
    <w:p w14:paraId="3016D84B">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 xml:space="preserve">参照《通用条款》30.5条款     </w:t>
      </w:r>
    </w:p>
    <w:p w14:paraId="2C0A6935">
      <w:pPr>
        <w:spacing w:line="480" w:lineRule="exact"/>
        <w:ind w:firstLine="480" w:firstLineChars="200"/>
        <w:jc w:val="left"/>
        <w:rPr>
          <w:rFonts w:hint="eastAsia" w:ascii="宋体" w:hAnsi="宋体"/>
          <w:color w:val="auto"/>
          <w:sz w:val="24"/>
        </w:rPr>
      </w:pPr>
      <w:r>
        <w:rPr>
          <w:rFonts w:hint="eastAsia" w:ascii="宋体" w:hAnsi="宋体"/>
          <w:color w:val="auto"/>
          <w:sz w:val="24"/>
        </w:rPr>
        <w:t>本合同通用条款第37.6款约定发包人违约应承担的违约责任：</w:t>
      </w:r>
    </w:p>
    <w:p w14:paraId="27C1205A">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 xml:space="preserve">《通用条款》37.6条款     </w:t>
      </w:r>
    </w:p>
    <w:p w14:paraId="01152DC2">
      <w:pPr>
        <w:spacing w:line="480" w:lineRule="exact"/>
        <w:ind w:firstLine="480" w:firstLineChars="200"/>
        <w:jc w:val="left"/>
        <w:rPr>
          <w:rFonts w:hint="eastAsia" w:ascii="宋体" w:hAnsi="宋体"/>
          <w:color w:val="auto"/>
          <w:sz w:val="24"/>
          <w:u w:val="single"/>
        </w:rPr>
      </w:pPr>
      <w:r>
        <w:rPr>
          <w:rFonts w:hint="eastAsia" w:ascii="宋体" w:hAnsi="宋体"/>
          <w:color w:val="auto"/>
          <w:sz w:val="24"/>
        </w:rPr>
        <w:t>双方约定的发包人其他违约责任：</w:t>
      </w:r>
      <w:r>
        <w:rPr>
          <w:rFonts w:hint="eastAsia" w:ascii="宋体" w:hAnsi="宋体"/>
          <w:color w:val="auto"/>
          <w:sz w:val="24"/>
          <w:u w:val="single"/>
        </w:rPr>
        <w:t xml:space="preserve">           /            </w:t>
      </w:r>
    </w:p>
    <w:p w14:paraId="33531A3A">
      <w:pPr>
        <w:spacing w:line="480" w:lineRule="exact"/>
        <w:ind w:firstLine="480" w:firstLineChars="200"/>
        <w:jc w:val="left"/>
        <w:rPr>
          <w:rFonts w:hint="eastAsia" w:ascii="宋体" w:hAnsi="宋体"/>
          <w:color w:val="auto"/>
          <w:sz w:val="24"/>
        </w:rPr>
      </w:pPr>
      <w:r>
        <w:rPr>
          <w:rFonts w:hint="eastAsia" w:ascii="宋体" w:hAnsi="宋体"/>
          <w:color w:val="auto"/>
          <w:sz w:val="24"/>
        </w:rPr>
        <w:t>39.2本合同中关于承包人违约的具体责任如下：</w:t>
      </w:r>
    </w:p>
    <w:p w14:paraId="195F0271">
      <w:pPr>
        <w:spacing w:line="480" w:lineRule="exact"/>
        <w:ind w:firstLine="480" w:firstLineChars="200"/>
        <w:jc w:val="left"/>
        <w:rPr>
          <w:rFonts w:hint="eastAsia" w:ascii="宋体" w:hAnsi="宋体"/>
          <w:color w:val="auto"/>
          <w:sz w:val="24"/>
        </w:rPr>
      </w:pPr>
      <w:r>
        <w:rPr>
          <w:rFonts w:hint="eastAsia" w:ascii="宋体" w:hAnsi="宋体"/>
          <w:color w:val="auto"/>
          <w:sz w:val="24"/>
        </w:rPr>
        <w:t>本合同通用条款第14.2款约定承包人违约应承担的违约责任：</w:t>
      </w:r>
    </w:p>
    <w:p w14:paraId="4914EF89">
      <w:pPr>
        <w:spacing w:line="480" w:lineRule="exact"/>
        <w:ind w:firstLine="480" w:firstLineChars="200"/>
        <w:jc w:val="left"/>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因承包人原因导致工期延误的，每延误一日，应按合同总价款的万分之三向发包人支付违约金，逾期竣工违约金总额不超过合同总价的</w:t>
      </w:r>
      <w:r>
        <w:rPr>
          <w:rFonts w:hint="eastAsia" w:ascii="宋体" w:hAnsi="宋体"/>
          <w:color w:val="auto"/>
          <w:sz w:val="24"/>
          <w:u w:val="single"/>
          <w:lang w:val="en-US" w:eastAsia="zh-CN"/>
        </w:rPr>
        <w:t>15</w:t>
      </w:r>
      <w:r>
        <w:rPr>
          <w:rFonts w:hint="eastAsia" w:ascii="宋体" w:hAnsi="宋体"/>
          <w:color w:val="auto"/>
          <w:sz w:val="24"/>
          <w:u w:val="single"/>
        </w:rPr>
        <w:t xml:space="preserve">%。              /                              </w:t>
      </w:r>
      <w:r>
        <w:rPr>
          <w:rFonts w:hint="eastAsia" w:ascii="宋体" w:hAnsi="宋体"/>
          <w:color w:val="auto"/>
          <w:sz w:val="24"/>
        </w:rPr>
        <w:t xml:space="preserve"> </w:t>
      </w:r>
    </w:p>
    <w:p w14:paraId="09C0260B">
      <w:pPr>
        <w:spacing w:line="480" w:lineRule="exact"/>
        <w:ind w:firstLine="480" w:firstLineChars="200"/>
        <w:jc w:val="left"/>
        <w:rPr>
          <w:rFonts w:hint="eastAsia" w:ascii="宋体" w:hAnsi="宋体"/>
          <w:color w:val="auto"/>
          <w:sz w:val="24"/>
        </w:rPr>
      </w:pPr>
      <w:r>
        <w:rPr>
          <w:rFonts w:hint="eastAsia" w:ascii="宋体" w:hAnsi="宋体"/>
          <w:color w:val="auto"/>
          <w:sz w:val="24"/>
        </w:rPr>
        <w:t>本合同通用条款第15.1款约定承包人违约应承担的违约责任：</w:t>
      </w:r>
    </w:p>
    <w:p w14:paraId="0598C1F3">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工程质量达不到协议书约定的质量标准，承包人应按合同总价的3%向发包人支付违约金，并承担返工、修复等全部费用。另按国务院279号令有关规定处理。</w:t>
      </w:r>
    </w:p>
    <w:p w14:paraId="4995DD5E">
      <w:pPr>
        <w:spacing w:line="480" w:lineRule="exact"/>
        <w:ind w:firstLine="480" w:firstLineChars="200"/>
        <w:jc w:val="left"/>
        <w:rPr>
          <w:rFonts w:hint="eastAsia" w:ascii="宋体" w:hAnsi="宋体"/>
          <w:color w:val="auto"/>
          <w:sz w:val="24"/>
        </w:rPr>
      </w:pPr>
      <w:r>
        <w:rPr>
          <w:rFonts w:hint="eastAsia" w:ascii="宋体" w:hAnsi="宋体"/>
          <w:color w:val="auto"/>
          <w:sz w:val="24"/>
        </w:rPr>
        <w:t xml:space="preserve">双方约定的发包人其它违约责任：   </w:t>
      </w:r>
    </w:p>
    <w:p w14:paraId="261D0515">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 xml:space="preserve">                             /                               </w:t>
      </w:r>
    </w:p>
    <w:p w14:paraId="67206DE5">
      <w:pPr>
        <w:spacing w:line="480" w:lineRule="exact"/>
        <w:ind w:firstLine="482" w:firstLineChars="200"/>
        <w:jc w:val="left"/>
        <w:outlineLvl w:val="0"/>
        <w:rPr>
          <w:rFonts w:hint="eastAsia" w:ascii="宋体" w:hAnsi="宋体"/>
          <w:b/>
          <w:color w:val="auto"/>
          <w:sz w:val="24"/>
        </w:rPr>
      </w:pPr>
      <w:r>
        <w:rPr>
          <w:rFonts w:hint="eastAsia" w:ascii="宋体" w:hAnsi="宋体"/>
          <w:b/>
          <w:color w:val="auto"/>
          <w:sz w:val="24"/>
        </w:rPr>
        <w:t>41、争议</w:t>
      </w:r>
    </w:p>
    <w:p w14:paraId="0C8293B8">
      <w:pPr>
        <w:spacing w:line="480" w:lineRule="exact"/>
        <w:ind w:firstLine="480" w:firstLineChars="200"/>
        <w:jc w:val="left"/>
        <w:rPr>
          <w:rFonts w:hint="eastAsia" w:ascii="宋体" w:hAnsi="宋体"/>
          <w:color w:val="auto"/>
          <w:sz w:val="24"/>
        </w:rPr>
      </w:pPr>
      <w:r>
        <w:rPr>
          <w:rFonts w:hint="eastAsia" w:ascii="宋体" w:hAnsi="宋体"/>
          <w:color w:val="auto"/>
          <w:sz w:val="24"/>
        </w:rPr>
        <w:t>41.1双方当事人约定，在履行合同过程中产生争议时：</w:t>
      </w:r>
    </w:p>
    <w:p w14:paraId="03AF25EA">
      <w:pPr>
        <w:spacing w:line="480" w:lineRule="exact"/>
        <w:ind w:firstLine="480" w:firstLineChars="200"/>
        <w:jc w:val="left"/>
        <w:outlineLvl w:val="0"/>
        <w:rPr>
          <w:rFonts w:hint="eastAsia" w:ascii="宋体" w:hAnsi="宋体"/>
          <w:color w:val="auto"/>
          <w:sz w:val="24"/>
        </w:rPr>
      </w:pPr>
      <w:r>
        <w:rPr>
          <w:rFonts w:hint="eastAsia" w:ascii="宋体" w:hAnsi="宋体"/>
          <w:color w:val="auto"/>
          <w:sz w:val="24"/>
        </w:rPr>
        <w:t>（1）请</w:t>
      </w:r>
      <w:r>
        <w:rPr>
          <w:rFonts w:hint="eastAsia" w:ascii="宋体" w:hAnsi="宋体"/>
          <w:color w:val="auto"/>
          <w:sz w:val="24"/>
          <w:u w:val="single"/>
        </w:rPr>
        <w:t>合同主管部门和造价主管部门</w:t>
      </w:r>
      <w:r>
        <w:rPr>
          <w:rFonts w:hint="eastAsia" w:ascii="宋体" w:hAnsi="宋体"/>
          <w:color w:val="auto"/>
          <w:sz w:val="24"/>
        </w:rPr>
        <w:t>调解；</w:t>
      </w:r>
    </w:p>
    <w:p w14:paraId="3DD5FB88">
      <w:pPr>
        <w:spacing w:line="480" w:lineRule="exact"/>
        <w:ind w:left="1199" w:leftChars="228" w:hanging="720" w:hangingChars="300"/>
        <w:jc w:val="left"/>
        <w:rPr>
          <w:rFonts w:hint="eastAsia" w:ascii="宋体" w:hAnsi="宋体"/>
          <w:color w:val="auto"/>
          <w:sz w:val="24"/>
        </w:rPr>
      </w:pPr>
      <w:r>
        <w:rPr>
          <w:rFonts w:hint="eastAsia" w:ascii="宋体" w:hAnsi="宋体"/>
          <w:color w:val="auto"/>
          <w:sz w:val="24"/>
        </w:rPr>
        <w:t>（2）合同争议调解不成的，按下列第</w:t>
      </w:r>
      <w:r>
        <w:rPr>
          <w:rFonts w:hint="eastAsia" w:ascii="宋体" w:hAnsi="宋体"/>
          <w:color w:val="auto"/>
          <w:sz w:val="24"/>
          <w:u w:val="single"/>
        </w:rPr>
        <w:t xml:space="preserve"> （2） </w:t>
      </w:r>
      <w:r>
        <w:rPr>
          <w:rFonts w:hint="eastAsia" w:ascii="宋体" w:hAnsi="宋体"/>
          <w:color w:val="auto"/>
          <w:sz w:val="24"/>
        </w:rPr>
        <w:t>种方式解决：</w:t>
      </w:r>
    </w:p>
    <w:p w14:paraId="2C13B8CC">
      <w:pPr>
        <w:spacing w:line="480" w:lineRule="exact"/>
        <w:ind w:left="1199" w:leftChars="228" w:hanging="720" w:hangingChars="300"/>
        <w:jc w:val="left"/>
        <w:outlineLvl w:val="0"/>
        <w:rPr>
          <w:rFonts w:hint="eastAsia" w:ascii="宋体" w:hAnsi="宋体"/>
          <w:color w:val="auto"/>
          <w:sz w:val="24"/>
        </w:rPr>
      </w:pPr>
      <w:r>
        <w:rPr>
          <w:rFonts w:hint="eastAsia" w:ascii="宋体" w:hAnsi="宋体"/>
          <w:color w:val="auto"/>
          <w:sz w:val="24"/>
        </w:rPr>
        <w:t>1）提交</w:t>
      </w:r>
      <w:r>
        <w:rPr>
          <w:rFonts w:hint="eastAsia" w:ascii="宋体" w:hAnsi="宋体"/>
          <w:color w:val="auto"/>
          <w:sz w:val="24"/>
          <w:u w:val="single"/>
        </w:rPr>
        <w:t xml:space="preserve">   工程所在地的  </w:t>
      </w:r>
      <w:r>
        <w:rPr>
          <w:rFonts w:hint="eastAsia" w:ascii="宋体" w:hAnsi="宋体"/>
          <w:color w:val="auto"/>
          <w:sz w:val="24"/>
        </w:rPr>
        <w:t>仲裁委员会提请仲裁；</w:t>
      </w:r>
    </w:p>
    <w:p w14:paraId="53AC889A">
      <w:pPr>
        <w:spacing w:line="480" w:lineRule="exact"/>
        <w:ind w:left="1199" w:leftChars="228" w:hanging="720" w:hangingChars="300"/>
        <w:jc w:val="left"/>
        <w:rPr>
          <w:rFonts w:hint="eastAsia" w:ascii="宋体" w:hAnsi="宋体"/>
          <w:color w:val="auto"/>
          <w:sz w:val="24"/>
        </w:rPr>
      </w:pPr>
      <w:r>
        <w:rPr>
          <w:rFonts w:hint="eastAsia" w:ascii="宋体" w:hAnsi="宋体"/>
          <w:color w:val="auto"/>
          <w:sz w:val="24"/>
        </w:rPr>
        <w:t>2）依法向</w:t>
      </w:r>
      <w:r>
        <w:rPr>
          <w:rFonts w:hint="eastAsia" w:ascii="宋体" w:hAnsi="宋体"/>
          <w:color w:val="auto"/>
          <w:sz w:val="24"/>
          <w:u w:val="single"/>
        </w:rPr>
        <w:t xml:space="preserve"> 有项目所在地有管辖权的 </w:t>
      </w:r>
      <w:r>
        <w:rPr>
          <w:rFonts w:hint="eastAsia" w:ascii="宋体" w:hAnsi="宋体"/>
          <w:color w:val="auto"/>
          <w:sz w:val="24"/>
        </w:rPr>
        <w:t>人民法院提起诉讼。</w:t>
      </w:r>
    </w:p>
    <w:p w14:paraId="55BCCE25">
      <w:pPr>
        <w:spacing w:line="480" w:lineRule="exact"/>
        <w:rPr>
          <w:rFonts w:hint="eastAsia" w:ascii="宋体" w:hAnsi="宋体"/>
          <w:b/>
          <w:color w:val="auto"/>
          <w:sz w:val="24"/>
        </w:rPr>
      </w:pPr>
      <w:r>
        <w:rPr>
          <w:rFonts w:hint="eastAsia" w:ascii="宋体" w:hAnsi="宋体"/>
          <w:b/>
          <w:color w:val="auto"/>
          <w:sz w:val="24"/>
        </w:rPr>
        <w:t xml:space="preserve">    十一、其他</w:t>
      </w:r>
    </w:p>
    <w:p w14:paraId="07477F04">
      <w:pPr>
        <w:spacing w:line="480" w:lineRule="exact"/>
        <w:ind w:firstLine="554" w:firstLineChars="230"/>
        <w:rPr>
          <w:rFonts w:hint="eastAsia" w:ascii="宋体" w:hAnsi="宋体"/>
          <w:b/>
          <w:color w:val="auto"/>
          <w:sz w:val="24"/>
        </w:rPr>
      </w:pPr>
      <w:r>
        <w:rPr>
          <w:rFonts w:hint="eastAsia" w:ascii="宋体" w:hAnsi="宋体"/>
          <w:b/>
          <w:color w:val="auto"/>
          <w:sz w:val="24"/>
        </w:rPr>
        <w:t>42、工程分包</w:t>
      </w:r>
    </w:p>
    <w:p w14:paraId="1F6505BF">
      <w:pPr>
        <w:spacing w:line="480" w:lineRule="exact"/>
        <w:ind w:firstLine="552" w:firstLineChars="230"/>
        <w:rPr>
          <w:rFonts w:hint="eastAsia" w:ascii="宋体" w:hAnsi="宋体"/>
          <w:color w:val="auto"/>
          <w:sz w:val="24"/>
          <w:u w:val="single"/>
        </w:rPr>
      </w:pPr>
      <w:r>
        <w:rPr>
          <w:rFonts w:hint="eastAsia" w:ascii="宋体" w:hAnsi="宋体"/>
          <w:color w:val="auto"/>
          <w:sz w:val="24"/>
        </w:rPr>
        <w:t>42.1本工程发包人同意承包人分包的专业工程：</w:t>
      </w:r>
      <w:r>
        <w:rPr>
          <w:rFonts w:hint="eastAsia" w:ascii="宋体" w:hAnsi="宋体"/>
          <w:color w:val="auto"/>
          <w:sz w:val="24"/>
          <w:u w:val="single"/>
        </w:rPr>
        <w:t xml:space="preserve"> 本工程不允许分包 </w:t>
      </w:r>
    </w:p>
    <w:p w14:paraId="6D0323A0">
      <w:pPr>
        <w:spacing w:line="480" w:lineRule="exact"/>
        <w:ind w:firstLine="552" w:firstLineChars="230"/>
        <w:rPr>
          <w:rFonts w:hint="eastAsia" w:ascii="宋体" w:hAnsi="宋体"/>
          <w:color w:val="auto"/>
          <w:sz w:val="24"/>
          <w:u w:val="single"/>
        </w:rPr>
      </w:pPr>
      <w:r>
        <w:rPr>
          <w:rFonts w:hint="eastAsia" w:ascii="宋体" w:hAnsi="宋体"/>
          <w:color w:val="auto"/>
          <w:sz w:val="24"/>
        </w:rPr>
        <w:t xml:space="preserve">分包施工单位为： </w:t>
      </w:r>
      <w:r>
        <w:rPr>
          <w:rFonts w:hint="eastAsia" w:ascii="宋体" w:hAnsi="宋体"/>
          <w:color w:val="auto"/>
          <w:sz w:val="24"/>
          <w:u w:val="single"/>
        </w:rPr>
        <w:t xml:space="preserve">            /                    </w:t>
      </w:r>
    </w:p>
    <w:p w14:paraId="4972359E">
      <w:pPr>
        <w:spacing w:line="480" w:lineRule="exact"/>
        <w:ind w:firstLine="482" w:firstLineChars="200"/>
        <w:jc w:val="left"/>
        <w:outlineLvl w:val="0"/>
        <w:rPr>
          <w:rFonts w:hint="eastAsia" w:ascii="宋体" w:hAnsi="宋体"/>
          <w:b/>
          <w:color w:val="auto"/>
          <w:sz w:val="24"/>
        </w:rPr>
      </w:pPr>
      <w:r>
        <w:rPr>
          <w:rFonts w:hint="eastAsia" w:ascii="宋体" w:hAnsi="宋体"/>
          <w:b/>
          <w:color w:val="auto"/>
          <w:sz w:val="24"/>
        </w:rPr>
        <w:t>43、不可抗力</w:t>
      </w:r>
    </w:p>
    <w:p w14:paraId="5D6114C2">
      <w:pPr>
        <w:spacing w:line="480" w:lineRule="exact"/>
        <w:ind w:firstLine="480" w:firstLineChars="200"/>
        <w:jc w:val="left"/>
        <w:rPr>
          <w:rFonts w:hint="eastAsia" w:ascii="宋体" w:hAnsi="宋体"/>
          <w:color w:val="auto"/>
          <w:sz w:val="24"/>
        </w:rPr>
      </w:pPr>
      <w:r>
        <w:rPr>
          <w:rFonts w:hint="eastAsia" w:ascii="宋体" w:hAnsi="宋体"/>
          <w:color w:val="auto"/>
          <w:sz w:val="24"/>
        </w:rPr>
        <w:t>43.1双方关于不可抗力的约定：</w:t>
      </w:r>
      <w:r>
        <w:rPr>
          <w:rFonts w:hint="eastAsia" w:ascii="宋体" w:hAnsi="宋体"/>
          <w:color w:val="auto"/>
          <w:sz w:val="24"/>
          <w:u w:val="single"/>
        </w:rPr>
        <w:t xml:space="preserve">执行《通用条款》第43条。 </w:t>
      </w:r>
    </w:p>
    <w:p w14:paraId="587A8D68">
      <w:pPr>
        <w:spacing w:line="480" w:lineRule="exact"/>
        <w:ind w:firstLine="482" w:firstLineChars="200"/>
        <w:jc w:val="left"/>
        <w:outlineLvl w:val="0"/>
        <w:rPr>
          <w:rFonts w:hint="eastAsia" w:ascii="宋体" w:hAnsi="宋体"/>
          <w:b/>
          <w:color w:val="auto"/>
          <w:sz w:val="24"/>
        </w:rPr>
      </w:pPr>
      <w:r>
        <w:rPr>
          <w:rFonts w:hint="eastAsia" w:ascii="宋体" w:hAnsi="宋体"/>
          <w:b/>
          <w:color w:val="auto"/>
          <w:sz w:val="24"/>
        </w:rPr>
        <w:t>44、保险</w:t>
      </w:r>
    </w:p>
    <w:p w14:paraId="2191AF82">
      <w:pPr>
        <w:spacing w:line="480" w:lineRule="exact"/>
        <w:ind w:firstLine="480" w:firstLineChars="200"/>
        <w:jc w:val="left"/>
        <w:rPr>
          <w:rFonts w:hint="eastAsia" w:ascii="宋体" w:hAnsi="宋体"/>
          <w:color w:val="auto"/>
          <w:sz w:val="24"/>
        </w:rPr>
      </w:pPr>
      <w:r>
        <w:rPr>
          <w:rFonts w:hint="eastAsia" w:ascii="宋体" w:hAnsi="宋体"/>
          <w:color w:val="auto"/>
          <w:sz w:val="24"/>
        </w:rPr>
        <w:t>44.6本工程双方约定投保内容如下：</w:t>
      </w:r>
    </w:p>
    <w:p w14:paraId="7225D541">
      <w:pPr>
        <w:spacing w:line="480" w:lineRule="exact"/>
        <w:ind w:firstLine="480" w:firstLineChars="200"/>
        <w:jc w:val="left"/>
        <w:rPr>
          <w:rFonts w:hint="eastAsia" w:ascii="宋体" w:hAnsi="宋体"/>
          <w:color w:val="auto"/>
          <w:sz w:val="24"/>
        </w:rPr>
      </w:pPr>
      <w:r>
        <w:rPr>
          <w:rFonts w:hint="eastAsia" w:ascii="宋体" w:hAnsi="宋体"/>
          <w:color w:val="auto"/>
          <w:sz w:val="24"/>
        </w:rPr>
        <w:t>（1）发包人投保内容：</w:t>
      </w:r>
    </w:p>
    <w:p w14:paraId="3C48B3F3">
      <w:pPr>
        <w:spacing w:line="480" w:lineRule="exact"/>
        <w:ind w:firstLine="480" w:firstLineChars="200"/>
        <w:jc w:val="left"/>
        <w:rPr>
          <w:rFonts w:hint="eastAsia" w:ascii="宋体" w:hAnsi="宋体"/>
          <w:color w:val="auto"/>
          <w:sz w:val="24"/>
          <w:u w:val="single"/>
        </w:rPr>
      </w:pPr>
      <w:r>
        <w:rPr>
          <w:rFonts w:hint="eastAsia" w:ascii="宋体" w:hAnsi="宋体"/>
          <w:color w:val="auto"/>
          <w:sz w:val="24"/>
          <w:u w:val="single"/>
        </w:rPr>
        <w:t>发包人委托承包人办理保险事项：职工失业险、职工医疗险、工伤、残疾人就业保险等，费用由承包人承担。</w:t>
      </w:r>
    </w:p>
    <w:p w14:paraId="3F39BBA3">
      <w:pPr>
        <w:spacing w:line="480" w:lineRule="exact"/>
        <w:ind w:firstLine="480" w:firstLineChars="200"/>
        <w:jc w:val="left"/>
        <w:rPr>
          <w:rFonts w:hint="eastAsia" w:ascii="宋体" w:hAnsi="宋体"/>
          <w:color w:val="auto"/>
          <w:sz w:val="24"/>
        </w:rPr>
      </w:pPr>
      <w:r>
        <w:rPr>
          <w:rFonts w:hint="eastAsia" w:ascii="宋体" w:hAnsi="宋体"/>
          <w:color w:val="auto"/>
          <w:sz w:val="24"/>
        </w:rPr>
        <w:t>（2）承包人投保内容：</w:t>
      </w:r>
      <w:r>
        <w:rPr>
          <w:rFonts w:hint="eastAsia" w:ascii="宋体" w:hAnsi="宋体"/>
          <w:color w:val="auto"/>
          <w:sz w:val="24"/>
          <w:u w:val="single"/>
        </w:rPr>
        <w:t xml:space="preserve">执行《通用条款》44.4条。 </w:t>
      </w:r>
    </w:p>
    <w:p w14:paraId="7A56F961">
      <w:pPr>
        <w:spacing w:line="480" w:lineRule="exact"/>
        <w:ind w:firstLine="482" w:firstLineChars="200"/>
        <w:jc w:val="left"/>
        <w:outlineLvl w:val="0"/>
        <w:rPr>
          <w:rFonts w:hint="eastAsia" w:ascii="宋体" w:hAnsi="宋体"/>
          <w:b/>
          <w:color w:val="auto"/>
          <w:sz w:val="24"/>
        </w:rPr>
      </w:pPr>
      <w:r>
        <w:rPr>
          <w:rFonts w:hint="eastAsia" w:ascii="宋体" w:hAnsi="宋体"/>
          <w:b/>
          <w:color w:val="auto"/>
          <w:sz w:val="24"/>
        </w:rPr>
        <w:t>45、担保</w:t>
      </w:r>
    </w:p>
    <w:p w14:paraId="1F90E170">
      <w:pPr>
        <w:spacing w:line="480" w:lineRule="exact"/>
        <w:ind w:firstLine="480" w:firstLineChars="200"/>
        <w:jc w:val="left"/>
        <w:rPr>
          <w:rFonts w:hint="eastAsia" w:ascii="宋体" w:hAnsi="宋体"/>
          <w:color w:val="auto"/>
          <w:sz w:val="24"/>
        </w:rPr>
      </w:pPr>
      <w:r>
        <w:rPr>
          <w:rFonts w:hint="eastAsia" w:ascii="宋体" w:hAnsi="宋体"/>
          <w:color w:val="auto"/>
          <w:sz w:val="24"/>
        </w:rPr>
        <w:t>45.3本工程双发约定担保事项如下：</w:t>
      </w:r>
    </w:p>
    <w:p w14:paraId="16D11E93">
      <w:pPr>
        <w:spacing w:line="480" w:lineRule="exact"/>
        <w:ind w:firstLine="480" w:firstLineChars="200"/>
        <w:jc w:val="left"/>
        <w:rPr>
          <w:rFonts w:hint="eastAsia" w:ascii="宋体" w:hAnsi="宋体"/>
          <w:color w:val="auto"/>
          <w:sz w:val="24"/>
        </w:rPr>
      </w:pPr>
      <w:r>
        <w:rPr>
          <w:rFonts w:hint="eastAsia" w:ascii="宋体" w:hAnsi="宋体"/>
          <w:color w:val="auto"/>
          <w:sz w:val="24"/>
        </w:rPr>
        <w:t>（1）发包人向承包人提供支付担保，</w:t>
      </w:r>
    </w:p>
    <w:p w14:paraId="02D541A0">
      <w:pPr>
        <w:spacing w:line="480" w:lineRule="exact"/>
        <w:ind w:firstLine="480" w:firstLineChars="200"/>
        <w:jc w:val="left"/>
        <w:rPr>
          <w:rFonts w:hint="eastAsia" w:ascii="宋体" w:hAnsi="宋体"/>
          <w:color w:val="auto"/>
          <w:sz w:val="24"/>
          <w:u w:val="single"/>
        </w:rPr>
      </w:pPr>
      <w:r>
        <w:rPr>
          <w:rFonts w:hint="eastAsia" w:ascii="宋体" w:hAnsi="宋体"/>
          <w:color w:val="auto"/>
          <w:sz w:val="24"/>
        </w:rPr>
        <mc:AlternateContent>
          <mc:Choice Requires="wps">
            <w:drawing>
              <wp:anchor distT="0" distB="0" distL="114300" distR="114300" simplePos="0" relativeHeight="251665408" behindDoc="0" locked="0" layoutInCell="1" allowOverlap="1">
                <wp:simplePos x="0" y="0"/>
                <wp:positionH relativeFrom="column">
                  <wp:posOffset>1528445</wp:posOffset>
                </wp:positionH>
                <wp:positionV relativeFrom="paragraph">
                  <wp:posOffset>93345</wp:posOffset>
                </wp:positionV>
                <wp:extent cx="563245" cy="143510"/>
                <wp:effectExtent l="1270" t="4445" r="6985" b="23495"/>
                <wp:wrapNone/>
                <wp:docPr id="7" name="直线 39"/>
                <wp:cNvGraphicFramePr/>
                <a:graphic xmlns:a="http://schemas.openxmlformats.org/drawingml/2006/main">
                  <a:graphicData uri="http://schemas.microsoft.com/office/word/2010/wordprocessingShape">
                    <wps:wsp>
                      <wps:cNvSpPr/>
                      <wps:spPr>
                        <a:xfrm flipV="1">
                          <a:off x="0" y="0"/>
                          <a:ext cx="563245" cy="143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9" o:spid="_x0000_s1026" o:spt="20" style="position:absolute;left:0pt;flip:y;margin-left:120.35pt;margin-top:7.35pt;height:11.3pt;width:44.35pt;z-index:251665408;mso-width-relative:page;mso-height-relative:page;" filled="f" stroked="t" coordsize="21600,21600" o:gfxdata="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tNgbf1wAAAAkBAAAPAAAAAAAAAAEAIAAAACIAAABkcnMvZG93bnJldi54bWxQSwEC&#10;FAAUAAAACACHTuJAd+Y/5fUBAADq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color w:val="auto"/>
          <w:sz w:val="24"/>
        </w:rPr>
        <w:t>担保方式为：</w:t>
      </w:r>
      <w:r>
        <w:rPr>
          <w:rFonts w:hint="eastAsia" w:ascii="宋体" w:hAnsi="宋体"/>
          <w:color w:val="auto"/>
          <w:sz w:val="24"/>
          <w:u w:val="single"/>
        </w:rPr>
        <w:t xml:space="preserve">              </w:t>
      </w:r>
    </w:p>
    <w:p w14:paraId="1CF30B15">
      <w:pPr>
        <w:spacing w:line="480" w:lineRule="exact"/>
        <w:ind w:firstLine="480" w:firstLineChars="200"/>
        <w:jc w:val="left"/>
        <w:rPr>
          <w:rFonts w:hint="eastAsia" w:ascii="宋体" w:hAnsi="宋体"/>
          <w:color w:val="auto"/>
          <w:sz w:val="24"/>
          <w:u w:val="single"/>
        </w:rPr>
      </w:pPr>
      <w:r>
        <w:rPr>
          <w:rFonts w:hint="eastAsia" w:ascii="宋体" w:hAnsi="宋体"/>
          <w:color w:val="auto"/>
          <w:sz w:val="24"/>
        </w:rPr>
        <mc:AlternateContent>
          <mc:Choice Requires="wps">
            <w:drawing>
              <wp:anchor distT="0" distB="0" distL="114300" distR="114300" simplePos="0" relativeHeight="251663360" behindDoc="0" locked="0" layoutInCell="1" allowOverlap="1">
                <wp:simplePos x="0" y="0"/>
                <wp:positionH relativeFrom="column">
                  <wp:posOffset>1444625</wp:posOffset>
                </wp:positionH>
                <wp:positionV relativeFrom="paragraph">
                  <wp:posOffset>75565</wp:posOffset>
                </wp:positionV>
                <wp:extent cx="563245" cy="143510"/>
                <wp:effectExtent l="1270" t="4445" r="6985" b="23495"/>
                <wp:wrapNone/>
                <wp:docPr id="5" name="直线 12"/>
                <wp:cNvGraphicFramePr/>
                <a:graphic xmlns:a="http://schemas.openxmlformats.org/drawingml/2006/main">
                  <a:graphicData uri="http://schemas.microsoft.com/office/word/2010/wordprocessingShape">
                    <wps:wsp>
                      <wps:cNvSpPr/>
                      <wps:spPr>
                        <a:xfrm flipV="1">
                          <a:off x="0" y="0"/>
                          <a:ext cx="563245" cy="143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y;margin-left:113.75pt;margin-top:5.95pt;height:11.3pt;width:44.35pt;z-index:251663360;mso-width-relative:page;mso-height-relative:page;" filled="f" stroked="t" coordsize="21600,21600" o:gfxdata="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g0/nXAAAACQEAAA8AAAAAAAAAAQAgAAAAIgAAAGRycy9kb3ducmV2LnhtbFBLAQIU&#10;ABQAAAAIAIdO4kCrB2jU9AEAAOo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color w:val="auto"/>
          <w:sz w:val="24"/>
        </w:rPr>
        <w:t xml:space="preserve">担保额度： </w:t>
      </w:r>
      <w:r>
        <w:rPr>
          <w:rFonts w:hint="eastAsia" w:ascii="宋体" w:hAnsi="宋体"/>
          <w:color w:val="auto"/>
          <w:sz w:val="24"/>
          <w:u w:val="single"/>
        </w:rPr>
        <w:t xml:space="preserve">               </w:t>
      </w:r>
    </w:p>
    <w:p w14:paraId="689E644E">
      <w:pPr>
        <w:spacing w:line="480" w:lineRule="exact"/>
        <w:ind w:firstLine="480" w:firstLineChars="200"/>
        <w:jc w:val="left"/>
        <w:rPr>
          <w:rFonts w:hint="eastAsia" w:ascii="宋体" w:hAnsi="宋体"/>
          <w:color w:val="auto"/>
          <w:sz w:val="24"/>
        </w:rPr>
      </w:pPr>
      <w:r>
        <w:rPr>
          <w:rFonts w:hint="eastAsia" w:ascii="宋体" w:hAnsi="宋体"/>
          <w:color w:val="auto"/>
          <w:sz w:val="24"/>
        </w:rPr>
        <mc:AlternateContent>
          <mc:Choice Requires="wps">
            <w:drawing>
              <wp:anchor distT="0" distB="0" distL="114300" distR="114300" simplePos="0" relativeHeight="251664384" behindDoc="0" locked="0" layoutInCell="1" allowOverlap="1">
                <wp:simplePos x="0" y="0"/>
                <wp:positionH relativeFrom="column">
                  <wp:posOffset>1384935</wp:posOffset>
                </wp:positionH>
                <wp:positionV relativeFrom="paragraph">
                  <wp:posOffset>78740</wp:posOffset>
                </wp:positionV>
                <wp:extent cx="563245" cy="143510"/>
                <wp:effectExtent l="1270" t="4445" r="6985" b="23495"/>
                <wp:wrapNone/>
                <wp:docPr id="6" name="直线 40"/>
                <wp:cNvGraphicFramePr/>
                <a:graphic xmlns:a="http://schemas.openxmlformats.org/drawingml/2006/main">
                  <a:graphicData uri="http://schemas.microsoft.com/office/word/2010/wordprocessingShape">
                    <wps:wsp>
                      <wps:cNvSpPr/>
                      <wps:spPr>
                        <a:xfrm flipV="1">
                          <a:off x="0" y="0"/>
                          <a:ext cx="563245" cy="143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0" o:spid="_x0000_s1026" o:spt="20" style="position:absolute;left:0pt;flip:y;margin-left:109.05pt;margin-top:6.2pt;height:11.3pt;width:44.35pt;z-index:251664384;mso-width-relative:page;mso-height-relative:page;" filled="f" stroked="t" coordsize="21600,21600" o:gfxdata="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f+ResdcAAAAJAQAADwAAAAAAAAABACAAAAAiAAAAZHJzL2Rvd25yZXYueG1sUEsBAhQA&#10;FAAAAAgAh07iQCaoBcbzAQAA6gMAAA4AAAAAAAAAAQAgAAAAJgEAAGRycy9lMm9Eb2MueG1sUEsF&#10;BgAAAAAGAAYAWQEAAIsFAAAAAA==&#10;">
                <v:fill on="f" focussize="0,0"/>
                <v:stroke color="#000000" joinstyle="round"/>
                <v:imagedata o:title=""/>
                <o:lock v:ext="edit" aspectratio="f"/>
              </v:line>
            </w:pict>
          </mc:Fallback>
        </mc:AlternateContent>
      </w:r>
      <w:r>
        <w:rPr>
          <w:rFonts w:hint="eastAsia" w:ascii="宋体" w:hAnsi="宋体"/>
          <w:color w:val="auto"/>
          <w:sz w:val="24"/>
        </w:rPr>
        <w:t>担保有效期：</w:t>
      </w:r>
      <w:r>
        <w:rPr>
          <w:rFonts w:hint="eastAsia" w:ascii="宋体" w:hAnsi="宋体"/>
          <w:color w:val="auto"/>
          <w:sz w:val="24"/>
          <w:u w:val="single"/>
        </w:rPr>
        <w:t xml:space="preserve">             </w:t>
      </w:r>
    </w:p>
    <w:p w14:paraId="609CFC9F">
      <w:pPr>
        <w:spacing w:line="480" w:lineRule="exact"/>
        <w:ind w:firstLine="480" w:firstLineChars="200"/>
        <w:jc w:val="left"/>
        <w:rPr>
          <w:rFonts w:hint="eastAsia" w:ascii="宋体" w:hAnsi="宋体"/>
          <w:color w:val="auto"/>
          <w:sz w:val="24"/>
        </w:rPr>
      </w:pPr>
      <w:r>
        <w:rPr>
          <w:rFonts w:hint="eastAsia" w:ascii="宋体" w:hAnsi="宋体"/>
          <w:color w:val="auto"/>
          <w:sz w:val="24"/>
        </w:rPr>
        <w:t xml:space="preserve">（2）承包人向发包人提供履约担保， </w:t>
      </w:r>
    </w:p>
    <w:p w14:paraId="35EB5F41">
      <w:pPr>
        <w:spacing w:line="480" w:lineRule="exact"/>
        <w:ind w:firstLine="480" w:firstLineChars="200"/>
        <w:jc w:val="left"/>
        <w:rPr>
          <w:rFonts w:hint="eastAsia" w:ascii="宋体" w:hAnsi="宋体"/>
          <w:color w:val="auto"/>
          <w:sz w:val="24"/>
          <w:u w:val="single"/>
        </w:rPr>
      </w:pPr>
      <w:r>
        <w:rPr>
          <w:rFonts w:hint="eastAsia" w:ascii="宋体" w:hAnsi="宋体"/>
          <w:color w:val="auto"/>
          <w:sz w:val="24"/>
          <w:lang/>
        </w:rPr>
        <mc:AlternateContent>
          <mc:Choice Requires="wps">
            <w:drawing>
              <wp:anchor distT="0" distB="0" distL="114300" distR="114300" simplePos="0" relativeHeight="251659264" behindDoc="0" locked="0" layoutInCell="1" allowOverlap="1">
                <wp:simplePos x="0" y="0"/>
                <wp:positionH relativeFrom="column">
                  <wp:posOffset>1529715</wp:posOffset>
                </wp:positionH>
                <wp:positionV relativeFrom="paragraph">
                  <wp:posOffset>100330</wp:posOffset>
                </wp:positionV>
                <wp:extent cx="516255" cy="138430"/>
                <wp:effectExtent l="1270" t="4445" r="15875" b="9525"/>
                <wp:wrapNone/>
                <wp:docPr id="1" name="直线 12"/>
                <wp:cNvGraphicFramePr/>
                <a:graphic xmlns:a="http://schemas.openxmlformats.org/drawingml/2006/main">
                  <a:graphicData uri="http://schemas.microsoft.com/office/word/2010/wordprocessingShape">
                    <wps:wsp>
                      <wps:cNvSpPr/>
                      <wps:spPr>
                        <a:xfrm flipV="1">
                          <a:off x="0" y="0"/>
                          <a:ext cx="516255" cy="13843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y;margin-left:120.45pt;margin-top:7.9pt;height:10.9pt;width:40.65pt;z-index:251659264;mso-width-relative:page;mso-height-relative:page;" filled="f" stroked="t" coordsize="21600,21600" o:gfxdata="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a2ISI1gAAAAkBAAAPAAAAAAAAAAEAIAAAACIAAABkcnMvZG93bnJldi54bWxQSwECFAAU&#10;AAAACACHTuJAKKVBOvMBAADqAwAADgAAAAAAAAABACAAAAAlAQAAZHJzL2Uyb0RvYy54bWxQSwUG&#10;AAAAAAYABgBZAQAAigUAAAAA&#10;">
                <v:fill on="f" focussize="0,0"/>
                <v:stroke color="#000000" joinstyle="round"/>
                <v:imagedata o:title=""/>
                <o:lock v:ext="edit" aspectratio="f"/>
              </v:line>
            </w:pict>
          </mc:Fallback>
        </mc:AlternateContent>
      </w:r>
      <w:r>
        <w:rPr>
          <w:rFonts w:hint="eastAsia" w:ascii="宋体" w:hAnsi="宋体"/>
          <w:color w:val="auto"/>
          <w:sz w:val="24"/>
        </w:rPr>
        <w:t>担保方式为：</w:t>
      </w:r>
      <w:r>
        <w:rPr>
          <w:rFonts w:hint="eastAsia" w:ascii="宋体" w:hAnsi="宋体"/>
          <w:color w:val="auto"/>
          <w:sz w:val="24"/>
          <w:u w:val="single"/>
        </w:rPr>
        <w:t xml:space="preserve">             </w:t>
      </w:r>
    </w:p>
    <w:p w14:paraId="1289877D">
      <w:pPr>
        <w:spacing w:line="480" w:lineRule="exact"/>
        <w:ind w:firstLine="480" w:firstLineChars="200"/>
        <w:jc w:val="left"/>
        <w:rPr>
          <w:rFonts w:hint="eastAsia" w:ascii="宋体" w:hAnsi="宋体"/>
          <w:color w:val="auto"/>
          <w:sz w:val="24"/>
          <w:u w:val="single"/>
        </w:rPr>
      </w:pPr>
      <w:r>
        <w:rPr>
          <w:rFonts w:hint="eastAsia" w:ascii="宋体" w:hAnsi="宋体"/>
          <w:color w:val="auto"/>
          <w:sz w:val="24"/>
          <w:lang/>
        </w:rPr>
        <mc:AlternateContent>
          <mc:Choice Requires="wps">
            <w:drawing>
              <wp:anchor distT="0" distB="0" distL="114300" distR="114300" simplePos="0" relativeHeight="251660288" behindDoc="0" locked="0" layoutInCell="1" allowOverlap="1">
                <wp:simplePos x="0" y="0"/>
                <wp:positionH relativeFrom="column">
                  <wp:posOffset>1235710</wp:posOffset>
                </wp:positionH>
                <wp:positionV relativeFrom="paragraph">
                  <wp:posOffset>84455</wp:posOffset>
                </wp:positionV>
                <wp:extent cx="563245" cy="143510"/>
                <wp:effectExtent l="1270" t="4445" r="6985" b="23495"/>
                <wp:wrapNone/>
                <wp:docPr id="2" name="直线 12"/>
                <wp:cNvGraphicFramePr/>
                <a:graphic xmlns:a="http://schemas.openxmlformats.org/drawingml/2006/main">
                  <a:graphicData uri="http://schemas.microsoft.com/office/word/2010/wordprocessingShape">
                    <wps:wsp>
                      <wps:cNvSpPr/>
                      <wps:spPr>
                        <a:xfrm flipV="1">
                          <a:off x="0" y="0"/>
                          <a:ext cx="563245" cy="143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y;margin-left:97.3pt;margin-top:6.65pt;height:11.3pt;width:44.35pt;z-index:251660288;mso-width-relative:page;mso-height-relative:page;" filled="f" stroked="t" coordsize="21600,21600" o:gfxdata="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kQdFjdYAAAAJAQAADwAAAAAAAAABACAAAAAiAAAAZHJzL2Rvd25yZXYueG1sUEsBAhQA&#10;FAAAAAgAh07iQLCMs4j0AQAA6g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color w:val="auto"/>
          <w:sz w:val="24"/>
        </w:rPr>
        <w:t>担保额度为：</w:t>
      </w:r>
      <w:r>
        <w:rPr>
          <w:rFonts w:hint="eastAsia" w:ascii="宋体" w:hAnsi="宋体"/>
          <w:color w:val="auto"/>
          <w:sz w:val="24"/>
          <w:u w:val="single"/>
        </w:rPr>
        <w:t xml:space="preserve">            </w:t>
      </w:r>
    </w:p>
    <w:p w14:paraId="6BF11CC9">
      <w:pPr>
        <w:spacing w:line="480" w:lineRule="exact"/>
        <w:ind w:firstLine="480" w:firstLineChars="200"/>
        <w:jc w:val="left"/>
        <w:rPr>
          <w:rFonts w:hint="eastAsia" w:ascii="宋体" w:hAnsi="宋体"/>
          <w:color w:val="auto"/>
          <w:sz w:val="24"/>
          <w:u w:val="single"/>
        </w:rPr>
      </w:pPr>
      <w:r>
        <w:rPr>
          <w:rFonts w:hint="eastAsia" w:ascii="宋体" w:hAnsi="宋体"/>
          <w:color w:val="auto"/>
          <w:sz w:val="24"/>
          <w:lang/>
        </w:rPr>
        <mc:AlternateContent>
          <mc:Choice Requires="wps">
            <w:drawing>
              <wp:anchor distT="0" distB="0" distL="114300" distR="114300" simplePos="0" relativeHeight="251661312" behindDoc="0" locked="0" layoutInCell="1" allowOverlap="1">
                <wp:simplePos x="0" y="0"/>
                <wp:positionH relativeFrom="column">
                  <wp:posOffset>1363980</wp:posOffset>
                </wp:positionH>
                <wp:positionV relativeFrom="paragraph">
                  <wp:posOffset>114935</wp:posOffset>
                </wp:positionV>
                <wp:extent cx="563245" cy="143510"/>
                <wp:effectExtent l="1270" t="4445" r="6985" b="23495"/>
                <wp:wrapNone/>
                <wp:docPr id="3" name="直线 12"/>
                <wp:cNvGraphicFramePr/>
                <a:graphic xmlns:a="http://schemas.openxmlformats.org/drawingml/2006/main">
                  <a:graphicData uri="http://schemas.microsoft.com/office/word/2010/wordprocessingShape">
                    <wps:wsp>
                      <wps:cNvSpPr/>
                      <wps:spPr>
                        <a:xfrm flipV="1">
                          <a:off x="0" y="0"/>
                          <a:ext cx="563245" cy="143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y;margin-left:107.4pt;margin-top:9.05pt;height:11.3pt;width:44.35pt;z-index:251661312;mso-width-relative:page;mso-height-relative:page;" filled="f" stroked="t" coordsize="21600,21600" o:gfxdata="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CYAofXAAAACQEAAA8AAAAAAAAAAQAgAAAAIgAAAGRycy9kb3ducmV2LnhtbFBLAQIU&#10;ABQAAAAIAIdO4kC1ufaX9AEAAOo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color w:val="auto"/>
          <w:sz w:val="24"/>
        </w:rPr>
        <w:t>担保有效期：</w:t>
      </w:r>
      <w:r>
        <w:rPr>
          <w:rFonts w:hint="eastAsia" w:ascii="宋体" w:hAnsi="宋体"/>
          <w:color w:val="auto"/>
          <w:sz w:val="24"/>
          <w:u w:val="single"/>
        </w:rPr>
        <w:t xml:space="preserve">             </w:t>
      </w:r>
      <w:r>
        <w:rPr>
          <w:rFonts w:hint="eastAsia" w:ascii="宋体" w:hAnsi="宋体"/>
          <w:color w:val="auto"/>
          <w:sz w:val="24"/>
        </w:rPr>
        <w:t>。</w:t>
      </w:r>
    </w:p>
    <w:p w14:paraId="0C778ECA">
      <w:pPr>
        <w:spacing w:line="480" w:lineRule="exact"/>
        <w:ind w:firstLine="480" w:firstLineChars="200"/>
        <w:jc w:val="left"/>
        <w:rPr>
          <w:rFonts w:hint="eastAsia" w:ascii="宋体" w:hAnsi="宋体"/>
          <w:color w:val="auto"/>
          <w:sz w:val="24"/>
          <w:u w:val="single"/>
        </w:rPr>
      </w:pPr>
      <w:r>
        <w:rPr>
          <w:rFonts w:hint="eastAsia" w:ascii="宋体" w:hAnsi="宋体"/>
          <w:color w:val="auto"/>
          <w:sz w:val="24"/>
          <w:lang/>
        </w:rPr>
        <mc:AlternateContent>
          <mc:Choice Requires="wps">
            <w:drawing>
              <wp:anchor distT="0" distB="0" distL="114300" distR="114300" simplePos="0" relativeHeight="251662336" behindDoc="0" locked="0" layoutInCell="1" allowOverlap="1">
                <wp:simplePos x="0" y="0"/>
                <wp:positionH relativeFrom="column">
                  <wp:posOffset>2694305</wp:posOffset>
                </wp:positionH>
                <wp:positionV relativeFrom="paragraph">
                  <wp:posOffset>111760</wp:posOffset>
                </wp:positionV>
                <wp:extent cx="563245" cy="143510"/>
                <wp:effectExtent l="1270" t="4445" r="6985" b="23495"/>
                <wp:wrapNone/>
                <wp:docPr id="4" name="直线 12"/>
                <wp:cNvGraphicFramePr/>
                <a:graphic xmlns:a="http://schemas.openxmlformats.org/drawingml/2006/main">
                  <a:graphicData uri="http://schemas.microsoft.com/office/word/2010/wordprocessingShape">
                    <wps:wsp>
                      <wps:cNvSpPr/>
                      <wps:spPr>
                        <a:xfrm flipV="1">
                          <a:off x="0" y="0"/>
                          <a:ext cx="563245" cy="14351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2" o:spid="_x0000_s1026" o:spt="20" style="position:absolute;left:0pt;flip:y;margin-left:212.15pt;margin-top:8.8pt;height:11.3pt;width:44.35pt;z-index:251662336;mso-width-relative:page;mso-height-relative:page;" filled="f" stroked="t" coordsize="21600,21600" o:gfxdata="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w1RMNYAAAAJAQAADwAAAAAAAAABACAAAAAiAAAAZHJzL2Rvd25yZXYueG1sUEsBAhQA&#10;FAAAAAgAh07iQK4yLcv0AQAA6g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color w:val="auto"/>
          <w:sz w:val="24"/>
        </w:rPr>
        <w:t>（3）双方约定的其他担保事项：</w:t>
      </w:r>
      <w:r>
        <w:rPr>
          <w:rFonts w:hint="eastAsia" w:ascii="宋体" w:hAnsi="宋体"/>
          <w:color w:val="auto"/>
          <w:sz w:val="24"/>
          <w:u w:val="single"/>
        </w:rPr>
        <w:t xml:space="preserve">            。</w:t>
      </w:r>
    </w:p>
    <w:p w14:paraId="33036076">
      <w:pPr>
        <w:spacing w:line="440" w:lineRule="exact"/>
        <w:ind w:firstLine="472" w:firstLineChars="196"/>
        <w:jc w:val="left"/>
        <w:rPr>
          <w:rFonts w:hint="eastAsia" w:ascii="宋体" w:hAnsi="宋体"/>
          <w:b/>
          <w:color w:val="auto"/>
          <w:sz w:val="24"/>
        </w:rPr>
      </w:pPr>
      <w:r>
        <w:rPr>
          <w:rFonts w:hint="eastAsia" w:ascii="宋体" w:hAnsi="宋体"/>
          <w:b/>
          <w:color w:val="auto"/>
          <w:sz w:val="24"/>
        </w:rPr>
        <w:t>50、合同份数</w:t>
      </w:r>
    </w:p>
    <w:p w14:paraId="5943E523">
      <w:pPr>
        <w:spacing w:line="440" w:lineRule="exact"/>
        <w:ind w:firstLine="480" w:firstLineChars="200"/>
        <w:jc w:val="left"/>
        <w:rPr>
          <w:rFonts w:hint="eastAsia" w:ascii="宋体" w:hAnsi="宋体"/>
          <w:color w:val="auto"/>
          <w:sz w:val="24"/>
        </w:rPr>
      </w:pPr>
      <w:r>
        <w:rPr>
          <w:rFonts w:hint="eastAsia" w:ascii="宋体" w:hAnsi="宋体"/>
          <w:color w:val="auto"/>
          <w:sz w:val="24"/>
        </w:rPr>
        <w:t>50.1双方约定合同副本份数：</w:t>
      </w:r>
    </w:p>
    <w:p w14:paraId="656CDAA8">
      <w:pPr>
        <w:spacing w:line="440" w:lineRule="exact"/>
        <w:ind w:firstLine="480" w:firstLineChars="200"/>
        <w:jc w:val="left"/>
        <w:rPr>
          <w:rFonts w:hint="eastAsia" w:ascii="宋体" w:hAnsi="宋体"/>
          <w:color w:val="auto"/>
          <w:sz w:val="24"/>
          <w:u w:val="single"/>
        </w:rPr>
      </w:pPr>
      <w:r>
        <w:rPr>
          <w:rFonts w:hint="eastAsia" w:ascii="宋体" w:hAnsi="宋体"/>
          <w:color w:val="auto"/>
          <w:sz w:val="24"/>
          <w:u w:val="single"/>
        </w:rPr>
        <w:t>正本贰份，副本肆份；发、承包双方各持正本壹份，副本贰份。</w:t>
      </w:r>
    </w:p>
    <w:p w14:paraId="42242FAF">
      <w:pPr>
        <w:spacing w:line="440" w:lineRule="exact"/>
        <w:ind w:left="480"/>
        <w:jc w:val="left"/>
        <w:rPr>
          <w:rFonts w:hint="eastAsia" w:ascii="宋体" w:hAnsi="宋体"/>
          <w:color w:val="auto"/>
          <w:sz w:val="24"/>
        </w:rPr>
      </w:pPr>
      <w:r>
        <w:rPr>
          <w:rFonts w:hint="eastAsia" w:ascii="宋体" w:hAnsi="宋体"/>
          <w:color w:val="auto"/>
          <w:sz w:val="24"/>
        </w:rPr>
        <w:t>51. 补充条款：</w:t>
      </w:r>
    </w:p>
    <w:p w14:paraId="7C3DCF8A">
      <w:pPr>
        <w:spacing w:line="440" w:lineRule="exact"/>
        <w:ind w:left="480"/>
        <w:jc w:val="left"/>
        <w:rPr>
          <w:rFonts w:hint="eastAsia" w:ascii="宋体" w:hAnsi="宋体" w:cs="仿宋_GB2312"/>
          <w:color w:val="auto"/>
          <w:sz w:val="24"/>
          <w:lang w:bidi="ar"/>
        </w:rPr>
      </w:pPr>
      <w:r>
        <w:rPr>
          <w:rFonts w:hint="eastAsia" w:ascii="宋体" w:hAnsi="宋体" w:cs="仿宋_GB2312"/>
          <w:color w:val="auto"/>
          <w:sz w:val="24"/>
          <w:lang w:bidi="ar"/>
        </w:rPr>
        <w:t>51.1 本工程按双方签订合同执行。</w:t>
      </w:r>
    </w:p>
    <w:p w14:paraId="1398106C">
      <w:pPr>
        <w:spacing w:line="440" w:lineRule="exact"/>
        <w:ind w:left="480"/>
        <w:jc w:val="left"/>
        <w:rPr>
          <w:rFonts w:hint="eastAsia" w:ascii="宋体" w:hAnsi="宋体" w:cs="仿宋_GB2312"/>
          <w:color w:val="auto"/>
          <w:sz w:val="24"/>
          <w:lang w:bidi="ar"/>
        </w:rPr>
      </w:pPr>
      <w:r>
        <w:rPr>
          <w:rFonts w:hint="eastAsia" w:ascii="宋体" w:hAnsi="宋体" w:cs="仿宋_GB2312"/>
          <w:color w:val="auto"/>
          <w:sz w:val="24"/>
          <w:lang w:bidi="ar"/>
        </w:rPr>
        <w:t>51.2 承包人的安全管理人员必须持证上岗，并负责检查现场和施工人员安全情况，出现安全责任事故，由承包人自负。</w:t>
      </w:r>
    </w:p>
    <w:p w14:paraId="67DAD106">
      <w:pPr>
        <w:spacing w:line="440" w:lineRule="exact"/>
        <w:ind w:left="480"/>
        <w:jc w:val="left"/>
        <w:rPr>
          <w:rFonts w:hint="eastAsia" w:ascii="宋体" w:hAnsi="宋体" w:cs="仿宋_GB2312"/>
          <w:color w:val="auto"/>
          <w:sz w:val="24"/>
          <w:lang w:bidi="ar"/>
        </w:rPr>
      </w:pPr>
      <w:r>
        <w:rPr>
          <w:rFonts w:hint="eastAsia" w:ascii="宋体" w:hAnsi="宋体" w:cs="仿宋_GB2312"/>
          <w:color w:val="auto"/>
          <w:sz w:val="24"/>
          <w:lang w:bidi="ar"/>
        </w:rPr>
        <w:t>51.3 承包人对发包人提出的正常要求应予以认可，并作出相应承诺。（承诺内容作为合同的附件之一并执行）。</w:t>
      </w:r>
    </w:p>
    <w:p w14:paraId="018B1991">
      <w:pPr>
        <w:spacing w:line="440" w:lineRule="exact"/>
        <w:ind w:left="480"/>
        <w:jc w:val="left"/>
        <w:rPr>
          <w:rFonts w:hint="eastAsia" w:ascii="宋体" w:hAnsi="宋体" w:cs="仿宋_GB2312"/>
          <w:color w:val="auto"/>
          <w:sz w:val="24"/>
          <w:lang w:bidi="ar"/>
        </w:rPr>
      </w:pPr>
      <w:r>
        <w:rPr>
          <w:rFonts w:hint="eastAsia" w:ascii="宋体" w:hAnsi="宋体" w:cs="仿宋_GB2312"/>
          <w:color w:val="auto"/>
          <w:sz w:val="24"/>
          <w:lang w:bidi="ar"/>
        </w:rPr>
        <w:t>51.4承包人雇佣的农民工工资，当承包人</w:t>
      </w:r>
      <w:r>
        <w:rPr>
          <w:rFonts w:hint="eastAsia" w:ascii="宋体" w:hAnsi="宋体" w:cs="仿宋_GB2312"/>
          <w:color w:val="auto"/>
          <w:sz w:val="24"/>
          <w:lang w:val="en-US" w:eastAsia="zh-CN" w:bidi="ar"/>
        </w:rPr>
        <w:t>申</w:t>
      </w:r>
      <w:r>
        <w:rPr>
          <w:rFonts w:hint="eastAsia" w:ascii="宋体" w:hAnsi="宋体" w:cs="仿宋_GB2312"/>
          <w:color w:val="auto"/>
          <w:sz w:val="24"/>
          <w:lang w:bidi="ar"/>
        </w:rPr>
        <w:t>报当期进度款计划时应一并报发包人，发包人有权监督承包人在支付的当期进度款中发放农民工工资。如承包人未按时发放农民工工资，影响到本工程的施工进度及工程质量，发包人有权在工程进度款中将所欠的农民工工资额扣除，直接发放给农民工。农民工工资除按月发放外，其劳务费下余部分应按照劳务分包合同付款办法支付。承包人如未支付，发包人有权在工程款结算期间用其余款支付农民工劳务费。</w:t>
      </w:r>
    </w:p>
    <w:p w14:paraId="228023D9">
      <w:pPr>
        <w:spacing w:line="440" w:lineRule="exact"/>
        <w:ind w:left="480"/>
        <w:jc w:val="left"/>
        <w:rPr>
          <w:rFonts w:hint="eastAsia" w:ascii="宋体" w:hAnsi="宋体" w:cs="仿宋_GB2312"/>
          <w:color w:val="auto"/>
          <w:sz w:val="24"/>
          <w:lang w:bidi="ar"/>
        </w:rPr>
      </w:pPr>
      <w:r>
        <w:rPr>
          <w:rFonts w:hint="eastAsia" w:ascii="宋体" w:hAnsi="宋体" w:cs="仿宋_GB2312"/>
          <w:color w:val="auto"/>
          <w:sz w:val="24"/>
          <w:lang w:bidi="ar"/>
        </w:rPr>
        <w:t>51.5 承包人自行踏勘施工现场，明确施工的道路、水电等并做好施工范围内外村组等相关协调工作，充分考虑施工现场内外各种社会风险及责任，建设单位不承担任何协调责任及费用。</w:t>
      </w:r>
    </w:p>
    <w:p w14:paraId="56F81D24">
      <w:pPr>
        <w:spacing w:line="440" w:lineRule="exact"/>
        <w:ind w:left="480"/>
        <w:jc w:val="left"/>
        <w:rPr>
          <w:rFonts w:hint="eastAsia" w:ascii="宋体" w:hAnsi="宋体" w:cs="仿宋_GB2312"/>
          <w:color w:val="auto"/>
          <w:sz w:val="24"/>
          <w:lang w:bidi="ar"/>
        </w:rPr>
      </w:pPr>
      <w:r>
        <w:rPr>
          <w:rFonts w:hint="eastAsia" w:ascii="宋体" w:hAnsi="宋体" w:cs="仿宋_GB2312"/>
          <w:color w:val="auto"/>
          <w:sz w:val="24"/>
          <w:lang w:bidi="ar"/>
        </w:rPr>
        <w:t>51.6 承包人自行考虑解决旧房拆除、表层清理、垃圾外运、外购土、问题坑等事宜，设计图纸以外的工程内容，所产生费用由承包人承担。</w:t>
      </w:r>
    </w:p>
    <w:p w14:paraId="473913B2">
      <w:pPr>
        <w:spacing w:line="440" w:lineRule="exact"/>
        <w:ind w:left="480"/>
        <w:jc w:val="left"/>
        <w:rPr>
          <w:rFonts w:hint="eastAsia" w:ascii="宋体" w:hAnsi="宋体" w:cs="仿宋_GB2312"/>
          <w:color w:val="auto"/>
          <w:sz w:val="24"/>
          <w:lang w:bidi="ar"/>
        </w:rPr>
      </w:pPr>
      <w:r>
        <w:rPr>
          <w:rFonts w:hint="eastAsia" w:ascii="宋体" w:hAnsi="宋体" w:cs="仿宋_GB2312"/>
          <w:color w:val="auto"/>
          <w:sz w:val="24"/>
          <w:lang w:bidi="ar"/>
        </w:rPr>
        <w:t>51.7该工程所有技术变更以设计单位出具的变更为准。</w:t>
      </w:r>
    </w:p>
    <w:p w14:paraId="35E00FDD">
      <w:pPr>
        <w:spacing w:line="440" w:lineRule="exact"/>
        <w:ind w:left="480"/>
        <w:jc w:val="left"/>
        <w:rPr>
          <w:rFonts w:hint="eastAsia" w:ascii="宋体" w:hAnsi="宋体"/>
          <w:color w:val="auto"/>
          <w:sz w:val="24"/>
        </w:rPr>
      </w:pPr>
    </w:p>
    <w:p w14:paraId="31C10324">
      <w:pPr>
        <w:spacing w:line="440" w:lineRule="exact"/>
        <w:ind w:left="480"/>
        <w:jc w:val="left"/>
        <w:rPr>
          <w:rFonts w:hint="eastAsia" w:ascii="宋体" w:hAnsi="宋体"/>
          <w:color w:val="auto"/>
          <w:sz w:val="24"/>
        </w:rPr>
      </w:pPr>
      <w:r>
        <w:rPr>
          <w:rFonts w:hint="eastAsia" w:ascii="宋体" w:hAnsi="宋体"/>
          <w:color w:val="auto"/>
          <w:sz w:val="24"/>
        </w:rPr>
        <w:t>附件1：承包人承揽工程项目一览表</w:t>
      </w:r>
    </w:p>
    <w:p w14:paraId="03F911D1">
      <w:pPr>
        <w:spacing w:line="440" w:lineRule="exact"/>
        <w:ind w:firstLine="480" w:firstLineChars="200"/>
        <w:jc w:val="left"/>
        <w:rPr>
          <w:rFonts w:hint="eastAsia" w:ascii="宋体" w:hAnsi="宋体"/>
          <w:color w:val="auto"/>
          <w:sz w:val="24"/>
        </w:rPr>
      </w:pPr>
      <w:r>
        <w:rPr>
          <w:rFonts w:hint="eastAsia" w:ascii="宋体" w:hAnsi="宋体"/>
          <w:color w:val="auto"/>
          <w:sz w:val="24"/>
        </w:rPr>
        <w:t>附件2：发包供应材料设备一览表</w:t>
      </w:r>
    </w:p>
    <w:p w14:paraId="1CC87644">
      <w:pPr>
        <w:spacing w:line="440" w:lineRule="exact"/>
        <w:ind w:firstLine="480" w:firstLineChars="200"/>
        <w:jc w:val="left"/>
        <w:rPr>
          <w:rFonts w:hint="eastAsia" w:ascii="宋体" w:hAnsi="宋体"/>
          <w:color w:val="auto"/>
          <w:sz w:val="24"/>
        </w:rPr>
      </w:pPr>
      <w:r>
        <w:rPr>
          <w:rFonts w:hint="eastAsia" w:ascii="宋体" w:hAnsi="宋体"/>
          <w:color w:val="auto"/>
          <w:sz w:val="24"/>
        </w:rPr>
        <w:t>附件3：工程质量保修书</w:t>
      </w:r>
    </w:p>
    <w:p w14:paraId="5A099352">
      <w:pPr>
        <w:spacing w:line="440" w:lineRule="exact"/>
        <w:ind w:firstLine="480" w:firstLineChars="200"/>
        <w:jc w:val="left"/>
        <w:rPr>
          <w:rFonts w:hint="eastAsia" w:ascii="宋体" w:hAnsi="宋体"/>
          <w:color w:val="auto"/>
          <w:sz w:val="24"/>
        </w:rPr>
      </w:pPr>
      <w:r>
        <w:rPr>
          <w:rFonts w:hint="eastAsia" w:ascii="宋体" w:hAnsi="宋体"/>
          <w:color w:val="auto"/>
          <w:sz w:val="24"/>
        </w:rPr>
        <w:t>附件4：蓝田县建设工程治污防霾及两类企业扬尘治理相关措施</w:t>
      </w:r>
    </w:p>
    <w:p w14:paraId="7FC6994B">
      <w:pPr>
        <w:widowControl/>
        <w:spacing w:line="360" w:lineRule="auto"/>
        <w:rPr>
          <w:rFonts w:hint="eastAsia" w:ascii="宋体" w:hAnsi="宋体"/>
          <w:color w:val="auto"/>
          <w:sz w:val="28"/>
          <w:szCs w:val="28"/>
        </w:rPr>
      </w:pPr>
    </w:p>
    <w:p w14:paraId="3199192F">
      <w:pPr>
        <w:widowControl/>
        <w:spacing w:line="360" w:lineRule="auto"/>
        <w:rPr>
          <w:rFonts w:hint="eastAsia" w:ascii="宋体" w:hAnsi="宋体"/>
          <w:color w:val="auto"/>
          <w:sz w:val="28"/>
          <w:szCs w:val="28"/>
        </w:rPr>
      </w:pPr>
    </w:p>
    <w:p w14:paraId="09E06E38">
      <w:pPr>
        <w:widowControl/>
        <w:spacing w:line="360" w:lineRule="auto"/>
        <w:rPr>
          <w:rFonts w:hint="eastAsia" w:ascii="宋体" w:hAnsi="宋体"/>
          <w:color w:val="auto"/>
          <w:sz w:val="28"/>
          <w:szCs w:val="28"/>
        </w:rPr>
      </w:pPr>
    </w:p>
    <w:p w14:paraId="5ECBF308">
      <w:pPr>
        <w:widowControl/>
        <w:spacing w:line="360" w:lineRule="auto"/>
        <w:rPr>
          <w:rFonts w:hint="eastAsia" w:ascii="宋体" w:hAnsi="宋体"/>
          <w:color w:val="auto"/>
          <w:sz w:val="28"/>
          <w:szCs w:val="28"/>
        </w:rPr>
      </w:pPr>
    </w:p>
    <w:p w14:paraId="5B0CB17B">
      <w:pPr>
        <w:widowControl/>
        <w:spacing w:line="360" w:lineRule="auto"/>
        <w:rPr>
          <w:rFonts w:hint="eastAsia" w:ascii="黑体" w:hAnsi="宋体" w:eastAsia="黑体"/>
          <w:color w:val="auto"/>
          <w:sz w:val="28"/>
          <w:szCs w:val="28"/>
        </w:rPr>
      </w:pPr>
      <w:r>
        <w:rPr>
          <w:rFonts w:hint="eastAsia" w:ascii="黑体" w:hAnsi="宋体" w:eastAsia="黑体"/>
          <w:color w:val="auto"/>
          <w:sz w:val="28"/>
          <w:szCs w:val="28"/>
        </w:rPr>
        <w:br w:type="page"/>
      </w:r>
      <w:r>
        <w:rPr>
          <w:rFonts w:hint="eastAsia" w:ascii="黑体" w:hAnsi="宋体" w:eastAsia="黑体"/>
          <w:color w:val="auto"/>
          <w:sz w:val="28"/>
          <w:szCs w:val="28"/>
        </w:rPr>
        <w:t>附件1：</w:t>
      </w:r>
    </w:p>
    <w:p w14:paraId="4AC889F4">
      <w:pPr>
        <w:widowControl/>
        <w:spacing w:line="360" w:lineRule="auto"/>
        <w:jc w:val="center"/>
        <w:rPr>
          <w:rFonts w:ascii="宋体" w:hAnsi="宋体"/>
          <w:b/>
          <w:color w:val="auto"/>
          <w:sz w:val="28"/>
          <w:szCs w:val="28"/>
        </w:rPr>
      </w:pPr>
      <w:r>
        <w:rPr>
          <w:rFonts w:hint="eastAsia" w:ascii="宋体" w:hAnsi="宋体"/>
          <w:b/>
          <w:color w:val="auto"/>
          <w:sz w:val="28"/>
          <w:szCs w:val="28"/>
        </w:rPr>
        <w:t>承包人承揽工程项目一览表</w:t>
      </w:r>
    </w:p>
    <w:tbl>
      <w:tblPr>
        <w:tblStyle w:val="7"/>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993"/>
        <w:gridCol w:w="708"/>
        <w:gridCol w:w="993"/>
        <w:gridCol w:w="1134"/>
        <w:gridCol w:w="1559"/>
        <w:gridCol w:w="1701"/>
      </w:tblGrid>
      <w:tr w14:paraId="7D3A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00" w:hRule="atLeast"/>
        </w:trPr>
        <w:tc>
          <w:tcPr>
            <w:tcW w:w="1418" w:type="dxa"/>
            <w:noWrap w:val="0"/>
            <w:vAlign w:val="center"/>
          </w:tcPr>
          <w:p w14:paraId="75DBB498">
            <w:pPr>
              <w:widowControl/>
              <w:jc w:val="center"/>
              <w:rPr>
                <w:rFonts w:hint="eastAsia" w:ascii="宋体" w:hAnsi="宋体"/>
                <w:color w:val="auto"/>
                <w:sz w:val="24"/>
              </w:rPr>
            </w:pPr>
            <w:r>
              <w:rPr>
                <w:rFonts w:hint="eastAsia" w:ascii="宋体" w:hAnsi="宋体"/>
                <w:color w:val="auto"/>
                <w:sz w:val="24"/>
              </w:rPr>
              <w:t>单位工程</w:t>
            </w:r>
          </w:p>
          <w:p w14:paraId="3D3E114D">
            <w:pPr>
              <w:widowControl/>
              <w:jc w:val="center"/>
              <w:rPr>
                <w:rFonts w:ascii="宋体" w:hAnsi="宋体"/>
                <w:color w:val="auto"/>
                <w:sz w:val="24"/>
              </w:rPr>
            </w:pPr>
            <w:r>
              <w:rPr>
                <w:rFonts w:hint="eastAsia" w:ascii="宋体" w:hAnsi="宋体"/>
                <w:color w:val="auto"/>
                <w:sz w:val="24"/>
              </w:rPr>
              <w:t>名称</w:t>
            </w:r>
          </w:p>
        </w:tc>
        <w:tc>
          <w:tcPr>
            <w:tcW w:w="850" w:type="dxa"/>
            <w:noWrap w:val="0"/>
            <w:vAlign w:val="center"/>
          </w:tcPr>
          <w:p w14:paraId="33B74409">
            <w:pPr>
              <w:widowControl/>
              <w:jc w:val="center"/>
              <w:rPr>
                <w:rFonts w:ascii="宋体" w:hAnsi="宋体"/>
                <w:color w:val="auto"/>
                <w:sz w:val="24"/>
              </w:rPr>
            </w:pPr>
            <w:r>
              <w:rPr>
                <w:rFonts w:hint="eastAsia" w:ascii="宋体" w:hAnsi="宋体"/>
                <w:color w:val="auto"/>
                <w:sz w:val="24"/>
              </w:rPr>
              <w:t>建设</w:t>
            </w:r>
          </w:p>
          <w:p w14:paraId="7E2F599B">
            <w:pPr>
              <w:widowControl/>
              <w:jc w:val="center"/>
              <w:rPr>
                <w:rFonts w:ascii="宋体" w:hAnsi="宋体"/>
                <w:color w:val="auto"/>
                <w:sz w:val="24"/>
              </w:rPr>
            </w:pPr>
            <w:r>
              <w:rPr>
                <w:rFonts w:hint="eastAsia" w:ascii="宋体" w:hAnsi="宋体"/>
                <w:color w:val="auto"/>
                <w:sz w:val="24"/>
              </w:rPr>
              <w:t>规模</w:t>
            </w:r>
          </w:p>
        </w:tc>
        <w:tc>
          <w:tcPr>
            <w:tcW w:w="993" w:type="dxa"/>
            <w:noWrap w:val="0"/>
            <w:vAlign w:val="center"/>
          </w:tcPr>
          <w:p w14:paraId="60CFD817">
            <w:pPr>
              <w:widowControl/>
              <w:jc w:val="center"/>
              <w:rPr>
                <w:rFonts w:ascii="宋体" w:hAnsi="宋体"/>
                <w:color w:val="auto"/>
                <w:sz w:val="24"/>
              </w:rPr>
            </w:pPr>
            <w:r>
              <w:rPr>
                <w:rFonts w:hint="eastAsia" w:ascii="宋体" w:hAnsi="宋体"/>
                <w:color w:val="auto"/>
                <w:sz w:val="24"/>
              </w:rPr>
              <w:t>建筑</w:t>
            </w:r>
          </w:p>
          <w:p w14:paraId="72A67E53">
            <w:pPr>
              <w:widowControl/>
              <w:jc w:val="center"/>
              <w:rPr>
                <w:rFonts w:ascii="宋体" w:hAnsi="宋体"/>
                <w:color w:val="auto"/>
                <w:sz w:val="24"/>
              </w:rPr>
            </w:pPr>
            <w:r>
              <w:rPr>
                <w:rFonts w:hint="eastAsia" w:ascii="宋体" w:hAnsi="宋体"/>
                <w:color w:val="auto"/>
                <w:sz w:val="24"/>
              </w:rPr>
              <w:t>面积</w:t>
            </w:r>
          </w:p>
        </w:tc>
        <w:tc>
          <w:tcPr>
            <w:tcW w:w="708" w:type="dxa"/>
            <w:noWrap w:val="0"/>
            <w:vAlign w:val="center"/>
          </w:tcPr>
          <w:p w14:paraId="3458B3AC">
            <w:pPr>
              <w:widowControl/>
              <w:jc w:val="center"/>
              <w:rPr>
                <w:rFonts w:ascii="宋体" w:hAnsi="宋体"/>
                <w:color w:val="auto"/>
                <w:sz w:val="24"/>
              </w:rPr>
            </w:pPr>
            <w:r>
              <w:rPr>
                <w:rFonts w:hint="eastAsia" w:ascii="宋体" w:hAnsi="宋体"/>
                <w:color w:val="auto"/>
                <w:sz w:val="24"/>
              </w:rPr>
              <w:t>结构</w:t>
            </w:r>
          </w:p>
        </w:tc>
        <w:tc>
          <w:tcPr>
            <w:tcW w:w="993" w:type="dxa"/>
            <w:noWrap w:val="0"/>
            <w:vAlign w:val="center"/>
          </w:tcPr>
          <w:p w14:paraId="6D094E49">
            <w:pPr>
              <w:widowControl/>
              <w:jc w:val="center"/>
              <w:rPr>
                <w:rFonts w:ascii="宋体" w:hAnsi="宋体"/>
                <w:color w:val="auto"/>
                <w:sz w:val="24"/>
              </w:rPr>
            </w:pPr>
            <w:r>
              <w:rPr>
                <w:rFonts w:hint="eastAsia" w:ascii="宋体" w:hAnsi="宋体"/>
                <w:color w:val="auto"/>
                <w:sz w:val="24"/>
              </w:rPr>
              <w:t>设备安装内容</w:t>
            </w:r>
          </w:p>
        </w:tc>
        <w:tc>
          <w:tcPr>
            <w:tcW w:w="1134" w:type="dxa"/>
            <w:noWrap w:val="0"/>
            <w:vAlign w:val="center"/>
          </w:tcPr>
          <w:p w14:paraId="355479B3">
            <w:pPr>
              <w:widowControl/>
              <w:jc w:val="center"/>
              <w:rPr>
                <w:rFonts w:ascii="宋体" w:hAnsi="宋体"/>
                <w:color w:val="auto"/>
                <w:sz w:val="24"/>
              </w:rPr>
            </w:pPr>
            <w:r>
              <w:rPr>
                <w:rFonts w:hint="eastAsia" w:ascii="宋体" w:hAnsi="宋体"/>
                <w:color w:val="auto"/>
                <w:sz w:val="24"/>
              </w:rPr>
              <w:t>工程造价（元）</w:t>
            </w:r>
          </w:p>
        </w:tc>
        <w:tc>
          <w:tcPr>
            <w:tcW w:w="1559" w:type="dxa"/>
            <w:noWrap w:val="0"/>
            <w:vAlign w:val="center"/>
          </w:tcPr>
          <w:p w14:paraId="2640FB9C">
            <w:pPr>
              <w:widowControl/>
              <w:jc w:val="center"/>
              <w:rPr>
                <w:rFonts w:ascii="宋体" w:hAnsi="宋体"/>
                <w:color w:val="auto"/>
                <w:sz w:val="24"/>
              </w:rPr>
            </w:pPr>
            <w:r>
              <w:rPr>
                <w:rFonts w:hint="eastAsia" w:ascii="宋体" w:hAnsi="宋体"/>
                <w:color w:val="auto"/>
                <w:sz w:val="24"/>
              </w:rPr>
              <w:t>开工日期</w:t>
            </w:r>
          </w:p>
        </w:tc>
        <w:tc>
          <w:tcPr>
            <w:tcW w:w="1701" w:type="dxa"/>
            <w:noWrap w:val="0"/>
            <w:vAlign w:val="center"/>
          </w:tcPr>
          <w:p w14:paraId="6818A346">
            <w:pPr>
              <w:widowControl/>
              <w:jc w:val="center"/>
              <w:rPr>
                <w:rFonts w:ascii="宋体" w:hAnsi="宋体"/>
                <w:color w:val="auto"/>
                <w:sz w:val="24"/>
              </w:rPr>
            </w:pPr>
            <w:r>
              <w:rPr>
                <w:rFonts w:hint="eastAsia" w:ascii="宋体" w:hAnsi="宋体"/>
                <w:color w:val="auto"/>
                <w:sz w:val="24"/>
              </w:rPr>
              <w:t>竣工日期</w:t>
            </w:r>
          </w:p>
        </w:tc>
      </w:tr>
      <w:tr w14:paraId="701AD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08" w:hRule="atLeast"/>
        </w:trPr>
        <w:tc>
          <w:tcPr>
            <w:tcW w:w="1418" w:type="dxa"/>
            <w:noWrap w:val="0"/>
            <w:vAlign w:val="center"/>
          </w:tcPr>
          <w:p w14:paraId="168D1386">
            <w:pPr>
              <w:widowControl/>
              <w:jc w:val="center"/>
              <w:rPr>
                <w:rFonts w:ascii="宋体" w:hAnsi="宋体"/>
                <w:color w:val="auto"/>
                <w:sz w:val="24"/>
              </w:rPr>
            </w:pPr>
          </w:p>
        </w:tc>
        <w:tc>
          <w:tcPr>
            <w:tcW w:w="850" w:type="dxa"/>
            <w:noWrap w:val="0"/>
            <w:vAlign w:val="center"/>
          </w:tcPr>
          <w:p w14:paraId="2F79252E">
            <w:pPr>
              <w:widowControl/>
              <w:spacing w:line="360" w:lineRule="auto"/>
              <w:jc w:val="center"/>
              <w:rPr>
                <w:rFonts w:ascii="宋体" w:hAnsi="宋体"/>
                <w:color w:val="auto"/>
                <w:sz w:val="28"/>
                <w:szCs w:val="28"/>
              </w:rPr>
            </w:pPr>
          </w:p>
        </w:tc>
        <w:tc>
          <w:tcPr>
            <w:tcW w:w="993" w:type="dxa"/>
            <w:noWrap w:val="0"/>
            <w:vAlign w:val="center"/>
          </w:tcPr>
          <w:p w14:paraId="43BCE7A4">
            <w:pPr>
              <w:widowControl/>
              <w:jc w:val="center"/>
              <w:rPr>
                <w:rFonts w:ascii="宋体" w:hAnsi="宋体"/>
                <w:color w:val="auto"/>
                <w:sz w:val="24"/>
              </w:rPr>
            </w:pPr>
          </w:p>
        </w:tc>
        <w:tc>
          <w:tcPr>
            <w:tcW w:w="708" w:type="dxa"/>
            <w:noWrap w:val="0"/>
            <w:vAlign w:val="center"/>
          </w:tcPr>
          <w:p w14:paraId="0EFC80FC">
            <w:pPr>
              <w:widowControl/>
              <w:jc w:val="center"/>
              <w:rPr>
                <w:rFonts w:ascii="宋体" w:hAnsi="宋体"/>
                <w:color w:val="auto"/>
                <w:sz w:val="24"/>
              </w:rPr>
            </w:pPr>
          </w:p>
        </w:tc>
        <w:tc>
          <w:tcPr>
            <w:tcW w:w="993" w:type="dxa"/>
            <w:noWrap w:val="0"/>
            <w:vAlign w:val="center"/>
          </w:tcPr>
          <w:p w14:paraId="59E80D8E">
            <w:pPr>
              <w:widowControl/>
              <w:jc w:val="center"/>
              <w:rPr>
                <w:rFonts w:ascii="宋体" w:hAnsi="宋体"/>
                <w:color w:val="auto"/>
                <w:sz w:val="24"/>
              </w:rPr>
            </w:pPr>
          </w:p>
        </w:tc>
        <w:tc>
          <w:tcPr>
            <w:tcW w:w="1134" w:type="dxa"/>
            <w:noWrap w:val="0"/>
            <w:vAlign w:val="center"/>
          </w:tcPr>
          <w:p w14:paraId="097E146D">
            <w:pPr>
              <w:widowControl/>
              <w:jc w:val="center"/>
              <w:rPr>
                <w:rFonts w:ascii="宋体" w:hAnsi="宋体"/>
                <w:color w:val="auto"/>
                <w:sz w:val="24"/>
              </w:rPr>
            </w:pPr>
          </w:p>
        </w:tc>
        <w:tc>
          <w:tcPr>
            <w:tcW w:w="1559" w:type="dxa"/>
            <w:noWrap w:val="0"/>
            <w:vAlign w:val="center"/>
          </w:tcPr>
          <w:p w14:paraId="7DAAEDFD">
            <w:pPr>
              <w:widowControl/>
              <w:jc w:val="center"/>
              <w:rPr>
                <w:rFonts w:ascii="宋体" w:hAnsi="宋体"/>
                <w:color w:val="auto"/>
                <w:sz w:val="24"/>
              </w:rPr>
            </w:pPr>
          </w:p>
        </w:tc>
        <w:tc>
          <w:tcPr>
            <w:tcW w:w="1701" w:type="dxa"/>
            <w:noWrap w:val="0"/>
            <w:vAlign w:val="center"/>
          </w:tcPr>
          <w:p w14:paraId="7D42418B">
            <w:pPr>
              <w:widowControl/>
              <w:jc w:val="center"/>
              <w:rPr>
                <w:rFonts w:ascii="宋体" w:hAnsi="宋体"/>
                <w:color w:val="auto"/>
                <w:sz w:val="24"/>
              </w:rPr>
            </w:pPr>
          </w:p>
        </w:tc>
      </w:tr>
      <w:tr w14:paraId="65D8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17" w:hRule="atLeast"/>
        </w:trPr>
        <w:tc>
          <w:tcPr>
            <w:tcW w:w="1418" w:type="dxa"/>
            <w:noWrap w:val="0"/>
            <w:vAlign w:val="center"/>
          </w:tcPr>
          <w:p w14:paraId="6C73F4AF">
            <w:pPr>
              <w:widowControl/>
              <w:spacing w:line="360" w:lineRule="auto"/>
              <w:jc w:val="center"/>
              <w:rPr>
                <w:rFonts w:ascii="宋体" w:hAnsi="宋体"/>
                <w:color w:val="auto"/>
                <w:sz w:val="28"/>
                <w:szCs w:val="28"/>
              </w:rPr>
            </w:pPr>
          </w:p>
        </w:tc>
        <w:tc>
          <w:tcPr>
            <w:tcW w:w="850" w:type="dxa"/>
            <w:noWrap w:val="0"/>
            <w:vAlign w:val="center"/>
          </w:tcPr>
          <w:p w14:paraId="4F3281DD">
            <w:pPr>
              <w:widowControl/>
              <w:spacing w:line="360" w:lineRule="auto"/>
              <w:jc w:val="center"/>
              <w:rPr>
                <w:rFonts w:ascii="宋体" w:hAnsi="宋体"/>
                <w:color w:val="auto"/>
                <w:sz w:val="28"/>
                <w:szCs w:val="28"/>
              </w:rPr>
            </w:pPr>
          </w:p>
        </w:tc>
        <w:tc>
          <w:tcPr>
            <w:tcW w:w="993" w:type="dxa"/>
            <w:noWrap w:val="0"/>
            <w:vAlign w:val="center"/>
          </w:tcPr>
          <w:p w14:paraId="24C12FC3">
            <w:pPr>
              <w:widowControl/>
              <w:spacing w:line="360" w:lineRule="auto"/>
              <w:jc w:val="center"/>
              <w:rPr>
                <w:rFonts w:ascii="宋体" w:hAnsi="宋体"/>
                <w:color w:val="auto"/>
                <w:sz w:val="28"/>
                <w:szCs w:val="28"/>
              </w:rPr>
            </w:pPr>
          </w:p>
        </w:tc>
        <w:tc>
          <w:tcPr>
            <w:tcW w:w="708" w:type="dxa"/>
            <w:noWrap w:val="0"/>
            <w:vAlign w:val="center"/>
          </w:tcPr>
          <w:p w14:paraId="55E4EC77">
            <w:pPr>
              <w:widowControl/>
              <w:spacing w:line="360" w:lineRule="auto"/>
              <w:jc w:val="center"/>
              <w:rPr>
                <w:rFonts w:ascii="宋体" w:hAnsi="宋体"/>
                <w:color w:val="auto"/>
                <w:sz w:val="28"/>
                <w:szCs w:val="28"/>
              </w:rPr>
            </w:pPr>
          </w:p>
        </w:tc>
        <w:tc>
          <w:tcPr>
            <w:tcW w:w="993" w:type="dxa"/>
            <w:noWrap w:val="0"/>
            <w:vAlign w:val="center"/>
          </w:tcPr>
          <w:p w14:paraId="38937F29">
            <w:pPr>
              <w:widowControl/>
              <w:spacing w:line="360" w:lineRule="auto"/>
              <w:jc w:val="center"/>
              <w:rPr>
                <w:rFonts w:ascii="宋体" w:hAnsi="宋体"/>
                <w:color w:val="auto"/>
                <w:sz w:val="28"/>
                <w:szCs w:val="28"/>
              </w:rPr>
            </w:pPr>
          </w:p>
        </w:tc>
        <w:tc>
          <w:tcPr>
            <w:tcW w:w="1134" w:type="dxa"/>
            <w:noWrap w:val="0"/>
            <w:vAlign w:val="center"/>
          </w:tcPr>
          <w:p w14:paraId="0DA94285">
            <w:pPr>
              <w:widowControl/>
              <w:spacing w:line="360" w:lineRule="auto"/>
              <w:jc w:val="center"/>
              <w:rPr>
                <w:rFonts w:ascii="宋体" w:hAnsi="宋体"/>
                <w:color w:val="auto"/>
                <w:sz w:val="28"/>
                <w:szCs w:val="28"/>
              </w:rPr>
            </w:pPr>
          </w:p>
        </w:tc>
        <w:tc>
          <w:tcPr>
            <w:tcW w:w="1559" w:type="dxa"/>
            <w:noWrap w:val="0"/>
            <w:vAlign w:val="center"/>
          </w:tcPr>
          <w:p w14:paraId="28AD452C">
            <w:pPr>
              <w:widowControl/>
              <w:spacing w:line="360" w:lineRule="auto"/>
              <w:jc w:val="center"/>
              <w:rPr>
                <w:rFonts w:ascii="宋体" w:hAnsi="宋体"/>
                <w:color w:val="auto"/>
                <w:sz w:val="28"/>
                <w:szCs w:val="28"/>
              </w:rPr>
            </w:pPr>
          </w:p>
        </w:tc>
        <w:tc>
          <w:tcPr>
            <w:tcW w:w="1701" w:type="dxa"/>
            <w:noWrap w:val="0"/>
            <w:vAlign w:val="center"/>
          </w:tcPr>
          <w:p w14:paraId="68C0ED96">
            <w:pPr>
              <w:widowControl/>
              <w:spacing w:line="360" w:lineRule="auto"/>
              <w:jc w:val="center"/>
              <w:rPr>
                <w:rFonts w:ascii="宋体" w:hAnsi="宋体"/>
                <w:color w:val="auto"/>
                <w:sz w:val="28"/>
                <w:szCs w:val="28"/>
              </w:rPr>
            </w:pPr>
          </w:p>
        </w:tc>
      </w:tr>
      <w:tr w14:paraId="1B95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19" w:hRule="atLeast"/>
        </w:trPr>
        <w:tc>
          <w:tcPr>
            <w:tcW w:w="1418" w:type="dxa"/>
            <w:noWrap w:val="0"/>
            <w:vAlign w:val="center"/>
          </w:tcPr>
          <w:p w14:paraId="75618ED1">
            <w:pPr>
              <w:widowControl/>
              <w:spacing w:line="360" w:lineRule="auto"/>
              <w:jc w:val="center"/>
              <w:rPr>
                <w:rFonts w:ascii="宋体" w:hAnsi="宋体"/>
                <w:color w:val="auto"/>
                <w:sz w:val="28"/>
                <w:szCs w:val="28"/>
              </w:rPr>
            </w:pPr>
            <w:r>
              <w:rPr>
                <w:rFonts w:hint="eastAsia" w:ascii="宋体" w:hAnsi="宋体"/>
                <w:color w:val="auto"/>
                <w:sz w:val="24"/>
              </w:rPr>
              <w:t>合同总计</w:t>
            </w:r>
          </w:p>
        </w:tc>
        <w:tc>
          <w:tcPr>
            <w:tcW w:w="7938" w:type="dxa"/>
            <w:gridSpan w:val="7"/>
            <w:noWrap w:val="0"/>
            <w:vAlign w:val="center"/>
          </w:tcPr>
          <w:p w14:paraId="17194F03">
            <w:pPr>
              <w:widowControl/>
              <w:spacing w:line="360" w:lineRule="auto"/>
              <w:rPr>
                <w:rFonts w:hint="eastAsia" w:ascii="宋体" w:hAnsi="宋体"/>
                <w:color w:val="auto"/>
                <w:sz w:val="24"/>
              </w:rPr>
            </w:pPr>
            <w:r>
              <w:rPr>
                <w:rFonts w:hint="eastAsia" w:ascii="宋体" w:hAnsi="宋体"/>
                <w:color w:val="auto"/>
                <w:sz w:val="24"/>
              </w:rPr>
              <w:t xml:space="preserve">（大写）：           </w:t>
            </w:r>
          </w:p>
          <w:p w14:paraId="6CE68C7B">
            <w:pPr>
              <w:widowControl/>
              <w:spacing w:line="360" w:lineRule="auto"/>
              <w:rPr>
                <w:rFonts w:ascii="宋体" w:hAnsi="宋体"/>
                <w:color w:val="auto"/>
                <w:sz w:val="28"/>
                <w:szCs w:val="28"/>
              </w:rPr>
            </w:pPr>
            <w:r>
              <w:rPr>
                <w:rFonts w:hint="eastAsia" w:ascii="宋体" w:hAnsi="宋体"/>
                <w:color w:val="auto"/>
                <w:sz w:val="24"/>
              </w:rPr>
              <w:t>（小写：           元）</w:t>
            </w:r>
          </w:p>
        </w:tc>
      </w:tr>
      <w:tr w14:paraId="75BA6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852" w:hRule="atLeast"/>
        </w:trPr>
        <w:tc>
          <w:tcPr>
            <w:tcW w:w="1418" w:type="dxa"/>
            <w:noWrap w:val="0"/>
            <w:vAlign w:val="center"/>
          </w:tcPr>
          <w:p w14:paraId="457A508C">
            <w:pPr>
              <w:widowControl/>
              <w:spacing w:line="360" w:lineRule="auto"/>
              <w:jc w:val="center"/>
              <w:rPr>
                <w:rFonts w:ascii="宋体" w:hAnsi="宋体"/>
                <w:color w:val="auto"/>
                <w:sz w:val="28"/>
                <w:szCs w:val="28"/>
              </w:rPr>
            </w:pPr>
          </w:p>
        </w:tc>
        <w:tc>
          <w:tcPr>
            <w:tcW w:w="850" w:type="dxa"/>
            <w:noWrap w:val="0"/>
            <w:vAlign w:val="center"/>
          </w:tcPr>
          <w:p w14:paraId="0CE016A2">
            <w:pPr>
              <w:widowControl/>
              <w:spacing w:line="360" w:lineRule="auto"/>
              <w:jc w:val="center"/>
              <w:rPr>
                <w:rFonts w:ascii="宋体" w:hAnsi="宋体"/>
                <w:color w:val="auto"/>
                <w:sz w:val="28"/>
                <w:szCs w:val="28"/>
              </w:rPr>
            </w:pPr>
          </w:p>
        </w:tc>
        <w:tc>
          <w:tcPr>
            <w:tcW w:w="993" w:type="dxa"/>
            <w:noWrap w:val="0"/>
            <w:vAlign w:val="center"/>
          </w:tcPr>
          <w:p w14:paraId="06C19D42">
            <w:pPr>
              <w:widowControl/>
              <w:spacing w:line="360" w:lineRule="auto"/>
              <w:jc w:val="center"/>
              <w:rPr>
                <w:rFonts w:ascii="宋体" w:hAnsi="宋体"/>
                <w:color w:val="auto"/>
                <w:sz w:val="28"/>
                <w:szCs w:val="28"/>
              </w:rPr>
            </w:pPr>
          </w:p>
        </w:tc>
        <w:tc>
          <w:tcPr>
            <w:tcW w:w="708" w:type="dxa"/>
            <w:noWrap w:val="0"/>
            <w:vAlign w:val="center"/>
          </w:tcPr>
          <w:p w14:paraId="1A5597F7">
            <w:pPr>
              <w:widowControl/>
              <w:spacing w:line="360" w:lineRule="auto"/>
              <w:jc w:val="center"/>
              <w:rPr>
                <w:rFonts w:ascii="宋体" w:hAnsi="宋体"/>
                <w:color w:val="auto"/>
                <w:sz w:val="28"/>
                <w:szCs w:val="28"/>
              </w:rPr>
            </w:pPr>
          </w:p>
        </w:tc>
        <w:tc>
          <w:tcPr>
            <w:tcW w:w="993" w:type="dxa"/>
            <w:noWrap w:val="0"/>
            <w:vAlign w:val="center"/>
          </w:tcPr>
          <w:p w14:paraId="0B49AA7E">
            <w:pPr>
              <w:widowControl/>
              <w:spacing w:line="360" w:lineRule="auto"/>
              <w:jc w:val="center"/>
              <w:rPr>
                <w:rFonts w:ascii="宋体" w:hAnsi="宋体"/>
                <w:color w:val="auto"/>
                <w:sz w:val="28"/>
                <w:szCs w:val="28"/>
              </w:rPr>
            </w:pPr>
          </w:p>
        </w:tc>
        <w:tc>
          <w:tcPr>
            <w:tcW w:w="1134" w:type="dxa"/>
            <w:noWrap w:val="0"/>
            <w:vAlign w:val="center"/>
          </w:tcPr>
          <w:p w14:paraId="48A3DB3B">
            <w:pPr>
              <w:widowControl/>
              <w:spacing w:line="360" w:lineRule="auto"/>
              <w:jc w:val="center"/>
              <w:rPr>
                <w:rFonts w:ascii="宋体" w:hAnsi="宋体"/>
                <w:color w:val="auto"/>
                <w:sz w:val="28"/>
                <w:szCs w:val="28"/>
              </w:rPr>
            </w:pPr>
          </w:p>
        </w:tc>
        <w:tc>
          <w:tcPr>
            <w:tcW w:w="1559" w:type="dxa"/>
            <w:noWrap w:val="0"/>
            <w:vAlign w:val="center"/>
          </w:tcPr>
          <w:p w14:paraId="2C82491F">
            <w:pPr>
              <w:widowControl/>
              <w:spacing w:line="360" w:lineRule="auto"/>
              <w:jc w:val="center"/>
              <w:rPr>
                <w:rFonts w:ascii="宋体" w:hAnsi="宋体"/>
                <w:color w:val="auto"/>
                <w:sz w:val="28"/>
                <w:szCs w:val="28"/>
              </w:rPr>
            </w:pPr>
          </w:p>
        </w:tc>
        <w:tc>
          <w:tcPr>
            <w:tcW w:w="1701" w:type="dxa"/>
            <w:noWrap w:val="0"/>
            <w:vAlign w:val="center"/>
          </w:tcPr>
          <w:p w14:paraId="46FABF60">
            <w:pPr>
              <w:widowControl/>
              <w:spacing w:line="360" w:lineRule="auto"/>
              <w:jc w:val="center"/>
              <w:rPr>
                <w:rFonts w:ascii="宋体" w:hAnsi="宋体"/>
                <w:color w:val="auto"/>
                <w:sz w:val="28"/>
                <w:szCs w:val="28"/>
              </w:rPr>
            </w:pPr>
          </w:p>
        </w:tc>
      </w:tr>
      <w:tr w14:paraId="6256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78" w:hRule="atLeast"/>
        </w:trPr>
        <w:tc>
          <w:tcPr>
            <w:tcW w:w="1418" w:type="dxa"/>
            <w:noWrap w:val="0"/>
            <w:vAlign w:val="center"/>
          </w:tcPr>
          <w:p w14:paraId="3819611D">
            <w:pPr>
              <w:widowControl/>
              <w:spacing w:line="360" w:lineRule="auto"/>
              <w:jc w:val="center"/>
              <w:rPr>
                <w:rFonts w:ascii="宋体" w:hAnsi="宋体"/>
                <w:color w:val="auto"/>
                <w:sz w:val="28"/>
                <w:szCs w:val="28"/>
              </w:rPr>
            </w:pPr>
          </w:p>
        </w:tc>
        <w:tc>
          <w:tcPr>
            <w:tcW w:w="850" w:type="dxa"/>
            <w:noWrap w:val="0"/>
            <w:vAlign w:val="center"/>
          </w:tcPr>
          <w:p w14:paraId="76D37CCE">
            <w:pPr>
              <w:widowControl/>
              <w:spacing w:line="360" w:lineRule="auto"/>
              <w:jc w:val="center"/>
              <w:rPr>
                <w:rFonts w:ascii="宋体" w:hAnsi="宋体"/>
                <w:color w:val="auto"/>
                <w:sz w:val="28"/>
                <w:szCs w:val="28"/>
              </w:rPr>
            </w:pPr>
          </w:p>
        </w:tc>
        <w:tc>
          <w:tcPr>
            <w:tcW w:w="993" w:type="dxa"/>
            <w:noWrap w:val="0"/>
            <w:vAlign w:val="center"/>
          </w:tcPr>
          <w:p w14:paraId="2447C182">
            <w:pPr>
              <w:widowControl/>
              <w:spacing w:line="360" w:lineRule="auto"/>
              <w:jc w:val="center"/>
              <w:rPr>
                <w:rFonts w:ascii="宋体" w:hAnsi="宋体"/>
                <w:color w:val="auto"/>
                <w:sz w:val="28"/>
                <w:szCs w:val="28"/>
              </w:rPr>
            </w:pPr>
          </w:p>
        </w:tc>
        <w:tc>
          <w:tcPr>
            <w:tcW w:w="708" w:type="dxa"/>
            <w:noWrap w:val="0"/>
            <w:vAlign w:val="center"/>
          </w:tcPr>
          <w:p w14:paraId="002EC104">
            <w:pPr>
              <w:widowControl/>
              <w:spacing w:line="360" w:lineRule="auto"/>
              <w:jc w:val="center"/>
              <w:rPr>
                <w:rFonts w:ascii="宋体" w:hAnsi="宋体"/>
                <w:color w:val="auto"/>
                <w:sz w:val="28"/>
                <w:szCs w:val="28"/>
              </w:rPr>
            </w:pPr>
          </w:p>
        </w:tc>
        <w:tc>
          <w:tcPr>
            <w:tcW w:w="993" w:type="dxa"/>
            <w:noWrap w:val="0"/>
            <w:vAlign w:val="center"/>
          </w:tcPr>
          <w:p w14:paraId="36DD53B4">
            <w:pPr>
              <w:widowControl/>
              <w:spacing w:line="360" w:lineRule="auto"/>
              <w:jc w:val="center"/>
              <w:rPr>
                <w:rFonts w:ascii="宋体" w:hAnsi="宋体"/>
                <w:color w:val="auto"/>
                <w:sz w:val="28"/>
                <w:szCs w:val="28"/>
              </w:rPr>
            </w:pPr>
          </w:p>
        </w:tc>
        <w:tc>
          <w:tcPr>
            <w:tcW w:w="1134" w:type="dxa"/>
            <w:noWrap w:val="0"/>
            <w:vAlign w:val="center"/>
          </w:tcPr>
          <w:p w14:paraId="24AB749D">
            <w:pPr>
              <w:widowControl/>
              <w:spacing w:line="360" w:lineRule="auto"/>
              <w:jc w:val="center"/>
              <w:rPr>
                <w:rFonts w:ascii="宋体" w:hAnsi="宋体"/>
                <w:color w:val="auto"/>
                <w:sz w:val="28"/>
                <w:szCs w:val="28"/>
              </w:rPr>
            </w:pPr>
          </w:p>
        </w:tc>
        <w:tc>
          <w:tcPr>
            <w:tcW w:w="1559" w:type="dxa"/>
            <w:noWrap w:val="0"/>
            <w:vAlign w:val="center"/>
          </w:tcPr>
          <w:p w14:paraId="74BA20B1">
            <w:pPr>
              <w:widowControl/>
              <w:spacing w:line="360" w:lineRule="auto"/>
              <w:jc w:val="center"/>
              <w:rPr>
                <w:rFonts w:ascii="宋体" w:hAnsi="宋体"/>
                <w:color w:val="auto"/>
                <w:sz w:val="28"/>
                <w:szCs w:val="28"/>
              </w:rPr>
            </w:pPr>
          </w:p>
        </w:tc>
        <w:tc>
          <w:tcPr>
            <w:tcW w:w="1701" w:type="dxa"/>
            <w:noWrap w:val="0"/>
            <w:vAlign w:val="center"/>
          </w:tcPr>
          <w:p w14:paraId="7B2F5E22">
            <w:pPr>
              <w:widowControl/>
              <w:spacing w:line="360" w:lineRule="auto"/>
              <w:jc w:val="center"/>
              <w:rPr>
                <w:rFonts w:ascii="宋体" w:hAnsi="宋体"/>
                <w:color w:val="auto"/>
                <w:sz w:val="28"/>
                <w:szCs w:val="28"/>
              </w:rPr>
            </w:pPr>
          </w:p>
        </w:tc>
      </w:tr>
      <w:tr w14:paraId="08DF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19" w:hRule="atLeast"/>
        </w:trPr>
        <w:tc>
          <w:tcPr>
            <w:tcW w:w="1418" w:type="dxa"/>
            <w:noWrap w:val="0"/>
            <w:vAlign w:val="center"/>
          </w:tcPr>
          <w:p w14:paraId="12D542DB">
            <w:pPr>
              <w:widowControl/>
              <w:spacing w:line="360" w:lineRule="auto"/>
              <w:jc w:val="center"/>
              <w:rPr>
                <w:rFonts w:ascii="宋体" w:hAnsi="宋体"/>
                <w:color w:val="auto"/>
                <w:sz w:val="28"/>
                <w:szCs w:val="28"/>
              </w:rPr>
            </w:pPr>
          </w:p>
        </w:tc>
        <w:tc>
          <w:tcPr>
            <w:tcW w:w="850" w:type="dxa"/>
            <w:noWrap w:val="0"/>
            <w:vAlign w:val="center"/>
          </w:tcPr>
          <w:p w14:paraId="458984CC">
            <w:pPr>
              <w:widowControl/>
              <w:spacing w:line="360" w:lineRule="auto"/>
              <w:jc w:val="center"/>
              <w:rPr>
                <w:rFonts w:ascii="宋体" w:hAnsi="宋体"/>
                <w:color w:val="auto"/>
                <w:sz w:val="28"/>
                <w:szCs w:val="28"/>
              </w:rPr>
            </w:pPr>
          </w:p>
        </w:tc>
        <w:tc>
          <w:tcPr>
            <w:tcW w:w="993" w:type="dxa"/>
            <w:noWrap w:val="0"/>
            <w:vAlign w:val="center"/>
          </w:tcPr>
          <w:p w14:paraId="36974A91">
            <w:pPr>
              <w:widowControl/>
              <w:spacing w:line="360" w:lineRule="auto"/>
              <w:jc w:val="center"/>
              <w:rPr>
                <w:rFonts w:ascii="宋体" w:hAnsi="宋体"/>
                <w:color w:val="auto"/>
                <w:sz w:val="28"/>
                <w:szCs w:val="28"/>
              </w:rPr>
            </w:pPr>
          </w:p>
        </w:tc>
        <w:tc>
          <w:tcPr>
            <w:tcW w:w="708" w:type="dxa"/>
            <w:noWrap w:val="0"/>
            <w:vAlign w:val="center"/>
          </w:tcPr>
          <w:p w14:paraId="48362100">
            <w:pPr>
              <w:widowControl/>
              <w:spacing w:line="360" w:lineRule="auto"/>
              <w:jc w:val="center"/>
              <w:rPr>
                <w:rFonts w:ascii="宋体" w:hAnsi="宋体"/>
                <w:color w:val="auto"/>
                <w:sz w:val="28"/>
                <w:szCs w:val="28"/>
              </w:rPr>
            </w:pPr>
          </w:p>
        </w:tc>
        <w:tc>
          <w:tcPr>
            <w:tcW w:w="993" w:type="dxa"/>
            <w:noWrap w:val="0"/>
            <w:vAlign w:val="center"/>
          </w:tcPr>
          <w:p w14:paraId="6E062339">
            <w:pPr>
              <w:widowControl/>
              <w:spacing w:line="360" w:lineRule="auto"/>
              <w:jc w:val="center"/>
              <w:rPr>
                <w:rFonts w:ascii="宋体" w:hAnsi="宋体"/>
                <w:color w:val="auto"/>
                <w:sz w:val="28"/>
                <w:szCs w:val="28"/>
              </w:rPr>
            </w:pPr>
          </w:p>
        </w:tc>
        <w:tc>
          <w:tcPr>
            <w:tcW w:w="1134" w:type="dxa"/>
            <w:noWrap w:val="0"/>
            <w:vAlign w:val="center"/>
          </w:tcPr>
          <w:p w14:paraId="10EEBD40">
            <w:pPr>
              <w:widowControl/>
              <w:spacing w:line="360" w:lineRule="auto"/>
              <w:jc w:val="center"/>
              <w:rPr>
                <w:rFonts w:ascii="宋体" w:hAnsi="宋体"/>
                <w:color w:val="auto"/>
                <w:sz w:val="28"/>
                <w:szCs w:val="28"/>
              </w:rPr>
            </w:pPr>
          </w:p>
        </w:tc>
        <w:tc>
          <w:tcPr>
            <w:tcW w:w="1559" w:type="dxa"/>
            <w:noWrap w:val="0"/>
            <w:vAlign w:val="center"/>
          </w:tcPr>
          <w:p w14:paraId="71771E1F">
            <w:pPr>
              <w:widowControl/>
              <w:spacing w:line="360" w:lineRule="auto"/>
              <w:jc w:val="center"/>
              <w:rPr>
                <w:rFonts w:ascii="宋体" w:hAnsi="宋体"/>
                <w:color w:val="auto"/>
                <w:sz w:val="28"/>
                <w:szCs w:val="28"/>
              </w:rPr>
            </w:pPr>
          </w:p>
        </w:tc>
        <w:tc>
          <w:tcPr>
            <w:tcW w:w="1701" w:type="dxa"/>
            <w:noWrap w:val="0"/>
            <w:vAlign w:val="center"/>
          </w:tcPr>
          <w:p w14:paraId="736240DF">
            <w:pPr>
              <w:widowControl/>
              <w:spacing w:line="360" w:lineRule="auto"/>
              <w:jc w:val="center"/>
              <w:rPr>
                <w:rFonts w:ascii="宋体" w:hAnsi="宋体"/>
                <w:color w:val="auto"/>
                <w:sz w:val="28"/>
                <w:szCs w:val="28"/>
              </w:rPr>
            </w:pPr>
          </w:p>
        </w:tc>
      </w:tr>
      <w:tr w14:paraId="1F4C7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93" w:hRule="atLeast"/>
        </w:trPr>
        <w:tc>
          <w:tcPr>
            <w:tcW w:w="1418" w:type="dxa"/>
            <w:noWrap w:val="0"/>
            <w:vAlign w:val="center"/>
          </w:tcPr>
          <w:p w14:paraId="0C44DCEE">
            <w:pPr>
              <w:widowControl/>
              <w:spacing w:line="360" w:lineRule="auto"/>
              <w:jc w:val="center"/>
              <w:rPr>
                <w:rFonts w:ascii="宋体" w:hAnsi="宋体"/>
                <w:color w:val="auto"/>
                <w:sz w:val="28"/>
                <w:szCs w:val="28"/>
              </w:rPr>
            </w:pPr>
          </w:p>
        </w:tc>
        <w:tc>
          <w:tcPr>
            <w:tcW w:w="850" w:type="dxa"/>
            <w:noWrap w:val="0"/>
            <w:vAlign w:val="center"/>
          </w:tcPr>
          <w:p w14:paraId="1D0E1563">
            <w:pPr>
              <w:widowControl/>
              <w:spacing w:line="360" w:lineRule="auto"/>
              <w:jc w:val="center"/>
              <w:rPr>
                <w:rFonts w:ascii="宋体" w:hAnsi="宋体"/>
                <w:color w:val="auto"/>
                <w:sz w:val="28"/>
                <w:szCs w:val="28"/>
              </w:rPr>
            </w:pPr>
          </w:p>
        </w:tc>
        <w:tc>
          <w:tcPr>
            <w:tcW w:w="993" w:type="dxa"/>
            <w:noWrap w:val="0"/>
            <w:vAlign w:val="center"/>
          </w:tcPr>
          <w:p w14:paraId="6B73213A">
            <w:pPr>
              <w:widowControl/>
              <w:spacing w:line="360" w:lineRule="auto"/>
              <w:jc w:val="center"/>
              <w:rPr>
                <w:rFonts w:ascii="宋体" w:hAnsi="宋体"/>
                <w:color w:val="auto"/>
                <w:sz w:val="28"/>
                <w:szCs w:val="28"/>
              </w:rPr>
            </w:pPr>
          </w:p>
        </w:tc>
        <w:tc>
          <w:tcPr>
            <w:tcW w:w="708" w:type="dxa"/>
            <w:noWrap w:val="0"/>
            <w:vAlign w:val="center"/>
          </w:tcPr>
          <w:p w14:paraId="44201627">
            <w:pPr>
              <w:widowControl/>
              <w:spacing w:line="360" w:lineRule="auto"/>
              <w:jc w:val="center"/>
              <w:rPr>
                <w:rFonts w:ascii="宋体" w:hAnsi="宋体"/>
                <w:color w:val="auto"/>
                <w:sz w:val="28"/>
                <w:szCs w:val="28"/>
              </w:rPr>
            </w:pPr>
          </w:p>
        </w:tc>
        <w:tc>
          <w:tcPr>
            <w:tcW w:w="993" w:type="dxa"/>
            <w:noWrap w:val="0"/>
            <w:vAlign w:val="center"/>
          </w:tcPr>
          <w:p w14:paraId="2A89EF81">
            <w:pPr>
              <w:widowControl/>
              <w:spacing w:line="360" w:lineRule="auto"/>
              <w:jc w:val="center"/>
              <w:rPr>
                <w:rFonts w:ascii="宋体" w:hAnsi="宋体"/>
                <w:color w:val="auto"/>
                <w:sz w:val="28"/>
                <w:szCs w:val="28"/>
              </w:rPr>
            </w:pPr>
          </w:p>
        </w:tc>
        <w:tc>
          <w:tcPr>
            <w:tcW w:w="1134" w:type="dxa"/>
            <w:noWrap w:val="0"/>
            <w:vAlign w:val="center"/>
          </w:tcPr>
          <w:p w14:paraId="2E8FD535">
            <w:pPr>
              <w:widowControl/>
              <w:spacing w:line="360" w:lineRule="auto"/>
              <w:jc w:val="center"/>
              <w:rPr>
                <w:rFonts w:ascii="宋体" w:hAnsi="宋体"/>
                <w:color w:val="auto"/>
                <w:sz w:val="28"/>
                <w:szCs w:val="28"/>
              </w:rPr>
            </w:pPr>
          </w:p>
        </w:tc>
        <w:tc>
          <w:tcPr>
            <w:tcW w:w="1559" w:type="dxa"/>
            <w:noWrap w:val="0"/>
            <w:vAlign w:val="center"/>
          </w:tcPr>
          <w:p w14:paraId="4C87F4B7">
            <w:pPr>
              <w:widowControl/>
              <w:spacing w:line="360" w:lineRule="auto"/>
              <w:jc w:val="center"/>
              <w:rPr>
                <w:rFonts w:ascii="宋体" w:hAnsi="宋体"/>
                <w:color w:val="auto"/>
                <w:sz w:val="28"/>
                <w:szCs w:val="28"/>
              </w:rPr>
            </w:pPr>
          </w:p>
        </w:tc>
        <w:tc>
          <w:tcPr>
            <w:tcW w:w="1701" w:type="dxa"/>
            <w:noWrap w:val="0"/>
            <w:vAlign w:val="center"/>
          </w:tcPr>
          <w:p w14:paraId="7A3476CC">
            <w:pPr>
              <w:widowControl/>
              <w:spacing w:line="360" w:lineRule="auto"/>
              <w:jc w:val="center"/>
              <w:rPr>
                <w:rFonts w:ascii="宋体" w:hAnsi="宋体"/>
                <w:color w:val="auto"/>
                <w:sz w:val="28"/>
                <w:szCs w:val="28"/>
              </w:rPr>
            </w:pPr>
          </w:p>
        </w:tc>
      </w:tr>
      <w:tr w14:paraId="6523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07" w:hRule="atLeast"/>
        </w:trPr>
        <w:tc>
          <w:tcPr>
            <w:tcW w:w="1418" w:type="dxa"/>
            <w:noWrap w:val="0"/>
            <w:vAlign w:val="center"/>
          </w:tcPr>
          <w:p w14:paraId="6336185E">
            <w:pPr>
              <w:widowControl/>
              <w:spacing w:line="360" w:lineRule="auto"/>
              <w:jc w:val="center"/>
              <w:rPr>
                <w:rFonts w:ascii="宋体" w:hAnsi="宋体"/>
                <w:color w:val="auto"/>
                <w:sz w:val="28"/>
                <w:szCs w:val="28"/>
              </w:rPr>
            </w:pPr>
          </w:p>
        </w:tc>
        <w:tc>
          <w:tcPr>
            <w:tcW w:w="850" w:type="dxa"/>
            <w:noWrap w:val="0"/>
            <w:vAlign w:val="center"/>
          </w:tcPr>
          <w:p w14:paraId="67E00C43">
            <w:pPr>
              <w:widowControl/>
              <w:spacing w:line="360" w:lineRule="auto"/>
              <w:jc w:val="center"/>
              <w:rPr>
                <w:rFonts w:ascii="宋体" w:hAnsi="宋体"/>
                <w:color w:val="auto"/>
                <w:sz w:val="28"/>
                <w:szCs w:val="28"/>
              </w:rPr>
            </w:pPr>
          </w:p>
        </w:tc>
        <w:tc>
          <w:tcPr>
            <w:tcW w:w="993" w:type="dxa"/>
            <w:noWrap w:val="0"/>
            <w:vAlign w:val="center"/>
          </w:tcPr>
          <w:p w14:paraId="4BB3D146">
            <w:pPr>
              <w:widowControl/>
              <w:spacing w:line="360" w:lineRule="auto"/>
              <w:jc w:val="center"/>
              <w:rPr>
                <w:rFonts w:ascii="宋体" w:hAnsi="宋体"/>
                <w:color w:val="auto"/>
                <w:sz w:val="28"/>
                <w:szCs w:val="28"/>
              </w:rPr>
            </w:pPr>
          </w:p>
        </w:tc>
        <w:tc>
          <w:tcPr>
            <w:tcW w:w="708" w:type="dxa"/>
            <w:noWrap w:val="0"/>
            <w:vAlign w:val="center"/>
          </w:tcPr>
          <w:p w14:paraId="5C0FAB84">
            <w:pPr>
              <w:widowControl/>
              <w:spacing w:line="360" w:lineRule="auto"/>
              <w:jc w:val="center"/>
              <w:rPr>
                <w:rFonts w:ascii="宋体" w:hAnsi="宋体"/>
                <w:color w:val="auto"/>
                <w:sz w:val="28"/>
                <w:szCs w:val="28"/>
              </w:rPr>
            </w:pPr>
          </w:p>
        </w:tc>
        <w:tc>
          <w:tcPr>
            <w:tcW w:w="993" w:type="dxa"/>
            <w:noWrap w:val="0"/>
            <w:vAlign w:val="center"/>
          </w:tcPr>
          <w:p w14:paraId="0D25D0B1">
            <w:pPr>
              <w:widowControl/>
              <w:spacing w:line="360" w:lineRule="auto"/>
              <w:jc w:val="center"/>
              <w:rPr>
                <w:rFonts w:ascii="宋体" w:hAnsi="宋体"/>
                <w:color w:val="auto"/>
                <w:sz w:val="28"/>
                <w:szCs w:val="28"/>
              </w:rPr>
            </w:pPr>
          </w:p>
        </w:tc>
        <w:tc>
          <w:tcPr>
            <w:tcW w:w="1134" w:type="dxa"/>
            <w:noWrap w:val="0"/>
            <w:vAlign w:val="center"/>
          </w:tcPr>
          <w:p w14:paraId="13A81CF1">
            <w:pPr>
              <w:widowControl/>
              <w:spacing w:line="360" w:lineRule="auto"/>
              <w:jc w:val="center"/>
              <w:rPr>
                <w:rFonts w:ascii="宋体" w:hAnsi="宋体"/>
                <w:color w:val="auto"/>
                <w:sz w:val="28"/>
                <w:szCs w:val="28"/>
              </w:rPr>
            </w:pPr>
          </w:p>
        </w:tc>
        <w:tc>
          <w:tcPr>
            <w:tcW w:w="1559" w:type="dxa"/>
            <w:noWrap w:val="0"/>
            <w:vAlign w:val="center"/>
          </w:tcPr>
          <w:p w14:paraId="2DB96CCD">
            <w:pPr>
              <w:widowControl/>
              <w:spacing w:line="360" w:lineRule="auto"/>
              <w:jc w:val="center"/>
              <w:rPr>
                <w:rFonts w:ascii="宋体" w:hAnsi="宋体"/>
                <w:color w:val="auto"/>
                <w:sz w:val="28"/>
                <w:szCs w:val="28"/>
              </w:rPr>
            </w:pPr>
          </w:p>
        </w:tc>
        <w:tc>
          <w:tcPr>
            <w:tcW w:w="1701" w:type="dxa"/>
            <w:noWrap w:val="0"/>
            <w:vAlign w:val="center"/>
          </w:tcPr>
          <w:p w14:paraId="2B995A35">
            <w:pPr>
              <w:widowControl/>
              <w:spacing w:line="360" w:lineRule="auto"/>
              <w:jc w:val="center"/>
              <w:rPr>
                <w:rFonts w:ascii="宋体" w:hAnsi="宋体"/>
                <w:color w:val="auto"/>
                <w:sz w:val="28"/>
                <w:szCs w:val="28"/>
              </w:rPr>
            </w:pPr>
          </w:p>
        </w:tc>
      </w:tr>
    </w:tbl>
    <w:p w14:paraId="70CA8325">
      <w:pPr>
        <w:rPr>
          <w:rFonts w:hint="eastAsia"/>
          <w:color w:val="auto"/>
        </w:rPr>
      </w:pPr>
    </w:p>
    <w:p w14:paraId="6F63F639">
      <w:pPr>
        <w:widowControl/>
        <w:spacing w:line="480" w:lineRule="exact"/>
        <w:jc w:val="left"/>
        <w:rPr>
          <w:rFonts w:hint="eastAsia" w:ascii="宋体" w:hAnsi="宋体"/>
          <w:color w:val="auto"/>
          <w:sz w:val="28"/>
          <w:szCs w:val="28"/>
        </w:rPr>
      </w:pPr>
    </w:p>
    <w:p w14:paraId="711BA931">
      <w:pPr>
        <w:widowControl/>
        <w:spacing w:line="480" w:lineRule="exact"/>
        <w:jc w:val="left"/>
        <w:rPr>
          <w:rFonts w:hint="eastAsia" w:ascii="宋体" w:hAnsi="宋体"/>
          <w:color w:val="auto"/>
          <w:sz w:val="28"/>
          <w:szCs w:val="28"/>
        </w:rPr>
      </w:pPr>
    </w:p>
    <w:p w14:paraId="5A4F8EB5">
      <w:pPr>
        <w:widowControl/>
        <w:spacing w:line="480" w:lineRule="exact"/>
        <w:jc w:val="left"/>
        <w:rPr>
          <w:rFonts w:hint="eastAsia" w:ascii="宋体" w:hAnsi="宋体"/>
          <w:color w:val="auto"/>
          <w:sz w:val="28"/>
          <w:szCs w:val="28"/>
        </w:rPr>
      </w:pPr>
    </w:p>
    <w:p w14:paraId="64A7A256">
      <w:pPr>
        <w:widowControl/>
        <w:spacing w:line="480" w:lineRule="exact"/>
        <w:jc w:val="left"/>
        <w:rPr>
          <w:rFonts w:hint="eastAsia" w:ascii="宋体" w:hAnsi="宋体"/>
          <w:color w:val="auto"/>
          <w:sz w:val="28"/>
          <w:szCs w:val="28"/>
        </w:rPr>
      </w:pPr>
    </w:p>
    <w:p w14:paraId="17961B36">
      <w:pPr>
        <w:widowControl/>
        <w:spacing w:line="480" w:lineRule="exact"/>
        <w:jc w:val="left"/>
        <w:rPr>
          <w:rFonts w:hint="eastAsia" w:ascii="黑体" w:hAnsi="宋体" w:eastAsia="黑体"/>
          <w:color w:val="auto"/>
          <w:sz w:val="28"/>
          <w:szCs w:val="28"/>
        </w:rPr>
      </w:pPr>
      <w:r>
        <w:rPr>
          <w:rFonts w:hint="eastAsia" w:ascii="黑体" w:hAnsi="宋体" w:eastAsia="黑体"/>
          <w:color w:val="auto"/>
          <w:sz w:val="28"/>
          <w:szCs w:val="28"/>
        </w:rPr>
        <w:t>附件2：</w:t>
      </w:r>
    </w:p>
    <w:p w14:paraId="333F5C2D">
      <w:pPr>
        <w:widowControl/>
        <w:spacing w:line="360" w:lineRule="auto"/>
        <w:jc w:val="center"/>
        <w:rPr>
          <w:rFonts w:ascii="宋体" w:hAnsi="宋体"/>
          <w:b/>
          <w:color w:val="auto"/>
          <w:sz w:val="28"/>
          <w:szCs w:val="28"/>
        </w:rPr>
      </w:pPr>
      <w:r>
        <w:rPr>
          <w:rFonts w:hint="eastAsia" w:ascii="宋体" w:hAnsi="宋体"/>
          <w:b/>
          <w:color w:val="auto"/>
          <w:sz w:val="28"/>
          <w:szCs w:val="28"/>
        </w:rPr>
        <w:t>发包人供应材料设备一览表</w:t>
      </w:r>
    </w:p>
    <w:tbl>
      <w:tblPr>
        <w:tblStyle w:val="7"/>
        <w:tblW w:w="9072" w:type="dxa"/>
        <w:tblInd w:w="-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559"/>
        <w:gridCol w:w="1276"/>
        <w:gridCol w:w="992"/>
        <w:gridCol w:w="851"/>
        <w:gridCol w:w="1276"/>
        <w:gridCol w:w="1275"/>
        <w:gridCol w:w="1276"/>
      </w:tblGrid>
      <w:tr w14:paraId="48D3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00" w:hRule="atLeast"/>
        </w:trPr>
        <w:tc>
          <w:tcPr>
            <w:tcW w:w="567" w:type="dxa"/>
            <w:noWrap w:val="0"/>
            <w:vAlign w:val="center"/>
          </w:tcPr>
          <w:p w14:paraId="14732767">
            <w:pPr>
              <w:widowControl/>
              <w:jc w:val="center"/>
              <w:rPr>
                <w:rFonts w:ascii="宋体" w:hAnsi="宋体"/>
                <w:b/>
                <w:color w:val="auto"/>
                <w:sz w:val="24"/>
              </w:rPr>
            </w:pPr>
            <w:r>
              <w:rPr>
                <w:rFonts w:hint="eastAsia" w:ascii="宋体" w:hAnsi="宋体"/>
                <w:b/>
                <w:color w:val="auto"/>
                <w:sz w:val="24"/>
              </w:rPr>
              <w:t>序号</w:t>
            </w:r>
          </w:p>
        </w:tc>
        <w:tc>
          <w:tcPr>
            <w:tcW w:w="1559" w:type="dxa"/>
            <w:noWrap w:val="0"/>
            <w:vAlign w:val="center"/>
          </w:tcPr>
          <w:p w14:paraId="39F2990B">
            <w:pPr>
              <w:widowControl/>
              <w:jc w:val="center"/>
              <w:rPr>
                <w:rFonts w:hint="eastAsia" w:ascii="宋体" w:hAnsi="宋体"/>
                <w:b/>
                <w:color w:val="auto"/>
                <w:sz w:val="24"/>
              </w:rPr>
            </w:pPr>
            <w:r>
              <w:rPr>
                <w:rFonts w:hint="eastAsia" w:ascii="宋体" w:hAnsi="宋体"/>
                <w:b/>
                <w:color w:val="auto"/>
                <w:sz w:val="24"/>
              </w:rPr>
              <w:t>材料设备</w:t>
            </w:r>
          </w:p>
          <w:p w14:paraId="7E4F6F11">
            <w:pPr>
              <w:widowControl/>
              <w:jc w:val="center"/>
              <w:rPr>
                <w:rFonts w:ascii="宋体" w:hAnsi="宋体"/>
                <w:b/>
                <w:color w:val="auto"/>
                <w:sz w:val="24"/>
              </w:rPr>
            </w:pPr>
            <w:r>
              <w:rPr>
                <w:rFonts w:hint="eastAsia" w:ascii="宋体" w:hAnsi="宋体"/>
                <w:b/>
                <w:color w:val="auto"/>
                <w:sz w:val="24"/>
              </w:rPr>
              <w:t>品种</w:t>
            </w:r>
          </w:p>
        </w:tc>
        <w:tc>
          <w:tcPr>
            <w:tcW w:w="1276" w:type="dxa"/>
            <w:noWrap w:val="0"/>
            <w:vAlign w:val="center"/>
          </w:tcPr>
          <w:p w14:paraId="228A5E60">
            <w:pPr>
              <w:widowControl/>
              <w:jc w:val="center"/>
              <w:rPr>
                <w:rFonts w:ascii="宋体" w:hAnsi="宋体"/>
                <w:b/>
                <w:color w:val="auto"/>
                <w:sz w:val="24"/>
              </w:rPr>
            </w:pPr>
            <w:r>
              <w:rPr>
                <w:rFonts w:hint="eastAsia" w:ascii="宋体" w:hAnsi="宋体"/>
                <w:b/>
                <w:color w:val="auto"/>
                <w:sz w:val="24"/>
              </w:rPr>
              <w:t>规格型号</w:t>
            </w:r>
          </w:p>
        </w:tc>
        <w:tc>
          <w:tcPr>
            <w:tcW w:w="992" w:type="dxa"/>
            <w:noWrap w:val="0"/>
            <w:vAlign w:val="center"/>
          </w:tcPr>
          <w:p w14:paraId="7D3E95B0">
            <w:pPr>
              <w:widowControl/>
              <w:jc w:val="center"/>
              <w:rPr>
                <w:rFonts w:ascii="宋体" w:hAnsi="宋体"/>
                <w:b/>
                <w:color w:val="auto"/>
                <w:sz w:val="24"/>
              </w:rPr>
            </w:pPr>
            <w:r>
              <w:rPr>
                <w:rFonts w:hint="eastAsia" w:ascii="宋体" w:hAnsi="宋体"/>
                <w:b/>
                <w:color w:val="auto"/>
                <w:sz w:val="24"/>
              </w:rPr>
              <w:t>单位</w:t>
            </w:r>
          </w:p>
        </w:tc>
        <w:tc>
          <w:tcPr>
            <w:tcW w:w="851" w:type="dxa"/>
            <w:noWrap w:val="0"/>
            <w:vAlign w:val="center"/>
          </w:tcPr>
          <w:p w14:paraId="2E8D8430">
            <w:pPr>
              <w:widowControl/>
              <w:jc w:val="center"/>
              <w:rPr>
                <w:rFonts w:ascii="宋体" w:hAnsi="宋体"/>
                <w:b/>
                <w:color w:val="auto"/>
                <w:sz w:val="24"/>
              </w:rPr>
            </w:pPr>
            <w:r>
              <w:rPr>
                <w:rFonts w:hint="eastAsia" w:ascii="宋体" w:hAnsi="宋体"/>
                <w:b/>
                <w:color w:val="auto"/>
                <w:sz w:val="24"/>
              </w:rPr>
              <w:t>数量</w:t>
            </w:r>
          </w:p>
        </w:tc>
        <w:tc>
          <w:tcPr>
            <w:tcW w:w="1276" w:type="dxa"/>
            <w:noWrap w:val="0"/>
            <w:vAlign w:val="center"/>
          </w:tcPr>
          <w:p w14:paraId="28F460D4">
            <w:pPr>
              <w:widowControl/>
              <w:jc w:val="center"/>
              <w:rPr>
                <w:rFonts w:ascii="宋体" w:hAnsi="宋体"/>
                <w:b/>
                <w:color w:val="auto"/>
                <w:sz w:val="24"/>
              </w:rPr>
            </w:pPr>
            <w:r>
              <w:rPr>
                <w:rFonts w:hint="eastAsia" w:ascii="宋体" w:hAnsi="宋体"/>
                <w:b/>
                <w:color w:val="auto"/>
                <w:sz w:val="24"/>
              </w:rPr>
              <w:t>单价（元）</w:t>
            </w:r>
          </w:p>
        </w:tc>
        <w:tc>
          <w:tcPr>
            <w:tcW w:w="1275" w:type="dxa"/>
            <w:noWrap w:val="0"/>
            <w:vAlign w:val="center"/>
          </w:tcPr>
          <w:p w14:paraId="6CA1244C">
            <w:pPr>
              <w:widowControl/>
              <w:rPr>
                <w:rFonts w:ascii="宋体" w:hAnsi="宋体"/>
                <w:b/>
                <w:color w:val="auto"/>
                <w:sz w:val="24"/>
              </w:rPr>
            </w:pPr>
            <w:r>
              <w:rPr>
                <w:rFonts w:hint="eastAsia" w:ascii="宋体" w:hAnsi="宋体"/>
                <w:b/>
                <w:color w:val="auto"/>
                <w:sz w:val="24"/>
              </w:rPr>
              <w:t>合价（元）</w:t>
            </w:r>
          </w:p>
        </w:tc>
        <w:tc>
          <w:tcPr>
            <w:tcW w:w="1276" w:type="dxa"/>
            <w:noWrap w:val="0"/>
            <w:vAlign w:val="center"/>
          </w:tcPr>
          <w:p w14:paraId="14F9EAF5">
            <w:pPr>
              <w:widowControl/>
              <w:jc w:val="center"/>
              <w:rPr>
                <w:rFonts w:ascii="宋体" w:hAnsi="宋体"/>
                <w:b/>
                <w:color w:val="auto"/>
                <w:sz w:val="24"/>
              </w:rPr>
            </w:pPr>
            <w:r>
              <w:rPr>
                <w:rFonts w:hint="eastAsia" w:ascii="宋体" w:hAnsi="宋体"/>
                <w:b/>
                <w:color w:val="auto"/>
                <w:sz w:val="24"/>
              </w:rPr>
              <w:t>备注</w:t>
            </w:r>
          </w:p>
        </w:tc>
      </w:tr>
      <w:tr w14:paraId="1BBC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852" w:hRule="atLeast"/>
        </w:trPr>
        <w:tc>
          <w:tcPr>
            <w:tcW w:w="567" w:type="dxa"/>
            <w:noWrap w:val="0"/>
            <w:vAlign w:val="center"/>
          </w:tcPr>
          <w:p w14:paraId="69BC41DD">
            <w:pPr>
              <w:widowControl/>
              <w:spacing w:line="360" w:lineRule="auto"/>
              <w:jc w:val="center"/>
              <w:rPr>
                <w:rFonts w:ascii="宋体" w:hAnsi="宋体"/>
                <w:color w:val="auto"/>
                <w:sz w:val="28"/>
                <w:szCs w:val="28"/>
              </w:rPr>
            </w:pPr>
          </w:p>
        </w:tc>
        <w:tc>
          <w:tcPr>
            <w:tcW w:w="1559" w:type="dxa"/>
            <w:noWrap w:val="0"/>
            <w:vAlign w:val="center"/>
          </w:tcPr>
          <w:p w14:paraId="669A4FF7">
            <w:pPr>
              <w:widowControl/>
              <w:spacing w:line="360" w:lineRule="auto"/>
              <w:jc w:val="center"/>
              <w:rPr>
                <w:rFonts w:ascii="宋体" w:hAnsi="宋体"/>
                <w:color w:val="auto"/>
                <w:sz w:val="28"/>
                <w:szCs w:val="28"/>
              </w:rPr>
            </w:pPr>
          </w:p>
        </w:tc>
        <w:tc>
          <w:tcPr>
            <w:tcW w:w="1276" w:type="dxa"/>
            <w:noWrap w:val="0"/>
            <w:vAlign w:val="center"/>
          </w:tcPr>
          <w:p w14:paraId="21FEDD07">
            <w:pPr>
              <w:widowControl/>
              <w:spacing w:line="360" w:lineRule="auto"/>
              <w:jc w:val="center"/>
              <w:rPr>
                <w:rFonts w:ascii="宋体" w:hAnsi="宋体"/>
                <w:color w:val="auto"/>
                <w:sz w:val="28"/>
                <w:szCs w:val="28"/>
              </w:rPr>
            </w:pPr>
          </w:p>
        </w:tc>
        <w:tc>
          <w:tcPr>
            <w:tcW w:w="992" w:type="dxa"/>
            <w:noWrap w:val="0"/>
            <w:vAlign w:val="center"/>
          </w:tcPr>
          <w:p w14:paraId="2D9695EE">
            <w:pPr>
              <w:widowControl/>
              <w:spacing w:line="360" w:lineRule="auto"/>
              <w:jc w:val="center"/>
              <w:rPr>
                <w:rFonts w:ascii="宋体" w:hAnsi="宋体"/>
                <w:color w:val="auto"/>
                <w:sz w:val="28"/>
                <w:szCs w:val="28"/>
              </w:rPr>
            </w:pPr>
          </w:p>
        </w:tc>
        <w:tc>
          <w:tcPr>
            <w:tcW w:w="851" w:type="dxa"/>
            <w:noWrap w:val="0"/>
            <w:vAlign w:val="center"/>
          </w:tcPr>
          <w:p w14:paraId="64AFB3C6">
            <w:pPr>
              <w:widowControl/>
              <w:spacing w:line="360" w:lineRule="auto"/>
              <w:jc w:val="center"/>
              <w:rPr>
                <w:rFonts w:ascii="宋体" w:hAnsi="宋体"/>
                <w:color w:val="auto"/>
                <w:sz w:val="28"/>
                <w:szCs w:val="28"/>
              </w:rPr>
            </w:pPr>
          </w:p>
        </w:tc>
        <w:tc>
          <w:tcPr>
            <w:tcW w:w="1276" w:type="dxa"/>
            <w:noWrap w:val="0"/>
            <w:vAlign w:val="center"/>
          </w:tcPr>
          <w:p w14:paraId="2E2B833A">
            <w:pPr>
              <w:widowControl/>
              <w:spacing w:line="360" w:lineRule="auto"/>
              <w:jc w:val="center"/>
              <w:rPr>
                <w:rFonts w:ascii="宋体" w:hAnsi="宋体"/>
                <w:color w:val="auto"/>
                <w:sz w:val="28"/>
                <w:szCs w:val="28"/>
              </w:rPr>
            </w:pPr>
          </w:p>
        </w:tc>
        <w:tc>
          <w:tcPr>
            <w:tcW w:w="1275" w:type="dxa"/>
            <w:noWrap w:val="0"/>
            <w:vAlign w:val="center"/>
          </w:tcPr>
          <w:p w14:paraId="0BA97D59">
            <w:pPr>
              <w:widowControl/>
              <w:spacing w:line="360" w:lineRule="auto"/>
              <w:jc w:val="center"/>
              <w:rPr>
                <w:rFonts w:ascii="宋体" w:hAnsi="宋体"/>
                <w:color w:val="auto"/>
                <w:sz w:val="28"/>
                <w:szCs w:val="28"/>
              </w:rPr>
            </w:pPr>
          </w:p>
        </w:tc>
        <w:tc>
          <w:tcPr>
            <w:tcW w:w="1276" w:type="dxa"/>
            <w:noWrap w:val="0"/>
            <w:vAlign w:val="center"/>
          </w:tcPr>
          <w:p w14:paraId="5DD3215C">
            <w:pPr>
              <w:widowControl/>
              <w:spacing w:line="360" w:lineRule="auto"/>
              <w:jc w:val="center"/>
              <w:rPr>
                <w:rFonts w:ascii="宋体" w:hAnsi="宋体"/>
                <w:color w:val="auto"/>
                <w:sz w:val="28"/>
                <w:szCs w:val="28"/>
              </w:rPr>
            </w:pPr>
          </w:p>
        </w:tc>
      </w:tr>
      <w:tr w14:paraId="3286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78" w:hRule="atLeast"/>
        </w:trPr>
        <w:tc>
          <w:tcPr>
            <w:tcW w:w="567" w:type="dxa"/>
            <w:noWrap w:val="0"/>
            <w:vAlign w:val="center"/>
          </w:tcPr>
          <w:p w14:paraId="138D1BB9">
            <w:pPr>
              <w:widowControl/>
              <w:spacing w:line="360" w:lineRule="auto"/>
              <w:jc w:val="center"/>
              <w:rPr>
                <w:rFonts w:ascii="宋体" w:hAnsi="宋体"/>
                <w:color w:val="auto"/>
                <w:sz w:val="28"/>
                <w:szCs w:val="28"/>
              </w:rPr>
            </w:pPr>
          </w:p>
        </w:tc>
        <w:tc>
          <w:tcPr>
            <w:tcW w:w="1559" w:type="dxa"/>
            <w:noWrap w:val="0"/>
            <w:vAlign w:val="center"/>
          </w:tcPr>
          <w:p w14:paraId="0FF5B20A">
            <w:pPr>
              <w:widowControl/>
              <w:spacing w:line="360" w:lineRule="auto"/>
              <w:jc w:val="center"/>
              <w:rPr>
                <w:rFonts w:ascii="宋体" w:hAnsi="宋体"/>
                <w:color w:val="auto"/>
                <w:sz w:val="28"/>
                <w:szCs w:val="28"/>
              </w:rPr>
            </w:pPr>
          </w:p>
        </w:tc>
        <w:tc>
          <w:tcPr>
            <w:tcW w:w="1276" w:type="dxa"/>
            <w:noWrap w:val="0"/>
            <w:vAlign w:val="center"/>
          </w:tcPr>
          <w:p w14:paraId="5D89E7A6">
            <w:pPr>
              <w:widowControl/>
              <w:spacing w:line="360" w:lineRule="auto"/>
              <w:jc w:val="center"/>
              <w:rPr>
                <w:rFonts w:ascii="宋体" w:hAnsi="宋体"/>
                <w:color w:val="auto"/>
                <w:sz w:val="28"/>
                <w:szCs w:val="28"/>
              </w:rPr>
            </w:pPr>
          </w:p>
        </w:tc>
        <w:tc>
          <w:tcPr>
            <w:tcW w:w="992" w:type="dxa"/>
            <w:noWrap w:val="0"/>
            <w:vAlign w:val="center"/>
          </w:tcPr>
          <w:p w14:paraId="71201080">
            <w:pPr>
              <w:widowControl/>
              <w:spacing w:line="360" w:lineRule="auto"/>
              <w:jc w:val="center"/>
              <w:rPr>
                <w:rFonts w:ascii="宋体" w:hAnsi="宋体"/>
                <w:color w:val="auto"/>
                <w:sz w:val="28"/>
                <w:szCs w:val="28"/>
              </w:rPr>
            </w:pPr>
          </w:p>
        </w:tc>
        <w:tc>
          <w:tcPr>
            <w:tcW w:w="851" w:type="dxa"/>
            <w:noWrap w:val="0"/>
            <w:vAlign w:val="center"/>
          </w:tcPr>
          <w:p w14:paraId="3A4AE4AC">
            <w:pPr>
              <w:widowControl/>
              <w:spacing w:line="360" w:lineRule="auto"/>
              <w:jc w:val="center"/>
              <w:rPr>
                <w:rFonts w:ascii="宋体" w:hAnsi="宋体"/>
                <w:color w:val="auto"/>
                <w:sz w:val="28"/>
                <w:szCs w:val="28"/>
              </w:rPr>
            </w:pPr>
          </w:p>
        </w:tc>
        <w:tc>
          <w:tcPr>
            <w:tcW w:w="1276" w:type="dxa"/>
            <w:noWrap w:val="0"/>
            <w:vAlign w:val="center"/>
          </w:tcPr>
          <w:p w14:paraId="277C7856">
            <w:pPr>
              <w:widowControl/>
              <w:spacing w:line="360" w:lineRule="auto"/>
              <w:jc w:val="center"/>
              <w:rPr>
                <w:rFonts w:ascii="宋体" w:hAnsi="宋体"/>
                <w:color w:val="auto"/>
                <w:sz w:val="28"/>
                <w:szCs w:val="28"/>
              </w:rPr>
            </w:pPr>
          </w:p>
        </w:tc>
        <w:tc>
          <w:tcPr>
            <w:tcW w:w="1275" w:type="dxa"/>
            <w:noWrap w:val="0"/>
            <w:vAlign w:val="center"/>
          </w:tcPr>
          <w:p w14:paraId="0FC3B767">
            <w:pPr>
              <w:widowControl/>
              <w:spacing w:line="360" w:lineRule="auto"/>
              <w:jc w:val="center"/>
              <w:rPr>
                <w:rFonts w:ascii="宋体" w:hAnsi="宋体"/>
                <w:color w:val="auto"/>
                <w:sz w:val="28"/>
                <w:szCs w:val="28"/>
              </w:rPr>
            </w:pPr>
          </w:p>
        </w:tc>
        <w:tc>
          <w:tcPr>
            <w:tcW w:w="1276" w:type="dxa"/>
            <w:noWrap w:val="0"/>
            <w:vAlign w:val="center"/>
          </w:tcPr>
          <w:p w14:paraId="3D9542D2">
            <w:pPr>
              <w:widowControl/>
              <w:spacing w:line="360" w:lineRule="auto"/>
              <w:jc w:val="center"/>
              <w:rPr>
                <w:rFonts w:ascii="宋体" w:hAnsi="宋体"/>
                <w:color w:val="auto"/>
                <w:sz w:val="28"/>
                <w:szCs w:val="28"/>
              </w:rPr>
            </w:pPr>
          </w:p>
        </w:tc>
      </w:tr>
      <w:tr w14:paraId="0D34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19" w:hRule="atLeast"/>
        </w:trPr>
        <w:tc>
          <w:tcPr>
            <w:tcW w:w="567" w:type="dxa"/>
            <w:noWrap w:val="0"/>
            <w:vAlign w:val="center"/>
          </w:tcPr>
          <w:p w14:paraId="093D7528">
            <w:pPr>
              <w:widowControl/>
              <w:spacing w:line="360" w:lineRule="auto"/>
              <w:jc w:val="center"/>
              <w:rPr>
                <w:rFonts w:ascii="宋体" w:hAnsi="宋体"/>
                <w:color w:val="auto"/>
                <w:sz w:val="28"/>
                <w:szCs w:val="28"/>
              </w:rPr>
            </w:pPr>
          </w:p>
        </w:tc>
        <w:tc>
          <w:tcPr>
            <w:tcW w:w="1559" w:type="dxa"/>
            <w:noWrap w:val="0"/>
            <w:vAlign w:val="center"/>
          </w:tcPr>
          <w:p w14:paraId="7F96C362">
            <w:pPr>
              <w:widowControl/>
              <w:spacing w:line="360" w:lineRule="auto"/>
              <w:jc w:val="center"/>
              <w:rPr>
                <w:rFonts w:ascii="宋体" w:hAnsi="宋体"/>
                <w:color w:val="auto"/>
                <w:sz w:val="28"/>
                <w:szCs w:val="28"/>
              </w:rPr>
            </w:pPr>
          </w:p>
        </w:tc>
        <w:tc>
          <w:tcPr>
            <w:tcW w:w="1276" w:type="dxa"/>
            <w:noWrap w:val="0"/>
            <w:vAlign w:val="center"/>
          </w:tcPr>
          <w:p w14:paraId="446BFE68">
            <w:pPr>
              <w:widowControl/>
              <w:spacing w:line="360" w:lineRule="auto"/>
              <w:jc w:val="center"/>
              <w:rPr>
                <w:rFonts w:ascii="宋体" w:hAnsi="宋体"/>
                <w:color w:val="auto"/>
                <w:sz w:val="28"/>
                <w:szCs w:val="28"/>
              </w:rPr>
            </w:pPr>
          </w:p>
        </w:tc>
        <w:tc>
          <w:tcPr>
            <w:tcW w:w="992" w:type="dxa"/>
            <w:noWrap w:val="0"/>
            <w:vAlign w:val="center"/>
          </w:tcPr>
          <w:p w14:paraId="3FABEC5F">
            <w:pPr>
              <w:widowControl/>
              <w:spacing w:line="360" w:lineRule="auto"/>
              <w:jc w:val="center"/>
              <w:rPr>
                <w:rFonts w:ascii="宋体" w:hAnsi="宋体"/>
                <w:color w:val="auto"/>
                <w:sz w:val="28"/>
                <w:szCs w:val="28"/>
              </w:rPr>
            </w:pPr>
          </w:p>
        </w:tc>
        <w:tc>
          <w:tcPr>
            <w:tcW w:w="851" w:type="dxa"/>
            <w:noWrap w:val="0"/>
            <w:vAlign w:val="center"/>
          </w:tcPr>
          <w:p w14:paraId="1BD826C1">
            <w:pPr>
              <w:widowControl/>
              <w:spacing w:line="360" w:lineRule="auto"/>
              <w:jc w:val="center"/>
              <w:rPr>
                <w:rFonts w:ascii="宋体" w:hAnsi="宋体"/>
                <w:color w:val="auto"/>
                <w:sz w:val="28"/>
                <w:szCs w:val="28"/>
              </w:rPr>
            </w:pPr>
          </w:p>
        </w:tc>
        <w:tc>
          <w:tcPr>
            <w:tcW w:w="1276" w:type="dxa"/>
            <w:noWrap w:val="0"/>
            <w:vAlign w:val="center"/>
          </w:tcPr>
          <w:p w14:paraId="1562961C">
            <w:pPr>
              <w:widowControl/>
              <w:spacing w:line="360" w:lineRule="auto"/>
              <w:jc w:val="center"/>
              <w:rPr>
                <w:rFonts w:ascii="宋体" w:hAnsi="宋体"/>
                <w:color w:val="auto"/>
                <w:sz w:val="28"/>
                <w:szCs w:val="28"/>
              </w:rPr>
            </w:pPr>
          </w:p>
        </w:tc>
        <w:tc>
          <w:tcPr>
            <w:tcW w:w="1275" w:type="dxa"/>
            <w:noWrap w:val="0"/>
            <w:vAlign w:val="center"/>
          </w:tcPr>
          <w:p w14:paraId="2CDF5E25">
            <w:pPr>
              <w:widowControl/>
              <w:spacing w:line="360" w:lineRule="auto"/>
              <w:jc w:val="center"/>
              <w:rPr>
                <w:rFonts w:ascii="宋体" w:hAnsi="宋体"/>
                <w:color w:val="auto"/>
                <w:sz w:val="28"/>
                <w:szCs w:val="28"/>
              </w:rPr>
            </w:pPr>
          </w:p>
        </w:tc>
        <w:tc>
          <w:tcPr>
            <w:tcW w:w="1276" w:type="dxa"/>
            <w:noWrap w:val="0"/>
            <w:vAlign w:val="center"/>
          </w:tcPr>
          <w:p w14:paraId="0701632D">
            <w:pPr>
              <w:widowControl/>
              <w:spacing w:line="360" w:lineRule="auto"/>
              <w:jc w:val="center"/>
              <w:rPr>
                <w:rFonts w:ascii="宋体" w:hAnsi="宋体"/>
                <w:color w:val="auto"/>
                <w:sz w:val="28"/>
                <w:szCs w:val="28"/>
              </w:rPr>
            </w:pPr>
          </w:p>
        </w:tc>
      </w:tr>
      <w:tr w14:paraId="51198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93" w:hRule="atLeast"/>
        </w:trPr>
        <w:tc>
          <w:tcPr>
            <w:tcW w:w="567" w:type="dxa"/>
            <w:noWrap w:val="0"/>
            <w:vAlign w:val="center"/>
          </w:tcPr>
          <w:p w14:paraId="55F2BD62">
            <w:pPr>
              <w:widowControl/>
              <w:spacing w:line="360" w:lineRule="auto"/>
              <w:jc w:val="center"/>
              <w:rPr>
                <w:rFonts w:ascii="宋体" w:hAnsi="宋体"/>
                <w:color w:val="auto"/>
                <w:sz w:val="28"/>
                <w:szCs w:val="28"/>
              </w:rPr>
            </w:pPr>
          </w:p>
        </w:tc>
        <w:tc>
          <w:tcPr>
            <w:tcW w:w="1559" w:type="dxa"/>
            <w:noWrap w:val="0"/>
            <w:vAlign w:val="center"/>
          </w:tcPr>
          <w:p w14:paraId="07315C6D">
            <w:pPr>
              <w:widowControl/>
              <w:spacing w:line="360" w:lineRule="auto"/>
              <w:jc w:val="center"/>
              <w:rPr>
                <w:rFonts w:ascii="宋体" w:hAnsi="宋体"/>
                <w:color w:val="auto"/>
                <w:sz w:val="28"/>
                <w:szCs w:val="28"/>
              </w:rPr>
            </w:pPr>
          </w:p>
        </w:tc>
        <w:tc>
          <w:tcPr>
            <w:tcW w:w="1276" w:type="dxa"/>
            <w:noWrap w:val="0"/>
            <w:vAlign w:val="center"/>
          </w:tcPr>
          <w:p w14:paraId="4E061977">
            <w:pPr>
              <w:widowControl/>
              <w:spacing w:line="360" w:lineRule="auto"/>
              <w:jc w:val="center"/>
              <w:rPr>
                <w:rFonts w:ascii="宋体" w:hAnsi="宋体"/>
                <w:color w:val="auto"/>
                <w:sz w:val="28"/>
                <w:szCs w:val="28"/>
              </w:rPr>
            </w:pPr>
          </w:p>
        </w:tc>
        <w:tc>
          <w:tcPr>
            <w:tcW w:w="992" w:type="dxa"/>
            <w:noWrap w:val="0"/>
            <w:vAlign w:val="center"/>
          </w:tcPr>
          <w:p w14:paraId="1E6F4FAF">
            <w:pPr>
              <w:widowControl/>
              <w:spacing w:line="360" w:lineRule="auto"/>
              <w:jc w:val="center"/>
              <w:rPr>
                <w:rFonts w:ascii="宋体" w:hAnsi="宋体"/>
                <w:color w:val="auto"/>
                <w:sz w:val="28"/>
                <w:szCs w:val="28"/>
              </w:rPr>
            </w:pPr>
          </w:p>
        </w:tc>
        <w:tc>
          <w:tcPr>
            <w:tcW w:w="851" w:type="dxa"/>
            <w:noWrap w:val="0"/>
            <w:vAlign w:val="center"/>
          </w:tcPr>
          <w:p w14:paraId="6D42C5B2">
            <w:pPr>
              <w:widowControl/>
              <w:spacing w:line="360" w:lineRule="auto"/>
              <w:jc w:val="center"/>
              <w:rPr>
                <w:rFonts w:ascii="宋体" w:hAnsi="宋体"/>
                <w:color w:val="auto"/>
                <w:sz w:val="28"/>
                <w:szCs w:val="28"/>
              </w:rPr>
            </w:pPr>
          </w:p>
        </w:tc>
        <w:tc>
          <w:tcPr>
            <w:tcW w:w="1276" w:type="dxa"/>
            <w:noWrap w:val="0"/>
            <w:vAlign w:val="center"/>
          </w:tcPr>
          <w:p w14:paraId="0AB139B2">
            <w:pPr>
              <w:widowControl/>
              <w:spacing w:line="360" w:lineRule="auto"/>
              <w:jc w:val="center"/>
              <w:rPr>
                <w:rFonts w:ascii="宋体" w:hAnsi="宋体"/>
                <w:color w:val="auto"/>
                <w:sz w:val="28"/>
                <w:szCs w:val="28"/>
              </w:rPr>
            </w:pPr>
          </w:p>
        </w:tc>
        <w:tc>
          <w:tcPr>
            <w:tcW w:w="1275" w:type="dxa"/>
            <w:noWrap w:val="0"/>
            <w:vAlign w:val="center"/>
          </w:tcPr>
          <w:p w14:paraId="6CD78D74">
            <w:pPr>
              <w:widowControl/>
              <w:spacing w:line="360" w:lineRule="auto"/>
              <w:jc w:val="center"/>
              <w:rPr>
                <w:rFonts w:ascii="宋体" w:hAnsi="宋体"/>
                <w:color w:val="auto"/>
                <w:sz w:val="28"/>
                <w:szCs w:val="28"/>
              </w:rPr>
            </w:pPr>
          </w:p>
        </w:tc>
        <w:tc>
          <w:tcPr>
            <w:tcW w:w="1276" w:type="dxa"/>
            <w:noWrap w:val="0"/>
            <w:vAlign w:val="center"/>
          </w:tcPr>
          <w:p w14:paraId="3963EAEA">
            <w:pPr>
              <w:widowControl/>
              <w:spacing w:line="360" w:lineRule="auto"/>
              <w:jc w:val="center"/>
              <w:rPr>
                <w:rFonts w:ascii="宋体" w:hAnsi="宋体"/>
                <w:color w:val="auto"/>
                <w:sz w:val="28"/>
                <w:szCs w:val="28"/>
              </w:rPr>
            </w:pPr>
          </w:p>
        </w:tc>
      </w:tr>
      <w:tr w14:paraId="6D4B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93" w:hRule="atLeast"/>
        </w:trPr>
        <w:tc>
          <w:tcPr>
            <w:tcW w:w="567" w:type="dxa"/>
            <w:noWrap w:val="0"/>
            <w:vAlign w:val="center"/>
          </w:tcPr>
          <w:p w14:paraId="2AF120F5">
            <w:pPr>
              <w:widowControl/>
              <w:spacing w:line="360" w:lineRule="auto"/>
              <w:jc w:val="center"/>
              <w:rPr>
                <w:rFonts w:ascii="宋体" w:hAnsi="宋体"/>
                <w:color w:val="auto"/>
                <w:sz w:val="28"/>
                <w:szCs w:val="28"/>
              </w:rPr>
            </w:pPr>
          </w:p>
        </w:tc>
        <w:tc>
          <w:tcPr>
            <w:tcW w:w="1559" w:type="dxa"/>
            <w:noWrap w:val="0"/>
            <w:vAlign w:val="center"/>
          </w:tcPr>
          <w:p w14:paraId="734CA193">
            <w:pPr>
              <w:widowControl/>
              <w:spacing w:line="360" w:lineRule="auto"/>
              <w:jc w:val="center"/>
              <w:rPr>
                <w:rFonts w:ascii="宋体" w:hAnsi="宋体"/>
                <w:color w:val="auto"/>
                <w:sz w:val="28"/>
                <w:szCs w:val="28"/>
              </w:rPr>
            </w:pPr>
          </w:p>
        </w:tc>
        <w:tc>
          <w:tcPr>
            <w:tcW w:w="1276" w:type="dxa"/>
            <w:noWrap w:val="0"/>
            <w:vAlign w:val="center"/>
          </w:tcPr>
          <w:p w14:paraId="066CEA54">
            <w:pPr>
              <w:widowControl/>
              <w:spacing w:line="360" w:lineRule="auto"/>
              <w:jc w:val="center"/>
              <w:rPr>
                <w:rFonts w:ascii="宋体" w:hAnsi="宋体"/>
                <w:color w:val="auto"/>
                <w:sz w:val="28"/>
                <w:szCs w:val="28"/>
              </w:rPr>
            </w:pPr>
          </w:p>
        </w:tc>
        <w:tc>
          <w:tcPr>
            <w:tcW w:w="992" w:type="dxa"/>
            <w:noWrap w:val="0"/>
            <w:vAlign w:val="center"/>
          </w:tcPr>
          <w:p w14:paraId="283CF785">
            <w:pPr>
              <w:widowControl/>
              <w:spacing w:line="360" w:lineRule="auto"/>
              <w:jc w:val="center"/>
              <w:rPr>
                <w:rFonts w:ascii="宋体" w:hAnsi="宋体"/>
                <w:color w:val="auto"/>
                <w:sz w:val="28"/>
                <w:szCs w:val="28"/>
              </w:rPr>
            </w:pPr>
          </w:p>
        </w:tc>
        <w:tc>
          <w:tcPr>
            <w:tcW w:w="851" w:type="dxa"/>
            <w:noWrap w:val="0"/>
            <w:vAlign w:val="center"/>
          </w:tcPr>
          <w:p w14:paraId="1C761921">
            <w:pPr>
              <w:widowControl/>
              <w:spacing w:line="360" w:lineRule="auto"/>
              <w:jc w:val="center"/>
              <w:rPr>
                <w:rFonts w:ascii="宋体" w:hAnsi="宋体"/>
                <w:color w:val="auto"/>
                <w:sz w:val="28"/>
                <w:szCs w:val="28"/>
              </w:rPr>
            </w:pPr>
          </w:p>
        </w:tc>
        <w:tc>
          <w:tcPr>
            <w:tcW w:w="1276" w:type="dxa"/>
            <w:noWrap w:val="0"/>
            <w:vAlign w:val="center"/>
          </w:tcPr>
          <w:p w14:paraId="68B145E9">
            <w:pPr>
              <w:widowControl/>
              <w:spacing w:line="360" w:lineRule="auto"/>
              <w:jc w:val="center"/>
              <w:rPr>
                <w:rFonts w:ascii="宋体" w:hAnsi="宋体"/>
                <w:color w:val="auto"/>
                <w:sz w:val="28"/>
                <w:szCs w:val="28"/>
              </w:rPr>
            </w:pPr>
          </w:p>
        </w:tc>
        <w:tc>
          <w:tcPr>
            <w:tcW w:w="1275" w:type="dxa"/>
            <w:noWrap w:val="0"/>
            <w:vAlign w:val="center"/>
          </w:tcPr>
          <w:p w14:paraId="4FE65338">
            <w:pPr>
              <w:widowControl/>
              <w:spacing w:line="360" w:lineRule="auto"/>
              <w:jc w:val="center"/>
              <w:rPr>
                <w:rFonts w:ascii="宋体" w:hAnsi="宋体"/>
                <w:color w:val="auto"/>
                <w:sz w:val="28"/>
                <w:szCs w:val="28"/>
              </w:rPr>
            </w:pPr>
          </w:p>
        </w:tc>
        <w:tc>
          <w:tcPr>
            <w:tcW w:w="1276" w:type="dxa"/>
            <w:noWrap w:val="0"/>
            <w:vAlign w:val="center"/>
          </w:tcPr>
          <w:p w14:paraId="450883BC">
            <w:pPr>
              <w:widowControl/>
              <w:spacing w:line="360" w:lineRule="auto"/>
              <w:jc w:val="center"/>
              <w:rPr>
                <w:rFonts w:ascii="宋体" w:hAnsi="宋体"/>
                <w:color w:val="auto"/>
                <w:sz w:val="28"/>
                <w:szCs w:val="28"/>
              </w:rPr>
            </w:pPr>
          </w:p>
        </w:tc>
      </w:tr>
      <w:tr w14:paraId="2AA0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07" w:hRule="atLeast"/>
        </w:trPr>
        <w:tc>
          <w:tcPr>
            <w:tcW w:w="567" w:type="dxa"/>
            <w:noWrap w:val="0"/>
            <w:vAlign w:val="center"/>
          </w:tcPr>
          <w:p w14:paraId="416EA3C5">
            <w:pPr>
              <w:widowControl/>
              <w:spacing w:line="360" w:lineRule="auto"/>
              <w:jc w:val="center"/>
              <w:rPr>
                <w:rFonts w:ascii="宋体" w:hAnsi="宋体"/>
                <w:color w:val="auto"/>
                <w:sz w:val="28"/>
                <w:szCs w:val="28"/>
              </w:rPr>
            </w:pPr>
          </w:p>
        </w:tc>
        <w:tc>
          <w:tcPr>
            <w:tcW w:w="1559" w:type="dxa"/>
            <w:noWrap w:val="0"/>
            <w:vAlign w:val="center"/>
          </w:tcPr>
          <w:p w14:paraId="2F6AE88F">
            <w:pPr>
              <w:widowControl/>
              <w:spacing w:line="360" w:lineRule="auto"/>
              <w:jc w:val="center"/>
              <w:rPr>
                <w:rFonts w:ascii="宋体" w:hAnsi="宋体"/>
                <w:color w:val="auto"/>
                <w:sz w:val="28"/>
                <w:szCs w:val="28"/>
              </w:rPr>
            </w:pPr>
          </w:p>
        </w:tc>
        <w:tc>
          <w:tcPr>
            <w:tcW w:w="1276" w:type="dxa"/>
            <w:noWrap w:val="0"/>
            <w:vAlign w:val="center"/>
          </w:tcPr>
          <w:p w14:paraId="6F6F9869">
            <w:pPr>
              <w:widowControl/>
              <w:spacing w:line="360" w:lineRule="auto"/>
              <w:jc w:val="center"/>
              <w:rPr>
                <w:rFonts w:ascii="宋体" w:hAnsi="宋体"/>
                <w:color w:val="auto"/>
                <w:sz w:val="28"/>
                <w:szCs w:val="28"/>
              </w:rPr>
            </w:pPr>
          </w:p>
        </w:tc>
        <w:tc>
          <w:tcPr>
            <w:tcW w:w="992" w:type="dxa"/>
            <w:noWrap w:val="0"/>
            <w:vAlign w:val="center"/>
          </w:tcPr>
          <w:p w14:paraId="2C68AD39">
            <w:pPr>
              <w:widowControl/>
              <w:spacing w:line="360" w:lineRule="auto"/>
              <w:jc w:val="center"/>
              <w:rPr>
                <w:rFonts w:ascii="宋体" w:hAnsi="宋体"/>
                <w:color w:val="auto"/>
                <w:sz w:val="28"/>
                <w:szCs w:val="28"/>
              </w:rPr>
            </w:pPr>
          </w:p>
        </w:tc>
        <w:tc>
          <w:tcPr>
            <w:tcW w:w="851" w:type="dxa"/>
            <w:noWrap w:val="0"/>
            <w:vAlign w:val="center"/>
          </w:tcPr>
          <w:p w14:paraId="10DFC30A">
            <w:pPr>
              <w:widowControl/>
              <w:spacing w:line="360" w:lineRule="auto"/>
              <w:jc w:val="center"/>
              <w:rPr>
                <w:rFonts w:ascii="宋体" w:hAnsi="宋体"/>
                <w:color w:val="auto"/>
                <w:sz w:val="28"/>
                <w:szCs w:val="28"/>
              </w:rPr>
            </w:pPr>
          </w:p>
        </w:tc>
        <w:tc>
          <w:tcPr>
            <w:tcW w:w="1276" w:type="dxa"/>
            <w:noWrap w:val="0"/>
            <w:vAlign w:val="center"/>
          </w:tcPr>
          <w:p w14:paraId="4AFDB1ED">
            <w:pPr>
              <w:widowControl/>
              <w:spacing w:line="360" w:lineRule="auto"/>
              <w:jc w:val="center"/>
              <w:rPr>
                <w:rFonts w:ascii="宋体" w:hAnsi="宋体"/>
                <w:color w:val="auto"/>
                <w:sz w:val="28"/>
                <w:szCs w:val="28"/>
              </w:rPr>
            </w:pPr>
          </w:p>
        </w:tc>
        <w:tc>
          <w:tcPr>
            <w:tcW w:w="1275" w:type="dxa"/>
            <w:noWrap w:val="0"/>
            <w:vAlign w:val="center"/>
          </w:tcPr>
          <w:p w14:paraId="780F0C66">
            <w:pPr>
              <w:widowControl/>
              <w:spacing w:line="360" w:lineRule="auto"/>
              <w:jc w:val="center"/>
              <w:rPr>
                <w:rFonts w:ascii="宋体" w:hAnsi="宋体"/>
                <w:color w:val="auto"/>
                <w:sz w:val="28"/>
                <w:szCs w:val="28"/>
              </w:rPr>
            </w:pPr>
          </w:p>
        </w:tc>
        <w:tc>
          <w:tcPr>
            <w:tcW w:w="1276" w:type="dxa"/>
            <w:noWrap w:val="0"/>
            <w:vAlign w:val="center"/>
          </w:tcPr>
          <w:p w14:paraId="1988A0B8">
            <w:pPr>
              <w:widowControl/>
              <w:spacing w:line="360" w:lineRule="auto"/>
              <w:jc w:val="center"/>
              <w:rPr>
                <w:rFonts w:ascii="宋体" w:hAnsi="宋体"/>
                <w:color w:val="auto"/>
                <w:sz w:val="28"/>
                <w:szCs w:val="28"/>
              </w:rPr>
            </w:pPr>
          </w:p>
        </w:tc>
      </w:tr>
      <w:tr w14:paraId="4C8E2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07" w:hRule="atLeast"/>
        </w:trPr>
        <w:tc>
          <w:tcPr>
            <w:tcW w:w="567" w:type="dxa"/>
            <w:noWrap w:val="0"/>
            <w:vAlign w:val="center"/>
          </w:tcPr>
          <w:p w14:paraId="5737FBB5">
            <w:pPr>
              <w:widowControl/>
              <w:spacing w:line="360" w:lineRule="auto"/>
              <w:jc w:val="center"/>
              <w:rPr>
                <w:rFonts w:ascii="宋体" w:hAnsi="宋体"/>
                <w:color w:val="auto"/>
                <w:sz w:val="28"/>
                <w:szCs w:val="28"/>
              </w:rPr>
            </w:pPr>
          </w:p>
        </w:tc>
        <w:tc>
          <w:tcPr>
            <w:tcW w:w="1559" w:type="dxa"/>
            <w:noWrap w:val="0"/>
            <w:vAlign w:val="center"/>
          </w:tcPr>
          <w:p w14:paraId="2D056207">
            <w:pPr>
              <w:widowControl/>
              <w:spacing w:line="360" w:lineRule="auto"/>
              <w:jc w:val="center"/>
              <w:rPr>
                <w:rFonts w:ascii="宋体" w:hAnsi="宋体"/>
                <w:color w:val="auto"/>
                <w:sz w:val="28"/>
                <w:szCs w:val="28"/>
              </w:rPr>
            </w:pPr>
          </w:p>
        </w:tc>
        <w:tc>
          <w:tcPr>
            <w:tcW w:w="1276" w:type="dxa"/>
            <w:noWrap w:val="0"/>
            <w:vAlign w:val="center"/>
          </w:tcPr>
          <w:p w14:paraId="2082655E">
            <w:pPr>
              <w:widowControl/>
              <w:spacing w:line="360" w:lineRule="auto"/>
              <w:jc w:val="center"/>
              <w:rPr>
                <w:rFonts w:ascii="宋体" w:hAnsi="宋体"/>
                <w:color w:val="auto"/>
                <w:sz w:val="28"/>
                <w:szCs w:val="28"/>
              </w:rPr>
            </w:pPr>
          </w:p>
        </w:tc>
        <w:tc>
          <w:tcPr>
            <w:tcW w:w="992" w:type="dxa"/>
            <w:noWrap w:val="0"/>
            <w:vAlign w:val="center"/>
          </w:tcPr>
          <w:p w14:paraId="1F9F03B9">
            <w:pPr>
              <w:widowControl/>
              <w:spacing w:line="360" w:lineRule="auto"/>
              <w:jc w:val="center"/>
              <w:rPr>
                <w:rFonts w:ascii="宋体" w:hAnsi="宋体"/>
                <w:color w:val="auto"/>
                <w:sz w:val="28"/>
                <w:szCs w:val="28"/>
              </w:rPr>
            </w:pPr>
          </w:p>
        </w:tc>
        <w:tc>
          <w:tcPr>
            <w:tcW w:w="851" w:type="dxa"/>
            <w:noWrap w:val="0"/>
            <w:vAlign w:val="center"/>
          </w:tcPr>
          <w:p w14:paraId="387C99D5">
            <w:pPr>
              <w:widowControl/>
              <w:spacing w:line="360" w:lineRule="auto"/>
              <w:jc w:val="center"/>
              <w:rPr>
                <w:rFonts w:ascii="宋体" w:hAnsi="宋体"/>
                <w:color w:val="auto"/>
                <w:sz w:val="28"/>
                <w:szCs w:val="28"/>
              </w:rPr>
            </w:pPr>
          </w:p>
        </w:tc>
        <w:tc>
          <w:tcPr>
            <w:tcW w:w="1276" w:type="dxa"/>
            <w:noWrap w:val="0"/>
            <w:vAlign w:val="center"/>
          </w:tcPr>
          <w:p w14:paraId="35FA4A86">
            <w:pPr>
              <w:widowControl/>
              <w:spacing w:line="360" w:lineRule="auto"/>
              <w:jc w:val="center"/>
              <w:rPr>
                <w:rFonts w:ascii="宋体" w:hAnsi="宋体"/>
                <w:color w:val="auto"/>
                <w:sz w:val="28"/>
                <w:szCs w:val="28"/>
              </w:rPr>
            </w:pPr>
          </w:p>
        </w:tc>
        <w:tc>
          <w:tcPr>
            <w:tcW w:w="1275" w:type="dxa"/>
            <w:noWrap w:val="0"/>
            <w:vAlign w:val="center"/>
          </w:tcPr>
          <w:p w14:paraId="209163F4">
            <w:pPr>
              <w:widowControl/>
              <w:spacing w:line="360" w:lineRule="auto"/>
              <w:jc w:val="center"/>
              <w:rPr>
                <w:rFonts w:ascii="宋体" w:hAnsi="宋体"/>
                <w:color w:val="auto"/>
                <w:sz w:val="28"/>
                <w:szCs w:val="28"/>
              </w:rPr>
            </w:pPr>
          </w:p>
        </w:tc>
        <w:tc>
          <w:tcPr>
            <w:tcW w:w="1276" w:type="dxa"/>
            <w:noWrap w:val="0"/>
            <w:vAlign w:val="center"/>
          </w:tcPr>
          <w:p w14:paraId="253B60E5">
            <w:pPr>
              <w:widowControl/>
              <w:spacing w:line="360" w:lineRule="auto"/>
              <w:jc w:val="center"/>
              <w:rPr>
                <w:rFonts w:ascii="宋体" w:hAnsi="宋体"/>
                <w:color w:val="auto"/>
                <w:sz w:val="28"/>
                <w:szCs w:val="28"/>
              </w:rPr>
            </w:pPr>
          </w:p>
        </w:tc>
      </w:tr>
      <w:tr w14:paraId="25691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07" w:hRule="atLeast"/>
        </w:trPr>
        <w:tc>
          <w:tcPr>
            <w:tcW w:w="567" w:type="dxa"/>
            <w:noWrap w:val="0"/>
            <w:vAlign w:val="center"/>
          </w:tcPr>
          <w:p w14:paraId="63539E7F">
            <w:pPr>
              <w:widowControl/>
              <w:spacing w:line="360" w:lineRule="auto"/>
              <w:jc w:val="center"/>
              <w:rPr>
                <w:rFonts w:ascii="宋体" w:hAnsi="宋体"/>
                <w:color w:val="auto"/>
                <w:sz w:val="28"/>
                <w:szCs w:val="28"/>
              </w:rPr>
            </w:pPr>
          </w:p>
        </w:tc>
        <w:tc>
          <w:tcPr>
            <w:tcW w:w="1559" w:type="dxa"/>
            <w:noWrap w:val="0"/>
            <w:vAlign w:val="center"/>
          </w:tcPr>
          <w:p w14:paraId="0B55A97D">
            <w:pPr>
              <w:widowControl/>
              <w:spacing w:line="360" w:lineRule="auto"/>
              <w:jc w:val="center"/>
              <w:rPr>
                <w:rFonts w:ascii="宋体" w:hAnsi="宋体"/>
                <w:color w:val="auto"/>
                <w:sz w:val="28"/>
                <w:szCs w:val="28"/>
              </w:rPr>
            </w:pPr>
          </w:p>
        </w:tc>
        <w:tc>
          <w:tcPr>
            <w:tcW w:w="1276" w:type="dxa"/>
            <w:noWrap w:val="0"/>
            <w:vAlign w:val="center"/>
          </w:tcPr>
          <w:p w14:paraId="4257BBB8">
            <w:pPr>
              <w:widowControl/>
              <w:spacing w:line="360" w:lineRule="auto"/>
              <w:jc w:val="center"/>
              <w:rPr>
                <w:rFonts w:ascii="宋体" w:hAnsi="宋体"/>
                <w:color w:val="auto"/>
                <w:sz w:val="28"/>
                <w:szCs w:val="28"/>
              </w:rPr>
            </w:pPr>
          </w:p>
        </w:tc>
        <w:tc>
          <w:tcPr>
            <w:tcW w:w="992" w:type="dxa"/>
            <w:noWrap w:val="0"/>
            <w:vAlign w:val="center"/>
          </w:tcPr>
          <w:p w14:paraId="3CE06997">
            <w:pPr>
              <w:widowControl/>
              <w:spacing w:line="360" w:lineRule="auto"/>
              <w:jc w:val="center"/>
              <w:rPr>
                <w:rFonts w:ascii="宋体" w:hAnsi="宋体"/>
                <w:color w:val="auto"/>
                <w:sz w:val="28"/>
                <w:szCs w:val="28"/>
              </w:rPr>
            </w:pPr>
          </w:p>
        </w:tc>
        <w:tc>
          <w:tcPr>
            <w:tcW w:w="851" w:type="dxa"/>
            <w:noWrap w:val="0"/>
            <w:vAlign w:val="center"/>
          </w:tcPr>
          <w:p w14:paraId="51AD1C51">
            <w:pPr>
              <w:widowControl/>
              <w:spacing w:line="360" w:lineRule="auto"/>
              <w:jc w:val="center"/>
              <w:rPr>
                <w:rFonts w:ascii="宋体" w:hAnsi="宋体"/>
                <w:color w:val="auto"/>
                <w:sz w:val="28"/>
                <w:szCs w:val="28"/>
              </w:rPr>
            </w:pPr>
          </w:p>
        </w:tc>
        <w:tc>
          <w:tcPr>
            <w:tcW w:w="1276" w:type="dxa"/>
            <w:noWrap w:val="0"/>
            <w:vAlign w:val="center"/>
          </w:tcPr>
          <w:p w14:paraId="27F73B8C">
            <w:pPr>
              <w:widowControl/>
              <w:spacing w:line="360" w:lineRule="auto"/>
              <w:jc w:val="center"/>
              <w:rPr>
                <w:rFonts w:ascii="宋体" w:hAnsi="宋体"/>
                <w:color w:val="auto"/>
                <w:sz w:val="28"/>
                <w:szCs w:val="28"/>
              </w:rPr>
            </w:pPr>
          </w:p>
        </w:tc>
        <w:tc>
          <w:tcPr>
            <w:tcW w:w="1275" w:type="dxa"/>
            <w:noWrap w:val="0"/>
            <w:vAlign w:val="center"/>
          </w:tcPr>
          <w:p w14:paraId="7293164D">
            <w:pPr>
              <w:widowControl/>
              <w:spacing w:line="360" w:lineRule="auto"/>
              <w:jc w:val="center"/>
              <w:rPr>
                <w:rFonts w:ascii="宋体" w:hAnsi="宋体"/>
                <w:color w:val="auto"/>
                <w:sz w:val="28"/>
                <w:szCs w:val="28"/>
              </w:rPr>
            </w:pPr>
          </w:p>
        </w:tc>
        <w:tc>
          <w:tcPr>
            <w:tcW w:w="1276" w:type="dxa"/>
            <w:noWrap w:val="0"/>
            <w:vAlign w:val="center"/>
          </w:tcPr>
          <w:p w14:paraId="6640B5E2">
            <w:pPr>
              <w:widowControl/>
              <w:spacing w:line="360" w:lineRule="auto"/>
              <w:jc w:val="center"/>
              <w:rPr>
                <w:rFonts w:ascii="宋体" w:hAnsi="宋体"/>
                <w:color w:val="auto"/>
                <w:sz w:val="28"/>
                <w:szCs w:val="28"/>
              </w:rPr>
            </w:pPr>
          </w:p>
        </w:tc>
      </w:tr>
      <w:tr w14:paraId="0DF6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07" w:hRule="atLeast"/>
        </w:trPr>
        <w:tc>
          <w:tcPr>
            <w:tcW w:w="567" w:type="dxa"/>
            <w:noWrap w:val="0"/>
            <w:vAlign w:val="center"/>
          </w:tcPr>
          <w:p w14:paraId="35B0751A">
            <w:pPr>
              <w:widowControl/>
              <w:spacing w:line="360" w:lineRule="auto"/>
              <w:jc w:val="center"/>
              <w:rPr>
                <w:rFonts w:ascii="宋体" w:hAnsi="宋体"/>
                <w:color w:val="auto"/>
                <w:sz w:val="28"/>
                <w:szCs w:val="28"/>
              </w:rPr>
            </w:pPr>
          </w:p>
        </w:tc>
        <w:tc>
          <w:tcPr>
            <w:tcW w:w="1559" w:type="dxa"/>
            <w:noWrap w:val="0"/>
            <w:vAlign w:val="center"/>
          </w:tcPr>
          <w:p w14:paraId="3B860A44">
            <w:pPr>
              <w:widowControl/>
              <w:spacing w:line="360" w:lineRule="auto"/>
              <w:jc w:val="center"/>
              <w:rPr>
                <w:rFonts w:ascii="宋体" w:hAnsi="宋体"/>
                <w:color w:val="auto"/>
                <w:sz w:val="28"/>
                <w:szCs w:val="28"/>
              </w:rPr>
            </w:pPr>
          </w:p>
        </w:tc>
        <w:tc>
          <w:tcPr>
            <w:tcW w:w="1276" w:type="dxa"/>
            <w:noWrap w:val="0"/>
            <w:vAlign w:val="center"/>
          </w:tcPr>
          <w:p w14:paraId="71FC3F72">
            <w:pPr>
              <w:widowControl/>
              <w:spacing w:line="360" w:lineRule="auto"/>
              <w:jc w:val="center"/>
              <w:rPr>
                <w:rFonts w:ascii="宋体" w:hAnsi="宋体"/>
                <w:color w:val="auto"/>
                <w:sz w:val="28"/>
                <w:szCs w:val="28"/>
              </w:rPr>
            </w:pPr>
          </w:p>
        </w:tc>
        <w:tc>
          <w:tcPr>
            <w:tcW w:w="992" w:type="dxa"/>
            <w:noWrap w:val="0"/>
            <w:vAlign w:val="center"/>
          </w:tcPr>
          <w:p w14:paraId="676464D9">
            <w:pPr>
              <w:widowControl/>
              <w:spacing w:line="360" w:lineRule="auto"/>
              <w:jc w:val="center"/>
              <w:rPr>
                <w:rFonts w:ascii="宋体" w:hAnsi="宋体"/>
                <w:color w:val="auto"/>
                <w:sz w:val="28"/>
                <w:szCs w:val="28"/>
              </w:rPr>
            </w:pPr>
          </w:p>
        </w:tc>
        <w:tc>
          <w:tcPr>
            <w:tcW w:w="851" w:type="dxa"/>
            <w:noWrap w:val="0"/>
            <w:vAlign w:val="center"/>
          </w:tcPr>
          <w:p w14:paraId="39CFB302">
            <w:pPr>
              <w:widowControl/>
              <w:spacing w:line="360" w:lineRule="auto"/>
              <w:jc w:val="center"/>
              <w:rPr>
                <w:rFonts w:ascii="宋体" w:hAnsi="宋体"/>
                <w:color w:val="auto"/>
                <w:sz w:val="28"/>
                <w:szCs w:val="28"/>
              </w:rPr>
            </w:pPr>
          </w:p>
        </w:tc>
        <w:tc>
          <w:tcPr>
            <w:tcW w:w="1276" w:type="dxa"/>
            <w:noWrap w:val="0"/>
            <w:vAlign w:val="center"/>
          </w:tcPr>
          <w:p w14:paraId="1AD8F168">
            <w:pPr>
              <w:widowControl/>
              <w:spacing w:line="360" w:lineRule="auto"/>
              <w:jc w:val="center"/>
              <w:rPr>
                <w:rFonts w:ascii="宋体" w:hAnsi="宋体"/>
                <w:color w:val="auto"/>
                <w:sz w:val="28"/>
                <w:szCs w:val="28"/>
              </w:rPr>
            </w:pPr>
          </w:p>
        </w:tc>
        <w:tc>
          <w:tcPr>
            <w:tcW w:w="1275" w:type="dxa"/>
            <w:noWrap w:val="0"/>
            <w:vAlign w:val="center"/>
          </w:tcPr>
          <w:p w14:paraId="6C9CBE24">
            <w:pPr>
              <w:widowControl/>
              <w:spacing w:line="360" w:lineRule="auto"/>
              <w:jc w:val="center"/>
              <w:rPr>
                <w:rFonts w:ascii="宋体" w:hAnsi="宋体"/>
                <w:color w:val="auto"/>
                <w:sz w:val="28"/>
                <w:szCs w:val="28"/>
              </w:rPr>
            </w:pPr>
          </w:p>
        </w:tc>
        <w:tc>
          <w:tcPr>
            <w:tcW w:w="1276" w:type="dxa"/>
            <w:noWrap w:val="0"/>
            <w:vAlign w:val="center"/>
          </w:tcPr>
          <w:p w14:paraId="2831660F">
            <w:pPr>
              <w:widowControl/>
              <w:spacing w:line="360" w:lineRule="auto"/>
              <w:jc w:val="center"/>
              <w:rPr>
                <w:rFonts w:ascii="宋体" w:hAnsi="宋体"/>
                <w:color w:val="auto"/>
                <w:sz w:val="28"/>
                <w:szCs w:val="28"/>
              </w:rPr>
            </w:pPr>
          </w:p>
        </w:tc>
      </w:tr>
      <w:tr w14:paraId="0A5D4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107" w:hRule="atLeast"/>
        </w:trPr>
        <w:tc>
          <w:tcPr>
            <w:tcW w:w="567" w:type="dxa"/>
            <w:noWrap w:val="0"/>
            <w:vAlign w:val="center"/>
          </w:tcPr>
          <w:p w14:paraId="20F6FD0F">
            <w:pPr>
              <w:widowControl/>
              <w:spacing w:line="360" w:lineRule="auto"/>
              <w:jc w:val="center"/>
              <w:rPr>
                <w:rFonts w:ascii="宋体" w:hAnsi="宋体"/>
                <w:color w:val="auto"/>
                <w:sz w:val="28"/>
                <w:szCs w:val="28"/>
              </w:rPr>
            </w:pPr>
          </w:p>
        </w:tc>
        <w:tc>
          <w:tcPr>
            <w:tcW w:w="1559" w:type="dxa"/>
            <w:noWrap w:val="0"/>
            <w:vAlign w:val="center"/>
          </w:tcPr>
          <w:p w14:paraId="40FE544A">
            <w:pPr>
              <w:widowControl/>
              <w:spacing w:line="360" w:lineRule="auto"/>
              <w:jc w:val="center"/>
              <w:rPr>
                <w:rFonts w:ascii="宋体" w:hAnsi="宋体"/>
                <w:b/>
                <w:color w:val="auto"/>
                <w:sz w:val="28"/>
                <w:szCs w:val="28"/>
              </w:rPr>
            </w:pPr>
            <w:r>
              <w:rPr>
                <w:rFonts w:hint="eastAsia" w:ascii="宋体" w:hAnsi="宋体"/>
                <w:b/>
                <w:color w:val="auto"/>
                <w:sz w:val="28"/>
                <w:szCs w:val="28"/>
              </w:rPr>
              <w:t>合计</w:t>
            </w:r>
          </w:p>
        </w:tc>
        <w:tc>
          <w:tcPr>
            <w:tcW w:w="1276" w:type="dxa"/>
            <w:noWrap w:val="0"/>
            <w:vAlign w:val="center"/>
          </w:tcPr>
          <w:p w14:paraId="18BFCD5B">
            <w:pPr>
              <w:widowControl/>
              <w:spacing w:line="360" w:lineRule="auto"/>
              <w:jc w:val="center"/>
              <w:rPr>
                <w:rFonts w:ascii="宋体" w:hAnsi="宋体"/>
                <w:color w:val="auto"/>
                <w:sz w:val="28"/>
                <w:szCs w:val="28"/>
              </w:rPr>
            </w:pPr>
          </w:p>
        </w:tc>
        <w:tc>
          <w:tcPr>
            <w:tcW w:w="992" w:type="dxa"/>
            <w:noWrap w:val="0"/>
            <w:vAlign w:val="center"/>
          </w:tcPr>
          <w:p w14:paraId="4CD0E0BE">
            <w:pPr>
              <w:widowControl/>
              <w:spacing w:line="360" w:lineRule="auto"/>
              <w:jc w:val="center"/>
              <w:rPr>
                <w:rFonts w:ascii="宋体" w:hAnsi="宋体"/>
                <w:color w:val="auto"/>
                <w:sz w:val="28"/>
                <w:szCs w:val="28"/>
              </w:rPr>
            </w:pPr>
          </w:p>
        </w:tc>
        <w:tc>
          <w:tcPr>
            <w:tcW w:w="851" w:type="dxa"/>
            <w:noWrap w:val="0"/>
            <w:vAlign w:val="center"/>
          </w:tcPr>
          <w:p w14:paraId="2626CDD2">
            <w:pPr>
              <w:widowControl/>
              <w:spacing w:line="360" w:lineRule="auto"/>
              <w:jc w:val="center"/>
              <w:rPr>
                <w:rFonts w:ascii="宋体" w:hAnsi="宋体"/>
                <w:color w:val="auto"/>
                <w:sz w:val="28"/>
                <w:szCs w:val="28"/>
              </w:rPr>
            </w:pPr>
          </w:p>
        </w:tc>
        <w:tc>
          <w:tcPr>
            <w:tcW w:w="1276" w:type="dxa"/>
            <w:noWrap w:val="0"/>
            <w:vAlign w:val="center"/>
          </w:tcPr>
          <w:p w14:paraId="06E25B25">
            <w:pPr>
              <w:widowControl/>
              <w:spacing w:line="360" w:lineRule="auto"/>
              <w:jc w:val="center"/>
              <w:rPr>
                <w:rFonts w:ascii="宋体" w:hAnsi="宋体"/>
                <w:color w:val="auto"/>
                <w:sz w:val="28"/>
                <w:szCs w:val="28"/>
              </w:rPr>
            </w:pPr>
          </w:p>
        </w:tc>
        <w:tc>
          <w:tcPr>
            <w:tcW w:w="1275" w:type="dxa"/>
            <w:noWrap w:val="0"/>
            <w:vAlign w:val="center"/>
          </w:tcPr>
          <w:p w14:paraId="3FF2E6F5">
            <w:pPr>
              <w:widowControl/>
              <w:spacing w:line="360" w:lineRule="auto"/>
              <w:jc w:val="center"/>
              <w:rPr>
                <w:rFonts w:ascii="宋体" w:hAnsi="宋体"/>
                <w:color w:val="auto"/>
                <w:sz w:val="28"/>
                <w:szCs w:val="28"/>
              </w:rPr>
            </w:pPr>
          </w:p>
        </w:tc>
        <w:tc>
          <w:tcPr>
            <w:tcW w:w="1276" w:type="dxa"/>
            <w:noWrap w:val="0"/>
            <w:vAlign w:val="center"/>
          </w:tcPr>
          <w:p w14:paraId="211ECC77">
            <w:pPr>
              <w:widowControl/>
              <w:spacing w:line="360" w:lineRule="auto"/>
              <w:jc w:val="center"/>
              <w:rPr>
                <w:rFonts w:ascii="宋体" w:hAnsi="宋体"/>
                <w:color w:val="auto"/>
                <w:sz w:val="28"/>
                <w:szCs w:val="28"/>
              </w:rPr>
            </w:pPr>
          </w:p>
        </w:tc>
      </w:tr>
    </w:tbl>
    <w:p w14:paraId="1A115C94">
      <w:pPr>
        <w:widowControl/>
        <w:spacing w:line="480" w:lineRule="exact"/>
        <w:jc w:val="left"/>
        <w:rPr>
          <w:rFonts w:hint="eastAsia" w:ascii="黑体" w:hAnsi="宋体" w:eastAsia="黑体"/>
          <w:color w:val="auto"/>
          <w:sz w:val="28"/>
          <w:szCs w:val="28"/>
        </w:rPr>
      </w:pPr>
      <w:r>
        <w:rPr>
          <w:rFonts w:ascii="宋体" w:hAnsi="宋体"/>
          <w:color w:val="auto"/>
          <w:sz w:val="28"/>
          <w:szCs w:val="28"/>
        </w:rPr>
        <w:br w:type="page"/>
      </w:r>
      <w:r>
        <w:rPr>
          <w:rFonts w:hint="eastAsia" w:ascii="黑体" w:hAnsi="宋体" w:eastAsia="黑体"/>
          <w:color w:val="auto"/>
          <w:sz w:val="28"/>
          <w:szCs w:val="28"/>
        </w:rPr>
        <w:t>附件3：</w:t>
      </w:r>
    </w:p>
    <w:p w14:paraId="7E229401">
      <w:pPr>
        <w:widowControl/>
        <w:spacing w:after="240" w:afterLines="100" w:line="480" w:lineRule="exact"/>
        <w:jc w:val="center"/>
        <w:rPr>
          <w:rFonts w:hint="eastAsia" w:ascii="方正小标宋简体" w:hAnsi="宋体" w:eastAsia="方正小标宋简体"/>
          <w:color w:val="auto"/>
          <w:sz w:val="36"/>
          <w:szCs w:val="36"/>
        </w:rPr>
      </w:pPr>
      <w:r>
        <w:rPr>
          <w:rFonts w:hint="eastAsia" w:ascii="方正小标宋简体" w:hAnsi="宋体" w:eastAsia="方正小标宋简体"/>
          <w:color w:val="auto"/>
          <w:sz w:val="36"/>
          <w:szCs w:val="36"/>
        </w:rPr>
        <w:t>工程质量保修书</w:t>
      </w:r>
    </w:p>
    <w:p w14:paraId="247257F1">
      <w:pPr>
        <w:widowControl/>
        <w:spacing w:line="480" w:lineRule="exact"/>
        <w:jc w:val="left"/>
        <w:rPr>
          <w:rFonts w:hint="eastAsia" w:ascii="宋体" w:hAnsi="宋体" w:cs="Arial"/>
          <w:color w:val="auto"/>
          <w:sz w:val="24"/>
        </w:rPr>
      </w:pPr>
      <w:r>
        <w:rPr>
          <w:rFonts w:hint="eastAsia" w:ascii="宋体" w:hAnsi="宋体" w:cs="Arial"/>
          <w:color w:val="auto"/>
          <w:sz w:val="24"/>
        </w:rPr>
        <w:t>发包人(全称)：</w:t>
      </w:r>
      <w:r>
        <w:rPr>
          <w:rFonts w:hint="eastAsia" w:ascii="宋体" w:hAnsi="宋体" w:cs="Arial"/>
          <w:color w:val="auto"/>
          <w:sz w:val="24"/>
          <w:u w:val="single"/>
        </w:rPr>
        <w:t xml:space="preserve">      蓝田县教育和科学技术局     </w:t>
      </w:r>
    </w:p>
    <w:p w14:paraId="5A67D4B9">
      <w:pPr>
        <w:widowControl/>
        <w:spacing w:line="460" w:lineRule="exact"/>
        <w:jc w:val="left"/>
        <w:rPr>
          <w:rFonts w:ascii="宋体" w:hAnsi="宋体" w:cs="Arial"/>
          <w:color w:val="auto"/>
          <w:sz w:val="24"/>
        </w:rPr>
      </w:pPr>
      <w:r>
        <w:rPr>
          <w:rFonts w:hint="eastAsia" w:ascii="宋体" w:hAnsi="宋体" w:cs="Arial"/>
          <w:color w:val="auto"/>
          <w:sz w:val="24"/>
        </w:rPr>
        <w:t>承包人(全称)：</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w:t>
      </w:r>
    </w:p>
    <w:p w14:paraId="679B127A">
      <w:pPr>
        <w:spacing w:line="460" w:lineRule="exact"/>
        <w:jc w:val="left"/>
        <w:rPr>
          <w:rFonts w:ascii="宋体" w:hAnsi="宋体" w:cs="Arial"/>
          <w:color w:val="auto"/>
          <w:sz w:val="24"/>
        </w:rPr>
      </w:pPr>
      <w:r>
        <w:rPr>
          <w:rFonts w:hint="eastAsia" w:ascii="宋体" w:hAnsi="宋体" w:cs="Arial"/>
          <w:color w:val="auto"/>
          <w:sz w:val="24"/>
        </w:rPr>
        <w:t xml:space="preserve">    为保证</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 xml:space="preserve">                           </w:t>
      </w:r>
      <w:r>
        <w:rPr>
          <w:rFonts w:hint="eastAsia" w:ascii="宋体" w:hAnsi="宋体" w:cs="Arial"/>
          <w:color w:val="auto"/>
          <w:sz w:val="24"/>
          <w:u w:val="single"/>
        </w:rPr>
        <w:t xml:space="preserve">  </w:t>
      </w:r>
      <w:r>
        <w:rPr>
          <w:rFonts w:hint="eastAsia" w:ascii="宋体" w:hAnsi="宋体" w:cs="Arial"/>
          <w:color w:val="auto"/>
          <w:sz w:val="24"/>
        </w:rPr>
        <w:t>工程期限内正常使用，发包人、承包人协商一致签订工程质量保修书。承包人在质量保修期内按照有关管理规定及双方约定承担工程质量保修责任。</w:t>
      </w:r>
    </w:p>
    <w:p w14:paraId="6DE13663">
      <w:pPr>
        <w:widowControl/>
        <w:spacing w:line="460" w:lineRule="exact"/>
        <w:ind w:firstLine="602" w:firstLineChars="250"/>
        <w:jc w:val="left"/>
        <w:rPr>
          <w:rFonts w:hint="eastAsia" w:ascii="宋体" w:hAnsi="宋体" w:cs="Arial"/>
          <w:b/>
          <w:color w:val="auto"/>
          <w:sz w:val="24"/>
        </w:rPr>
      </w:pPr>
      <w:r>
        <w:rPr>
          <w:rFonts w:hint="eastAsia" w:ascii="宋体" w:hAnsi="宋体" w:cs="Arial"/>
          <w:b/>
          <w:color w:val="auto"/>
          <w:sz w:val="24"/>
        </w:rPr>
        <w:t xml:space="preserve">一、工程质量保修范围和内容 </w:t>
      </w:r>
    </w:p>
    <w:p w14:paraId="578C05C0">
      <w:pPr>
        <w:widowControl/>
        <w:spacing w:line="460" w:lineRule="exact"/>
        <w:ind w:firstLine="480" w:firstLineChars="200"/>
        <w:rPr>
          <w:rFonts w:hint="eastAsia" w:ascii="宋体" w:hAnsi="宋体" w:cs="Arial"/>
          <w:color w:val="auto"/>
          <w:sz w:val="24"/>
        </w:rPr>
      </w:pPr>
      <w:r>
        <w:rPr>
          <w:rFonts w:hint="eastAsia" w:ascii="宋体" w:hAnsi="宋体" w:cs="Arial"/>
          <w:color w:val="auto"/>
          <w:sz w:val="24"/>
        </w:rPr>
        <w:t>按照《建设工程质量管理条例》及相关法律、规章的管理规定，双方约定由施工单位在质量保修期间内，承担本工程的质量保修责任。</w:t>
      </w:r>
    </w:p>
    <w:p w14:paraId="7E7B5505">
      <w:pPr>
        <w:widowControl/>
        <w:spacing w:line="460" w:lineRule="exact"/>
        <w:jc w:val="left"/>
        <w:rPr>
          <w:rFonts w:ascii="宋体" w:hAnsi="宋体" w:cs="Arial"/>
          <w:color w:val="auto"/>
          <w:sz w:val="24"/>
          <w:u w:val="single"/>
        </w:rPr>
      </w:pPr>
      <w:r>
        <w:rPr>
          <w:rFonts w:hint="eastAsia" w:ascii="宋体" w:hAnsi="宋体" w:cs="Arial"/>
          <w:color w:val="auto"/>
          <w:sz w:val="24"/>
        </w:rPr>
        <w:t>质量保修范围包括地基基础工程、主体结构工程、屋面防水工程和双方约定的其他土建工程，以及电气管线、上下水管线的安装工程，供热、供冷系统工程及地面软化等项目。</w:t>
      </w:r>
    </w:p>
    <w:p w14:paraId="05EACA2D">
      <w:pPr>
        <w:widowControl/>
        <w:spacing w:line="460" w:lineRule="exact"/>
        <w:ind w:firstLine="482" w:firstLineChars="200"/>
        <w:jc w:val="left"/>
        <w:rPr>
          <w:rFonts w:ascii="宋体" w:hAnsi="宋体" w:cs="Arial"/>
          <w:b/>
          <w:color w:val="auto"/>
          <w:sz w:val="24"/>
        </w:rPr>
      </w:pPr>
      <w:r>
        <w:rPr>
          <w:rFonts w:hint="eastAsia" w:ascii="宋体" w:hAnsi="宋体" w:cs="Arial"/>
          <w:b/>
          <w:color w:val="auto"/>
          <w:sz w:val="24"/>
        </w:rPr>
        <w:t xml:space="preserve">二、质量保修期 </w:t>
      </w:r>
    </w:p>
    <w:p w14:paraId="44DF2C35">
      <w:pPr>
        <w:widowControl/>
        <w:spacing w:line="460" w:lineRule="exact"/>
        <w:ind w:firstLine="480" w:firstLineChars="200"/>
        <w:jc w:val="left"/>
        <w:rPr>
          <w:rFonts w:ascii="宋体" w:hAnsi="宋体" w:cs="Arial"/>
          <w:color w:val="auto"/>
          <w:sz w:val="24"/>
        </w:rPr>
      </w:pPr>
      <w:r>
        <w:rPr>
          <w:rFonts w:hint="eastAsia" w:ascii="宋体" w:hAnsi="宋体" w:cs="Arial"/>
          <w:color w:val="auto"/>
          <w:sz w:val="24"/>
        </w:rPr>
        <w:t xml:space="preserve">质量保修期自工程竣工验收合格之日起计算。分单项竣工验收的工程，按单项工程分别计算质量保修期。 </w:t>
      </w:r>
    </w:p>
    <w:p w14:paraId="0E2ED28B">
      <w:pPr>
        <w:widowControl/>
        <w:spacing w:line="460" w:lineRule="exact"/>
        <w:ind w:firstLine="480" w:firstLineChars="200"/>
        <w:jc w:val="left"/>
        <w:rPr>
          <w:rFonts w:hint="eastAsia" w:ascii="宋体" w:hAnsi="宋体" w:cs="Arial"/>
          <w:color w:val="auto"/>
          <w:sz w:val="24"/>
        </w:rPr>
      </w:pPr>
      <w:r>
        <w:rPr>
          <w:rFonts w:hint="eastAsia" w:ascii="宋体" w:hAnsi="宋体" w:cs="Arial"/>
          <w:color w:val="auto"/>
          <w:sz w:val="24"/>
        </w:rPr>
        <w:t>双方根据《建设工程质量管理条例》及国家有关规定，结合具体工程约定质量保修期如下：</w:t>
      </w:r>
    </w:p>
    <w:p w14:paraId="053AAAD3">
      <w:pPr>
        <w:widowControl/>
        <w:spacing w:line="460" w:lineRule="exact"/>
        <w:ind w:left="560"/>
        <w:jc w:val="left"/>
        <w:rPr>
          <w:rFonts w:hint="eastAsia" w:ascii="宋体" w:hAnsi="宋体" w:cs="Arial"/>
          <w:color w:val="auto"/>
          <w:sz w:val="24"/>
        </w:rPr>
      </w:pPr>
      <w:r>
        <w:rPr>
          <w:rFonts w:hint="eastAsia" w:ascii="宋体" w:hAnsi="宋体" w:cs="Arial"/>
          <w:color w:val="auto"/>
          <w:sz w:val="24"/>
        </w:rPr>
        <w:t>1.土建工程</w:t>
      </w:r>
      <w:r>
        <w:rPr>
          <w:rFonts w:hint="eastAsia" w:ascii="宋体" w:hAnsi="宋体" w:cs="Arial"/>
          <w:color w:val="auto"/>
          <w:sz w:val="24"/>
          <w:u w:val="single"/>
        </w:rPr>
        <w:t>为该工程的设计文件合理使用50年</w:t>
      </w:r>
      <w:r>
        <w:rPr>
          <w:rFonts w:hint="eastAsia" w:ascii="宋体" w:hAnsi="宋体" w:cs="Arial"/>
          <w:color w:val="auto"/>
          <w:sz w:val="24"/>
        </w:rPr>
        <w:t>，屋面防水工程为</w:t>
      </w:r>
      <w:r>
        <w:rPr>
          <w:rFonts w:hint="eastAsia" w:ascii="宋体" w:hAnsi="宋体" w:cs="Arial"/>
          <w:color w:val="auto"/>
          <w:sz w:val="24"/>
          <w:u w:val="single"/>
        </w:rPr>
        <w:t xml:space="preserve">  五  </w:t>
      </w:r>
      <w:r>
        <w:rPr>
          <w:rFonts w:hint="eastAsia" w:ascii="宋体" w:hAnsi="宋体" w:cs="Arial"/>
          <w:color w:val="auto"/>
          <w:sz w:val="24"/>
        </w:rPr>
        <w:t>年；</w:t>
      </w:r>
    </w:p>
    <w:p w14:paraId="409B6CAD">
      <w:pPr>
        <w:widowControl/>
        <w:spacing w:line="460" w:lineRule="exact"/>
        <w:ind w:left="560"/>
        <w:jc w:val="left"/>
        <w:rPr>
          <w:rFonts w:hint="default" w:ascii="宋体" w:hAnsi="宋体" w:eastAsia="宋体" w:cs="Arial"/>
          <w:color w:val="auto"/>
          <w:sz w:val="24"/>
          <w:lang w:val="en-US" w:eastAsia="zh-CN"/>
        </w:rPr>
      </w:pPr>
      <w:r>
        <w:rPr>
          <w:rFonts w:hint="eastAsia" w:ascii="宋体" w:hAnsi="宋体" w:cs="Arial"/>
          <w:color w:val="auto"/>
          <w:sz w:val="24"/>
          <w:lang w:val="en-US" w:eastAsia="zh-CN"/>
        </w:rPr>
        <w:t>2.装修工程</w:t>
      </w:r>
      <w:r>
        <w:rPr>
          <w:rFonts w:hint="eastAsia" w:ascii="宋体" w:hAnsi="宋体" w:cs="Arial"/>
          <w:color w:val="auto"/>
          <w:sz w:val="24"/>
        </w:rPr>
        <w:t>为</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三</w:t>
      </w:r>
      <w:r>
        <w:rPr>
          <w:rFonts w:hint="eastAsia" w:ascii="宋体" w:hAnsi="宋体" w:cs="Arial"/>
          <w:color w:val="auto"/>
          <w:sz w:val="24"/>
          <w:u w:val="single"/>
        </w:rPr>
        <w:t xml:space="preserve">  </w:t>
      </w:r>
      <w:r>
        <w:rPr>
          <w:rFonts w:hint="eastAsia" w:ascii="宋体" w:hAnsi="宋体" w:cs="Arial"/>
          <w:color w:val="auto"/>
          <w:sz w:val="24"/>
        </w:rPr>
        <w:t>年</w:t>
      </w:r>
    </w:p>
    <w:p w14:paraId="1FAA64A0">
      <w:pPr>
        <w:widowControl/>
        <w:spacing w:line="460" w:lineRule="exact"/>
        <w:ind w:left="560"/>
        <w:jc w:val="left"/>
        <w:rPr>
          <w:rFonts w:hint="eastAsia" w:ascii="宋体" w:hAnsi="宋体" w:cs="Arial"/>
          <w:color w:val="auto"/>
          <w:sz w:val="24"/>
        </w:rPr>
      </w:pPr>
      <w:r>
        <w:rPr>
          <w:rFonts w:hint="eastAsia" w:ascii="宋体" w:hAnsi="宋体" w:cs="Arial"/>
          <w:color w:val="auto"/>
          <w:sz w:val="24"/>
          <w:lang w:val="en-US" w:eastAsia="zh-CN"/>
        </w:rPr>
        <w:t>3</w:t>
      </w:r>
      <w:r>
        <w:rPr>
          <w:rFonts w:hint="eastAsia" w:ascii="宋体" w:hAnsi="宋体" w:cs="Arial"/>
          <w:color w:val="auto"/>
          <w:sz w:val="24"/>
        </w:rPr>
        <w:t>.电气管线、</w:t>
      </w:r>
      <w:r>
        <w:rPr>
          <w:rFonts w:hint="eastAsia" w:ascii="宋体" w:hAnsi="宋体" w:cs="Arial"/>
          <w:color w:val="auto"/>
          <w:sz w:val="24"/>
          <w:lang w:val="en-US" w:eastAsia="zh-CN"/>
        </w:rPr>
        <w:t>给排水</w:t>
      </w:r>
      <w:r>
        <w:rPr>
          <w:rFonts w:hint="eastAsia" w:ascii="宋体" w:hAnsi="宋体" w:cs="Arial"/>
          <w:color w:val="auto"/>
          <w:sz w:val="24"/>
        </w:rPr>
        <w:t>管</w:t>
      </w:r>
      <w:r>
        <w:rPr>
          <w:rFonts w:hint="eastAsia" w:ascii="宋体" w:hAnsi="宋体" w:cs="Arial"/>
          <w:color w:val="auto"/>
          <w:sz w:val="24"/>
          <w:lang w:val="en-US" w:eastAsia="zh-CN"/>
        </w:rPr>
        <w:t>道、设备安装</w:t>
      </w:r>
      <w:r>
        <w:rPr>
          <w:rFonts w:hint="eastAsia" w:ascii="宋体" w:hAnsi="宋体" w:cs="Arial"/>
          <w:color w:val="auto"/>
          <w:sz w:val="24"/>
        </w:rPr>
        <w:t>为</w:t>
      </w:r>
      <w:r>
        <w:rPr>
          <w:rFonts w:hint="eastAsia" w:ascii="宋体" w:hAnsi="宋体" w:cs="Arial"/>
          <w:color w:val="auto"/>
          <w:sz w:val="24"/>
          <w:u w:val="single"/>
        </w:rPr>
        <w:t xml:space="preserve">  </w:t>
      </w:r>
      <w:r>
        <w:rPr>
          <w:rFonts w:hint="eastAsia" w:ascii="宋体" w:hAnsi="宋体" w:cs="Arial"/>
          <w:color w:val="auto"/>
          <w:sz w:val="24"/>
          <w:u w:val="single"/>
          <w:lang w:val="en-US" w:eastAsia="zh-CN"/>
        </w:rPr>
        <w:t>二</w:t>
      </w:r>
      <w:r>
        <w:rPr>
          <w:rFonts w:hint="eastAsia" w:ascii="宋体" w:hAnsi="宋体" w:cs="Arial"/>
          <w:color w:val="auto"/>
          <w:sz w:val="24"/>
          <w:u w:val="single"/>
        </w:rPr>
        <w:t xml:space="preserve"> </w:t>
      </w:r>
      <w:r>
        <w:rPr>
          <w:rFonts w:hint="eastAsia" w:ascii="宋体" w:hAnsi="宋体" w:cs="Arial"/>
          <w:color w:val="auto"/>
          <w:sz w:val="24"/>
        </w:rPr>
        <w:t>年；</w:t>
      </w:r>
    </w:p>
    <w:p w14:paraId="0CF53F14">
      <w:pPr>
        <w:widowControl/>
        <w:spacing w:line="460" w:lineRule="exact"/>
        <w:ind w:left="560"/>
        <w:jc w:val="left"/>
        <w:rPr>
          <w:rFonts w:hint="eastAsia" w:ascii="宋体" w:hAnsi="宋体" w:cs="Arial"/>
          <w:color w:val="auto"/>
          <w:sz w:val="24"/>
        </w:rPr>
      </w:pPr>
      <w:r>
        <w:rPr>
          <w:rFonts w:hint="eastAsia" w:ascii="宋体" w:hAnsi="宋体" w:cs="Arial"/>
          <w:color w:val="auto"/>
          <w:sz w:val="24"/>
          <w:lang w:val="en-US" w:eastAsia="zh-CN"/>
        </w:rPr>
        <w:t>4</w:t>
      </w:r>
      <w:r>
        <w:rPr>
          <w:rFonts w:hint="eastAsia" w:ascii="宋体" w:hAnsi="宋体" w:cs="Arial"/>
          <w:color w:val="auto"/>
          <w:sz w:val="24"/>
        </w:rPr>
        <w:t>.供热及供冷为</w:t>
      </w:r>
      <w:r>
        <w:rPr>
          <w:rFonts w:hint="eastAsia" w:ascii="宋体" w:hAnsi="宋体" w:cs="Arial"/>
          <w:color w:val="auto"/>
          <w:sz w:val="24"/>
          <w:u w:val="single"/>
        </w:rPr>
        <w:t xml:space="preserve">  两  </w:t>
      </w:r>
      <w:r>
        <w:rPr>
          <w:rFonts w:hint="eastAsia" w:ascii="宋体" w:hAnsi="宋体" w:cs="Arial"/>
          <w:color w:val="auto"/>
          <w:sz w:val="24"/>
        </w:rPr>
        <w:t>个采暖期及供冷期；</w:t>
      </w:r>
    </w:p>
    <w:p w14:paraId="7B61F8AE">
      <w:pPr>
        <w:widowControl/>
        <w:spacing w:line="460" w:lineRule="exact"/>
        <w:ind w:left="560"/>
        <w:jc w:val="left"/>
        <w:rPr>
          <w:rFonts w:hint="eastAsia" w:ascii="宋体" w:hAnsi="宋体" w:cs="Arial"/>
          <w:color w:val="auto"/>
          <w:sz w:val="24"/>
        </w:rPr>
      </w:pPr>
      <w:r>
        <w:rPr>
          <w:rFonts w:hint="eastAsia" w:ascii="宋体" w:hAnsi="宋体" w:cs="Arial"/>
          <w:color w:val="auto"/>
          <w:sz w:val="24"/>
          <w:lang w:val="en-US" w:eastAsia="zh-CN"/>
        </w:rPr>
        <w:t>5</w:t>
      </w:r>
      <w:r>
        <w:rPr>
          <w:rFonts w:hint="eastAsia" w:ascii="宋体" w:hAnsi="宋体" w:cs="Arial"/>
          <w:color w:val="auto"/>
          <w:sz w:val="24"/>
        </w:rPr>
        <w:t>.室外的上下水</w:t>
      </w:r>
      <w:r>
        <w:rPr>
          <w:rFonts w:hint="eastAsia" w:ascii="宋体" w:hAnsi="宋体" w:cs="Arial"/>
          <w:color w:val="auto"/>
          <w:sz w:val="24"/>
          <w:lang w:val="en-US" w:eastAsia="zh-CN"/>
        </w:rPr>
        <w:t>设施</w:t>
      </w:r>
      <w:r>
        <w:rPr>
          <w:rFonts w:hint="eastAsia" w:ascii="宋体" w:hAnsi="宋体" w:cs="Arial"/>
          <w:color w:val="auto"/>
          <w:sz w:val="24"/>
        </w:rPr>
        <w:t>和道路</w:t>
      </w:r>
      <w:r>
        <w:rPr>
          <w:rFonts w:hint="eastAsia" w:ascii="宋体" w:hAnsi="宋体" w:cs="Arial"/>
          <w:color w:val="auto"/>
          <w:sz w:val="24"/>
          <w:lang w:val="en-US" w:eastAsia="zh-CN"/>
        </w:rPr>
        <w:t>等配套</w:t>
      </w:r>
      <w:r>
        <w:rPr>
          <w:rFonts w:hint="eastAsia" w:ascii="宋体" w:hAnsi="宋体" w:cs="Arial"/>
          <w:color w:val="auto"/>
          <w:sz w:val="24"/>
        </w:rPr>
        <w:t>工程为</w:t>
      </w:r>
      <w:r>
        <w:rPr>
          <w:rFonts w:hint="eastAsia" w:ascii="宋体" w:hAnsi="宋体" w:cs="Arial"/>
          <w:color w:val="auto"/>
          <w:sz w:val="24"/>
          <w:u w:val="single"/>
        </w:rPr>
        <w:t xml:space="preserve">  两  </w:t>
      </w:r>
      <w:r>
        <w:rPr>
          <w:rFonts w:hint="eastAsia" w:ascii="宋体" w:hAnsi="宋体" w:cs="Arial"/>
          <w:color w:val="auto"/>
          <w:sz w:val="24"/>
        </w:rPr>
        <w:t>年；</w:t>
      </w:r>
    </w:p>
    <w:p w14:paraId="761E153A">
      <w:pPr>
        <w:widowControl/>
        <w:spacing w:line="460" w:lineRule="exact"/>
        <w:ind w:left="560"/>
        <w:jc w:val="left"/>
        <w:rPr>
          <w:rFonts w:hint="eastAsia" w:ascii="宋体" w:hAnsi="宋体" w:cs="Arial"/>
          <w:color w:val="auto"/>
          <w:sz w:val="24"/>
        </w:rPr>
      </w:pPr>
      <w:r>
        <w:rPr>
          <w:rFonts w:hint="eastAsia" w:ascii="宋体" w:hAnsi="宋体" w:cs="Arial"/>
          <w:color w:val="auto"/>
          <w:sz w:val="24"/>
          <w:lang w:val="en-US" w:eastAsia="zh-CN"/>
        </w:rPr>
        <w:t>6</w:t>
      </w:r>
      <w:r>
        <w:rPr>
          <w:rFonts w:hint="eastAsia" w:ascii="宋体" w:hAnsi="宋体" w:cs="Arial"/>
          <w:color w:val="auto"/>
          <w:sz w:val="24"/>
        </w:rPr>
        <w:t>.地面软化等为</w:t>
      </w:r>
      <w:r>
        <w:rPr>
          <w:rFonts w:hint="eastAsia" w:ascii="宋体" w:hAnsi="宋体" w:cs="Arial"/>
          <w:color w:val="auto"/>
          <w:sz w:val="24"/>
          <w:u w:val="single"/>
        </w:rPr>
        <w:t xml:space="preserve"> 两 </w:t>
      </w:r>
      <w:r>
        <w:rPr>
          <w:rFonts w:hint="eastAsia" w:ascii="宋体" w:hAnsi="宋体" w:cs="Arial"/>
          <w:color w:val="auto"/>
          <w:sz w:val="24"/>
        </w:rPr>
        <w:t>年；</w:t>
      </w:r>
    </w:p>
    <w:p w14:paraId="768DDB5E">
      <w:pPr>
        <w:widowControl/>
        <w:spacing w:line="460" w:lineRule="exact"/>
        <w:ind w:left="560"/>
        <w:jc w:val="left"/>
        <w:rPr>
          <w:rFonts w:ascii="宋体" w:hAnsi="宋体" w:cs="Arial"/>
          <w:color w:val="auto"/>
          <w:sz w:val="24"/>
        </w:rPr>
      </w:pPr>
      <w:r>
        <w:rPr>
          <w:rFonts w:hint="eastAsia" w:ascii="宋体" w:hAnsi="宋体" w:cs="Arial"/>
          <w:color w:val="auto"/>
          <w:sz w:val="24"/>
          <w:lang w:val="en-US" w:eastAsia="zh-CN"/>
        </w:rPr>
        <w:t>7</w:t>
      </w:r>
      <w:r>
        <w:rPr>
          <w:rFonts w:hint="eastAsia" w:ascii="宋体" w:hAnsi="宋体" w:cs="Arial"/>
          <w:color w:val="auto"/>
          <w:sz w:val="24"/>
        </w:rPr>
        <w:t>.其他约定</w:t>
      </w:r>
      <w:r>
        <w:rPr>
          <w:rFonts w:hint="eastAsia" w:ascii="宋体" w:hAnsi="宋体" w:cs="Arial"/>
          <w:color w:val="auto"/>
          <w:sz w:val="24"/>
          <w:u w:val="single"/>
        </w:rPr>
        <w:t xml:space="preserve">                   /                          </w:t>
      </w:r>
      <w:r>
        <w:rPr>
          <w:rFonts w:hint="eastAsia" w:ascii="宋体" w:hAnsi="宋体" w:cs="Arial"/>
          <w:color w:val="auto"/>
          <w:sz w:val="24"/>
        </w:rPr>
        <w:t>。</w:t>
      </w:r>
    </w:p>
    <w:p w14:paraId="4BF0A6FA">
      <w:pPr>
        <w:widowControl/>
        <w:spacing w:line="460" w:lineRule="exact"/>
        <w:ind w:firstLine="482" w:firstLineChars="200"/>
        <w:jc w:val="left"/>
        <w:rPr>
          <w:rFonts w:ascii="宋体" w:hAnsi="宋体" w:cs="Arial"/>
          <w:b/>
          <w:color w:val="auto"/>
          <w:sz w:val="24"/>
        </w:rPr>
      </w:pPr>
      <w:r>
        <w:rPr>
          <w:rFonts w:hint="eastAsia" w:ascii="宋体" w:hAnsi="宋体" w:cs="Arial"/>
          <w:b/>
          <w:color w:val="auto"/>
          <w:sz w:val="24"/>
        </w:rPr>
        <w:t xml:space="preserve">三、质量保修责任 </w:t>
      </w:r>
    </w:p>
    <w:p w14:paraId="72E15D4A">
      <w:pPr>
        <w:widowControl/>
        <w:spacing w:line="460" w:lineRule="exact"/>
        <w:ind w:firstLine="480" w:firstLineChars="200"/>
        <w:jc w:val="left"/>
        <w:rPr>
          <w:rFonts w:ascii="宋体" w:hAnsi="宋体" w:cs="Arial"/>
          <w:color w:val="auto"/>
          <w:sz w:val="24"/>
        </w:rPr>
      </w:pPr>
      <w:r>
        <w:rPr>
          <w:rFonts w:hint="eastAsia" w:ascii="宋体" w:hAnsi="宋体" w:cs="Arial"/>
          <w:color w:val="auto"/>
          <w:sz w:val="24"/>
        </w:rPr>
        <w:t xml:space="preserve">1、属于保修范围和内容的项目，承包人应在接到修理通知之日后7天内派人修理。承包人不在约定期限内派人修理的，发包人可委托其他人员修理，保修费用从质量保修金内扣除。 </w:t>
      </w:r>
    </w:p>
    <w:p w14:paraId="7F034D87">
      <w:pPr>
        <w:widowControl/>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2、发生紧急抢修事故（如上水跑水、暖气漏水漏气、燃气漏气等），承包人接到事故通知后，应当立即到达事故现场抢修。非承包人施工质量引起的事故，抢修费用由发包人承担。</w:t>
      </w:r>
    </w:p>
    <w:p w14:paraId="0F18C48D">
      <w:pPr>
        <w:widowControl/>
        <w:spacing w:line="480" w:lineRule="exact"/>
        <w:ind w:firstLine="480" w:firstLineChars="200"/>
        <w:jc w:val="left"/>
        <w:rPr>
          <w:rFonts w:ascii="宋体" w:hAnsi="宋体" w:cs="Arial"/>
          <w:color w:val="auto"/>
          <w:sz w:val="24"/>
        </w:rPr>
      </w:pPr>
      <w:r>
        <w:rPr>
          <w:rFonts w:hint="eastAsia" w:ascii="宋体" w:hAnsi="宋体" w:cs="Arial"/>
          <w:color w:val="auto"/>
          <w:sz w:val="24"/>
        </w:rPr>
        <w:t>3、在国家规定的工程合理期限内，承包人确保地基基础工程和主体结构的质量。因承包人原因致使工程在合理使用期限内造成人身和财产损害的，承包人应承担损害赔偿责任。</w:t>
      </w:r>
    </w:p>
    <w:p w14:paraId="509FBAC8">
      <w:pPr>
        <w:widowControl/>
        <w:spacing w:line="480" w:lineRule="exact"/>
        <w:ind w:firstLine="482" w:firstLineChars="200"/>
        <w:jc w:val="left"/>
        <w:rPr>
          <w:rFonts w:ascii="宋体" w:hAnsi="宋体" w:cs="Arial"/>
          <w:b/>
          <w:color w:val="auto"/>
          <w:sz w:val="24"/>
        </w:rPr>
      </w:pPr>
      <w:r>
        <w:rPr>
          <w:rFonts w:hint="eastAsia" w:ascii="宋体" w:hAnsi="宋体" w:cs="Arial"/>
          <w:b/>
          <w:color w:val="auto"/>
          <w:sz w:val="24"/>
        </w:rPr>
        <w:t xml:space="preserve">四、质量保修金的支付 </w:t>
      </w:r>
    </w:p>
    <w:p w14:paraId="2DC99F08">
      <w:pPr>
        <w:widowControl/>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本工程约定的工程质量保修金为施工合同价款的</w:t>
      </w:r>
      <w:r>
        <w:rPr>
          <w:rFonts w:hint="eastAsia" w:ascii="宋体" w:hAnsi="宋体" w:cs="Arial"/>
          <w:color w:val="auto"/>
          <w:sz w:val="24"/>
          <w:u w:val="single"/>
        </w:rPr>
        <w:t>3% 。</w:t>
      </w:r>
      <w:r>
        <w:rPr>
          <w:rFonts w:hint="eastAsia" w:ascii="宋体" w:hAnsi="宋体" w:cs="Arial"/>
          <w:color w:val="auto"/>
          <w:sz w:val="24"/>
        </w:rPr>
        <w:t xml:space="preserve">  </w:t>
      </w:r>
    </w:p>
    <w:p w14:paraId="7358791E">
      <w:pPr>
        <w:widowControl/>
        <w:spacing w:line="480" w:lineRule="exact"/>
        <w:ind w:firstLine="480" w:firstLineChars="200"/>
        <w:jc w:val="left"/>
        <w:rPr>
          <w:rFonts w:hint="eastAsia" w:ascii="宋体" w:hAnsi="宋体" w:cs="Arial"/>
          <w:color w:val="auto"/>
          <w:sz w:val="24"/>
        </w:rPr>
      </w:pPr>
      <w:r>
        <w:rPr>
          <w:rFonts w:hint="eastAsia" w:ascii="宋体" w:hAnsi="宋体" w:cs="Arial"/>
          <w:color w:val="auto"/>
          <w:sz w:val="24"/>
        </w:rPr>
        <w:t>本工程双方约定承包人向发包人支付工程质量保修金额（大写：</w:t>
      </w:r>
      <w:r>
        <w:rPr>
          <w:rFonts w:hint="eastAsia" w:ascii="宋体" w:hAnsi="宋体" w:cs="Arial"/>
          <w:color w:val="auto"/>
          <w:sz w:val="24"/>
          <w:u w:val="single"/>
        </w:rPr>
        <w:t xml:space="preserve">             </w:t>
      </w:r>
      <w:r>
        <w:rPr>
          <w:rFonts w:hint="eastAsia" w:ascii="宋体" w:hAnsi="宋体" w:cs="Arial"/>
          <w:color w:val="auto"/>
          <w:sz w:val="24"/>
        </w:rPr>
        <w:t>）。</w:t>
      </w:r>
    </w:p>
    <w:p w14:paraId="32F07A28">
      <w:pPr>
        <w:widowControl/>
        <w:numPr>
          <w:ilvl w:val="0"/>
          <w:numId w:val="1"/>
        </w:numPr>
        <w:spacing w:line="480" w:lineRule="exact"/>
        <w:ind w:firstLine="482" w:firstLineChars="200"/>
        <w:jc w:val="left"/>
        <w:rPr>
          <w:rFonts w:hint="eastAsia" w:ascii="宋体" w:hAnsi="宋体" w:cs="Arial"/>
          <w:b/>
          <w:color w:val="auto"/>
          <w:sz w:val="24"/>
        </w:rPr>
      </w:pPr>
      <w:r>
        <w:rPr>
          <w:rFonts w:hint="eastAsia" w:ascii="宋体" w:hAnsi="宋体" w:cs="Arial"/>
          <w:b/>
          <w:color w:val="auto"/>
          <w:sz w:val="24"/>
        </w:rPr>
        <w:t>质量保修金的返还</w:t>
      </w:r>
    </w:p>
    <w:p w14:paraId="59D05A58">
      <w:pPr>
        <w:widowControl/>
        <w:spacing w:line="480" w:lineRule="exact"/>
        <w:jc w:val="left"/>
        <w:rPr>
          <w:rFonts w:ascii="宋体" w:hAnsi="宋体" w:cs="Arial"/>
          <w:color w:val="auto"/>
          <w:sz w:val="24"/>
        </w:rPr>
      </w:pPr>
      <w:r>
        <w:rPr>
          <w:rFonts w:hint="eastAsia" w:ascii="宋体" w:hAnsi="宋体" w:cs="Arial"/>
          <w:color w:val="auto"/>
          <w:sz w:val="24"/>
        </w:rPr>
        <w:t>发包人在质量保修期满后14天内，将剩余保修金返还承包人。</w:t>
      </w:r>
    </w:p>
    <w:p w14:paraId="5612484A">
      <w:pPr>
        <w:widowControl/>
        <w:spacing w:line="480" w:lineRule="exact"/>
        <w:ind w:firstLine="482" w:firstLineChars="200"/>
        <w:jc w:val="left"/>
        <w:rPr>
          <w:rFonts w:ascii="宋体" w:hAnsi="宋体" w:cs="Arial"/>
          <w:b/>
          <w:color w:val="auto"/>
          <w:sz w:val="24"/>
        </w:rPr>
      </w:pPr>
      <w:r>
        <w:rPr>
          <w:rFonts w:hint="eastAsia" w:ascii="宋体" w:hAnsi="宋体" w:cs="Arial"/>
          <w:b/>
          <w:color w:val="auto"/>
          <w:sz w:val="24"/>
        </w:rPr>
        <w:t xml:space="preserve">六、其他 </w:t>
      </w:r>
    </w:p>
    <w:p w14:paraId="6FD78EDF">
      <w:pPr>
        <w:widowControl/>
        <w:spacing w:line="480" w:lineRule="exact"/>
        <w:ind w:left="479" w:leftChars="228"/>
        <w:jc w:val="left"/>
        <w:rPr>
          <w:rFonts w:ascii="宋体" w:hAnsi="宋体" w:cs="Arial"/>
          <w:color w:val="auto"/>
          <w:sz w:val="24"/>
        </w:rPr>
      </w:pPr>
      <w:r>
        <w:rPr>
          <w:rFonts w:hint="eastAsia" w:ascii="宋体" w:hAnsi="宋体" w:cs="Arial"/>
          <w:color w:val="auto"/>
          <w:sz w:val="24"/>
        </w:rPr>
        <w:t>双方约定的其他工程质量保修事项：</w:t>
      </w:r>
    </w:p>
    <w:p w14:paraId="05D322E5">
      <w:pPr>
        <w:widowControl/>
        <w:spacing w:line="480" w:lineRule="exact"/>
        <w:ind w:firstLine="480" w:firstLineChars="200"/>
        <w:jc w:val="left"/>
        <w:rPr>
          <w:rFonts w:hint="eastAsia" w:ascii="宋体" w:hAnsi="宋体" w:cs="Arial"/>
          <w:color w:val="auto"/>
          <w:sz w:val="24"/>
          <w:u w:val="single"/>
        </w:rPr>
      </w:pPr>
      <w:r>
        <w:rPr>
          <w:rFonts w:hint="eastAsia" w:ascii="宋体" w:hAnsi="宋体" w:cs="Arial"/>
          <w:color w:val="auto"/>
          <w:sz w:val="24"/>
        </w:rPr>
        <w:t xml:space="preserve"> </w:t>
      </w:r>
      <w:r>
        <w:rPr>
          <w:rFonts w:hint="eastAsia" w:ascii="宋体" w:hAnsi="宋体" w:cs="Arial"/>
          <w:color w:val="auto"/>
          <w:sz w:val="24"/>
          <w:u w:val="single"/>
        </w:rPr>
        <w:t xml:space="preserve">                             /                                           </w:t>
      </w:r>
    </w:p>
    <w:p w14:paraId="1FCA44C2">
      <w:pPr>
        <w:widowControl/>
        <w:spacing w:line="480" w:lineRule="exact"/>
        <w:ind w:firstLine="464" w:firstLineChars="200"/>
        <w:jc w:val="left"/>
        <w:rPr>
          <w:rFonts w:hint="eastAsia" w:ascii="宋体" w:hAnsi="宋体" w:cs="Arial"/>
          <w:color w:val="auto"/>
          <w:spacing w:val="-4"/>
          <w:sz w:val="24"/>
        </w:rPr>
      </w:pPr>
      <w:r>
        <w:rPr>
          <w:rFonts w:hint="eastAsia" w:ascii="宋体" w:hAnsi="宋体" w:cs="Arial"/>
          <w:color w:val="auto"/>
          <w:spacing w:val="-4"/>
          <w:sz w:val="24"/>
        </w:rPr>
        <w:t>本工程质量保修作书为施工合同的附件，由施工合同发包人、承包人双方共同签订</w:t>
      </w:r>
    </w:p>
    <w:p w14:paraId="060BA671">
      <w:pPr>
        <w:widowControl/>
        <w:spacing w:line="480" w:lineRule="exact"/>
        <w:jc w:val="left"/>
        <w:rPr>
          <w:rFonts w:hint="eastAsia" w:ascii="宋体" w:hAnsi="宋体" w:cs="Arial"/>
          <w:color w:val="auto"/>
          <w:spacing w:val="-4"/>
          <w:sz w:val="24"/>
        </w:rPr>
      </w:pPr>
    </w:p>
    <w:p w14:paraId="3804C460">
      <w:pPr>
        <w:widowControl/>
        <w:spacing w:line="480" w:lineRule="exact"/>
        <w:jc w:val="left"/>
        <w:rPr>
          <w:rFonts w:hint="eastAsia" w:ascii="宋体" w:hAnsi="宋体" w:cs="Arial"/>
          <w:color w:val="auto"/>
          <w:spacing w:val="-4"/>
          <w:sz w:val="24"/>
        </w:rPr>
      </w:pPr>
    </w:p>
    <w:p w14:paraId="60EBF30A">
      <w:pPr>
        <w:widowControl/>
        <w:spacing w:line="480" w:lineRule="exact"/>
        <w:jc w:val="left"/>
        <w:rPr>
          <w:rFonts w:hint="eastAsia" w:ascii="宋体" w:hAnsi="宋体" w:cs="Arial"/>
          <w:color w:val="auto"/>
          <w:spacing w:val="-4"/>
          <w:sz w:val="24"/>
        </w:rPr>
      </w:pPr>
    </w:p>
    <w:p w14:paraId="6DB64A4A">
      <w:pPr>
        <w:widowControl/>
        <w:spacing w:line="480" w:lineRule="exact"/>
        <w:jc w:val="left"/>
        <w:rPr>
          <w:rFonts w:hint="eastAsia" w:ascii="宋体" w:hAnsi="宋体" w:cs="Arial"/>
          <w:color w:val="auto"/>
          <w:spacing w:val="-4"/>
          <w:sz w:val="24"/>
        </w:rPr>
      </w:pPr>
    </w:p>
    <w:p w14:paraId="2587584B">
      <w:pPr>
        <w:widowControl/>
        <w:spacing w:line="480" w:lineRule="exact"/>
        <w:jc w:val="left"/>
        <w:rPr>
          <w:rFonts w:ascii="宋体" w:hAnsi="宋体" w:cs="Arial"/>
          <w:color w:val="auto"/>
          <w:spacing w:val="-4"/>
          <w:sz w:val="24"/>
        </w:rPr>
      </w:pPr>
      <w:r>
        <w:rPr>
          <w:rFonts w:hint="eastAsia" w:ascii="宋体" w:hAnsi="宋体" w:cs="Arial"/>
          <w:color w:val="auto"/>
          <w:sz w:val="24"/>
        </w:rPr>
        <w:t>发包人（公章）：</w:t>
      </w:r>
      <w:r>
        <w:rPr>
          <w:rFonts w:hint="eastAsia" w:ascii="宋体" w:hAnsi="宋体" w:cs="Arial"/>
          <w:color w:val="auto"/>
          <w:sz w:val="24"/>
          <w:u w:val="single"/>
        </w:rPr>
        <w:t xml:space="preserve"> 蓝田县教育和科学技术局 </w:t>
      </w:r>
      <w:r>
        <w:rPr>
          <w:rFonts w:hint="eastAsia" w:ascii="宋体" w:hAnsi="宋体" w:cs="Arial"/>
          <w:color w:val="auto"/>
          <w:sz w:val="24"/>
        </w:rPr>
        <w:t xml:space="preserve">     承包人（公章）：</w:t>
      </w:r>
      <w:r>
        <w:rPr>
          <w:rFonts w:hint="eastAsia" w:ascii="宋体" w:hAnsi="宋体" w:cs="Arial"/>
          <w:color w:val="auto"/>
          <w:sz w:val="24"/>
          <w:u w:val="single"/>
        </w:rPr>
        <w:t xml:space="preserve">                      </w:t>
      </w:r>
    </w:p>
    <w:p w14:paraId="0F6CDF84">
      <w:pPr>
        <w:widowControl/>
        <w:spacing w:line="480" w:lineRule="exact"/>
        <w:ind w:firstLine="480" w:firstLineChars="200"/>
        <w:jc w:val="left"/>
        <w:rPr>
          <w:rFonts w:ascii="宋体" w:hAnsi="宋体" w:cs="Arial"/>
          <w:color w:val="auto"/>
          <w:sz w:val="24"/>
        </w:rPr>
      </w:pPr>
    </w:p>
    <w:p w14:paraId="14877971">
      <w:pPr>
        <w:widowControl/>
        <w:spacing w:line="480" w:lineRule="exact"/>
        <w:jc w:val="left"/>
        <w:rPr>
          <w:rFonts w:hint="eastAsia" w:ascii="宋体" w:hAnsi="宋体" w:cs="Arial"/>
          <w:color w:val="auto"/>
          <w:sz w:val="24"/>
        </w:rPr>
      </w:pPr>
    </w:p>
    <w:p w14:paraId="5D44B2A6">
      <w:pPr>
        <w:widowControl/>
        <w:spacing w:line="480" w:lineRule="exact"/>
        <w:jc w:val="left"/>
        <w:rPr>
          <w:rFonts w:hint="eastAsia" w:ascii="宋体" w:hAnsi="宋体" w:cs="Arial"/>
          <w:color w:val="auto"/>
          <w:sz w:val="24"/>
        </w:rPr>
      </w:pPr>
    </w:p>
    <w:p w14:paraId="5BCD01E1">
      <w:pPr>
        <w:widowControl/>
        <w:spacing w:line="480" w:lineRule="exact"/>
        <w:jc w:val="left"/>
        <w:rPr>
          <w:rFonts w:hint="eastAsia" w:ascii="宋体" w:hAnsi="宋体" w:cs="Arial"/>
          <w:color w:val="auto"/>
          <w:sz w:val="24"/>
        </w:rPr>
      </w:pPr>
    </w:p>
    <w:p w14:paraId="69FEAF77">
      <w:pPr>
        <w:widowControl/>
        <w:spacing w:line="480" w:lineRule="exact"/>
        <w:jc w:val="left"/>
        <w:rPr>
          <w:rFonts w:ascii="宋体" w:hAnsi="宋体" w:cs="Arial"/>
          <w:color w:val="auto"/>
          <w:sz w:val="24"/>
        </w:rPr>
      </w:pPr>
      <w:r>
        <w:rPr>
          <w:rFonts w:hint="eastAsia" w:ascii="宋体" w:hAnsi="宋体" w:cs="Arial"/>
          <w:color w:val="auto"/>
          <w:spacing w:val="-14"/>
          <w:sz w:val="24"/>
        </w:rPr>
        <w:t>法定代表人或委托代理人（签字）</w:t>
      </w:r>
      <w:r>
        <w:rPr>
          <w:rFonts w:hint="eastAsia" w:ascii="宋体" w:hAnsi="宋体" w:cs="Arial"/>
          <w:color w:val="auto"/>
          <w:sz w:val="24"/>
        </w:rPr>
        <w:t>：</w:t>
      </w:r>
      <w:r>
        <w:rPr>
          <w:rFonts w:hint="eastAsia" w:ascii="宋体" w:hAnsi="宋体" w:cs="Arial"/>
          <w:color w:val="auto"/>
          <w:sz w:val="24"/>
          <w:u w:val="single"/>
        </w:rPr>
        <w:t xml:space="preserve">                </w:t>
      </w:r>
      <w:r>
        <w:rPr>
          <w:rFonts w:hint="eastAsia" w:ascii="宋体" w:hAnsi="宋体" w:cs="Arial"/>
          <w:color w:val="auto"/>
          <w:sz w:val="24"/>
        </w:rPr>
        <w:t xml:space="preserve"> 法定代表人（签字）：</w:t>
      </w:r>
      <w:r>
        <w:rPr>
          <w:rFonts w:hint="eastAsia" w:ascii="宋体" w:hAnsi="宋体" w:cs="Arial"/>
          <w:color w:val="auto"/>
          <w:sz w:val="24"/>
          <w:u w:val="single"/>
        </w:rPr>
        <w:t xml:space="preserve">                    </w:t>
      </w:r>
    </w:p>
    <w:p w14:paraId="11F1AE05">
      <w:pPr>
        <w:widowControl/>
        <w:spacing w:line="480" w:lineRule="exact"/>
        <w:ind w:firstLine="480" w:firstLineChars="200"/>
        <w:jc w:val="left"/>
        <w:rPr>
          <w:rFonts w:ascii="宋体" w:hAnsi="宋体" w:cs="Arial"/>
          <w:color w:val="auto"/>
          <w:sz w:val="24"/>
        </w:rPr>
      </w:pPr>
    </w:p>
    <w:p w14:paraId="101AE1F9">
      <w:pPr>
        <w:spacing w:line="480" w:lineRule="exact"/>
        <w:ind w:firstLine="1200" w:firstLineChars="500"/>
        <w:jc w:val="left"/>
        <w:rPr>
          <w:rFonts w:hint="eastAsia" w:ascii="宋体" w:hAnsi="宋体" w:cs="Arial"/>
          <w:color w:val="auto"/>
          <w:sz w:val="24"/>
        </w:rPr>
      </w:pPr>
      <w:r>
        <w:rPr>
          <w:rFonts w:hint="eastAsia" w:ascii="宋体" w:hAnsi="宋体" w:cs="Arial"/>
          <w:color w:val="auto"/>
          <w:sz w:val="24"/>
        </w:rPr>
        <w:t xml:space="preserve">年    月     日                             年    月     日 </w:t>
      </w:r>
    </w:p>
    <w:p w14:paraId="5BFBD052">
      <w:pPr>
        <w:spacing w:line="480" w:lineRule="exact"/>
        <w:ind w:firstLine="1200" w:firstLineChars="500"/>
        <w:jc w:val="left"/>
        <w:rPr>
          <w:rFonts w:hint="eastAsia" w:ascii="宋体" w:hAnsi="宋体" w:cs="Arial"/>
          <w:color w:val="auto"/>
          <w:sz w:val="24"/>
        </w:rPr>
      </w:pPr>
    </w:p>
    <w:p w14:paraId="6788342D">
      <w:pPr>
        <w:widowControl/>
        <w:spacing w:line="480" w:lineRule="exact"/>
        <w:rPr>
          <w:rFonts w:hint="eastAsia" w:ascii="黑体" w:hAnsi="宋体" w:eastAsia="黑体"/>
          <w:color w:val="auto"/>
          <w:sz w:val="28"/>
          <w:szCs w:val="28"/>
        </w:rPr>
      </w:pPr>
      <w:r>
        <w:rPr>
          <w:rFonts w:hint="eastAsia" w:ascii="黑体" w:hAnsi="宋体" w:eastAsia="黑体"/>
          <w:color w:val="auto"/>
          <w:sz w:val="28"/>
          <w:szCs w:val="28"/>
        </w:rPr>
        <w:t>附件4：</w:t>
      </w:r>
    </w:p>
    <w:p w14:paraId="1F63A61F">
      <w:pPr>
        <w:widowControl/>
        <w:spacing w:line="480" w:lineRule="exact"/>
        <w:jc w:val="center"/>
        <w:rPr>
          <w:rFonts w:hint="eastAsia" w:ascii="宋体" w:hAnsi="宋体"/>
          <w:b/>
          <w:color w:val="auto"/>
          <w:sz w:val="28"/>
          <w:szCs w:val="28"/>
        </w:rPr>
      </w:pPr>
      <w:r>
        <w:rPr>
          <w:rFonts w:hint="eastAsia" w:ascii="宋体" w:hAnsi="宋体"/>
          <w:b/>
          <w:color w:val="auto"/>
          <w:sz w:val="28"/>
          <w:szCs w:val="28"/>
        </w:rPr>
        <w:t>蓝田县建设工地治污减霾及两类企业扬尘治理相关措施</w:t>
      </w:r>
    </w:p>
    <w:p w14:paraId="76F49932">
      <w:pPr>
        <w:widowControl/>
        <w:spacing w:line="480" w:lineRule="exact"/>
        <w:rPr>
          <w:rFonts w:hint="eastAsia" w:ascii="宋体" w:hAnsi="宋体"/>
          <w:color w:val="auto"/>
          <w:sz w:val="24"/>
        </w:rPr>
      </w:pPr>
      <w:r>
        <w:rPr>
          <w:rFonts w:hint="eastAsia" w:ascii="宋体" w:hAnsi="宋体"/>
          <w:b/>
          <w:color w:val="auto"/>
          <w:szCs w:val="21"/>
        </w:rPr>
        <w:t xml:space="preserve">  </w:t>
      </w:r>
      <w:r>
        <w:rPr>
          <w:rFonts w:hint="eastAsia" w:ascii="宋体" w:hAnsi="宋体"/>
          <w:color w:val="auto"/>
          <w:szCs w:val="21"/>
        </w:rPr>
        <w:t xml:space="preserve"> </w:t>
      </w:r>
      <w:r>
        <w:rPr>
          <w:rFonts w:hint="eastAsia" w:ascii="宋体" w:hAnsi="宋体"/>
          <w:color w:val="auto"/>
          <w:sz w:val="24"/>
        </w:rPr>
        <w:t xml:space="preserve"> 为认真贯彻落实蓝田县铁腕治霾保卫蓝天，相关工作具体要求，做好全县建设工地、预拌混凝土和预拌砂浆生产企业扬尘防治工作，现就相关措施，作出明确要求，望各单位认真执行，严格落实。</w:t>
      </w:r>
    </w:p>
    <w:p w14:paraId="4AC284B7">
      <w:pPr>
        <w:widowControl/>
        <w:spacing w:line="480" w:lineRule="exact"/>
        <w:outlineLvl w:val="0"/>
        <w:rPr>
          <w:rFonts w:hint="eastAsia" w:ascii="宋体" w:hAnsi="宋体"/>
          <w:b/>
          <w:color w:val="auto"/>
          <w:sz w:val="24"/>
        </w:rPr>
      </w:pPr>
      <w:r>
        <w:rPr>
          <w:rFonts w:hint="eastAsia" w:ascii="宋体" w:hAnsi="宋体"/>
          <w:b/>
          <w:color w:val="auto"/>
          <w:sz w:val="24"/>
        </w:rPr>
        <w:t xml:space="preserve">     一、建设工程扬尘治理19条措施：</w:t>
      </w:r>
    </w:p>
    <w:p w14:paraId="1D30A195">
      <w:pPr>
        <w:widowControl/>
        <w:spacing w:line="480" w:lineRule="exact"/>
        <w:ind w:firstLine="600" w:firstLineChars="250"/>
        <w:rPr>
          <w:rFonts w:hint="eastAsia" w:ascii="宋体" w:hAnsi="宋体"/>
          <w:color w:val="auto"/>
          <w:sz w:val="24"/>
        </w:rPr>
      </w:pPr>
      <w:r>
        <w:rPr>
          <w:rFonts w:hint="eastAsia" w:ascii="宋体" w:hAnsi="宋体"/>
          <w:color w:val="auto"/>
          <w:sz w:val="24"/>
        </w:rPr>
        <w:t>1、建设工地需设置环境保护牌，标明扬尘治理措施、责任人及监督电话等内容。</w:t>
      </w:r>
    </w:p>
    <w:p w14:paraId="22C2D978">
      <w:pPr>
        <w:widowControl/>
        <w:spacing w:line="480" w:lineRule="exact"/>
        <w:ind w:firstLine="600" w:firstLineChars="250"/>
        <w:rPr>
          <w:rFonts w:hint="eastAsia" w:ascii="宋体" w:hAnsi="宋体"/>
          <w:color w:val="auto"/>
          <w:sz w:val="24"/>
        </w:rPr>
      </w:pPr>
      <w:r>
        <w:rPr>
          <w:rFonts w:hint="eastAsia" w:ascii="宋体" w:hAnsi="宋体"/>
          <w:color w:val="auto"/>
          <w:sz w:val="24"/>
        </w:rPr>
        <w:t>2、施工现场应实行封闭管理，并采用牢固、稳定、整洁的硬质围挡。建筑施工围挡高度为2.5m、市政施工围挡不低于1.8m、地铁施工围挡高度为2.8m。围挡原则上以白色或浅色为主，也可结合区域文化特点设置同一颜色的围挡或景观墙，作为小区永久性围墙使用。</w:t>
      </w:r>
    </w:p>
    <w:p w14:paraId="652F7793">
      <w:pPr>
        <w:widowControl/>
        <w:spacing w:line="480" w:lineRule="exact"/>
        <w:ind w:firstLine="600" w:firstLineChars="250"/>
        <w:rPr>
          <w:rFonts w:hint="eastAsia" w:ascii="宋体" w:hAnsi="宋体"/>
          <w:color w:val="auto"/>
          <w:sz w:val="24"/>
        </w:rPr>
      </w:pPr>
      <w:r>
        <w:rPr>
          <w:rFonts w:hint="eastAsia" w:ascii="宋体" w:hAnsi="宋体"/>
          <w:color w:val="auto"/>
          <w:sz w:val="24"/>
        </w:rPr>
        <w:t>3、建设工地应合理设置出入口，采取混凝土硬化。硬化路面长度、宽度、厚度应符合规范规定，满足大型运输车辆尊性要求。</w:t>
      </w:r>
    </w:p>
    <w:p w14:paraId="7D16E365">
      <w:pPr>
        <w:widowControl/>
        <w:spacing w:line="480" w:lineRule="exact"/>
        <w:ind w:firstLine="600" w:firstLineChars="250"/>
        <w:rPr>
          <w:rFonts w:hint="eastAsia" w:ascii="宋体" w:hAnsi="宋体"/>
          <w:color w:val="auto"/>
          <w:sz w:val="24"/>
        </w:rPr>
      </w:pPr>
      <w:r>
        <w:rPr>
          <w:rFonts w:hint="eastAsia" w:ascii="宋体" w:hAnsi="宋体"/>
          <w:color w:val="auto"/>
          <w:sz w:val="24"/>
        </w:rPr>
        <w:t>4、“两类企业”及建设工地大门内侧应设置冲洗台，配备高压水枪等冲洗设备，其周边设置排水沟和沉淀池。明确专人负责对出场的运输车辆100%清洗，确保车辆不带泥上路。保持出入口通道及及周边100米以内道路清洁。</w:t>
      </w:r>
    </w:p>
    <w:p w14:paraId="2657047A">
      <w:pPr>
        <w:widowControl/>
        <w:spacing w:line="480" w:lineRule="exact"/>
        <w:ind w:firstLine="600" w:firstLineChars="250"/>
        <w:rPr>
          <w:rFonts w:hint="eastAsia" w:ascii="宋体" w:hAnsi="宋体"/>
          <w:color w:val="auto"/>
          <w:sz w:val="24"/>
        </w:rPr>
      </w:pPr>
      <w:r>
        <w:rPr>
          <w:rFonts w:hint="eastAsia" w:ascii="宋体" w:hAnsi="宋体"/>
          <w:color w:val="auto"/>
          <w:sz w:val="24"/>
        </w:rPr>
        <w:t>5、建设工地主要道路均要进行混凝土硬化，因施工需要，部分未进行混凝土硬化的道路铺设砾石或砖渣，在易出现扬尘和泥土的路段必要时可采用铺设再生棉毡等方法。加大吸附能力，并定期洒水，确保车辆行驶不造成扬尘污染。</w:t>
      </w:r>
    </w:p>
    <w:p w14:paraId="4D6165A3">
      <w:pPr>
        <w:widowControl/>
        <w:spacing w:line="480" w:lineRule="exact"/>
        <w:ind w:firstLine="600" w:firstLineChars="250"/>
        <w:rPr>
          <w:rFonts w:hint="eastAsia" w:ascii="宋体" w:hAnsi="宋体"/>
          <w:color w:val="auto"/>
          <w:sz w:val="24"/>
        </w:rPr>
      </w:pPr>
      <w:r>
        <w:rPr>
          <w:rFonts w:hint="eastAsia" w:ascii="宋体" w:hAnsi="宋体"/>
          <w:color w:val="auto"/>
          <w:sz w:val="24"/>
        </w:rPr>
        <w:t>6、建设工地在进（出）阶段，根据工程量大小，配备足够的保洁员分别负责工地环境卫生和洒水降尘工作。</w:t>
      </w:r>
    </w:p>
    <w:p w14:paraId="300552FB">
      <w:pPr>
        <w:widowControl/>
        <w:spacing w:line="480" w:lineRule="exact"/>
        <w:ind w:firstLine="600" w:firstLineChars="250"/>
        <w:rPr>
          <w:rFonts w:hint="eastAsia" w:ascii="宋体" w:hAnsi="宋体"/>
          <w:color w:val="auto"/>
          <w:sz w:val="24"/>
        </w:rPr>
      </w:pPr>
      <w:r>
        <w:rPr>
          <w:rFonts w:hint="eastAsia" w:ascii="宋体" w:hAnsi="宋体"/>
          <w:color w:val="auto"/>
          <w:sz w:val="24"/>
        </w:rPr>
        <w:t>7、易产生扬尘的粉状建筑材料应存放在库房内且严密遮盖。</w:t>
      </w:r>
    </w:p>
    <w:p w14:paraId="741B1185">
      <w:pPr>
        <w:widowControl/>
        <w:spacing w:line="480" w:lineRule="exact"/>
        <w:ind w:firstLine="600" w:firstLineChars="250"/>
        <w:rPr>
          <w:rFonts w:hint="eastAsia" w:ascii="宋体" w:hAnsi="宋体"/>
          <w:color w:val="auto"/>
          <w:sz w:val="24"/>
        </w:rPr>
      </w:pPr>
      <w:r>
        <w:rPr>
          <w:rFonts w:hint="eastAsia" w:ascii="宋体" w:hAnsi="宋体"/>
          <w:color w:val="auto"/>
          <w:sz w:val="24"/>
        </w:rPr>
        <w:t>8、建筑垃圾不得凌空抛掷、抛撒。</w:t>
      </w:r>
    </w:p>
    <w:p w14:paraId="0AB27950">
      <w:pPr>
        <w:widowControl/>
        <w:spacing w:line="480" w:lineRule="exact"/>
        <w:ind w:firstLine="600" w:firstLineChars="250"/>
        <w:rPr>
          <w:rFonts w:hint="eastAsia" w:ascii="宋体" w:hAnsi="宋体"/>
          <w:color w:val="auto"/>
          <w:sz w:val="24"/>
        </w:rPr>
      </w:pPr>
      <w:r>
        <w:rPr>
          <w:rFonts w:hint="eastAsia" w:ascii="宋体" w:hAnsi="宋体"/>
          <w:color w:val="auto"/>
          <w:sz w:val="24"/>
        </w:rPr>
        <w:t>9、建筑工地内的裸露黄土、不能及时清运的土方或垃圾及时用密目网覆盖。</w:t>
      </w:r>
    </w:p>
    <w:p w14:paraId="12CB9AB0">
      <w:pPr>
        <w:widowControl/>
        <w:spacing w:line="480" w:lineRule="exact"/>
        <w:ind w:firstLine="600" w:firstLineChars="250"/>
        <w:rPr>
          <w:rFonts w:hint="eastAsia" w:ascii="宋体" w:hAnsi="宋体"/>
          <w:color w:val="auto"/>
          <w:sz w:val="24"/>
        </w:rPr>
      </w:pPr>
      <w:r>
        <w:rPr>
          <w:rFonts w:hint="eastAsia" w:ascii="宋体" w:hAnsi="宋体"/>
          <w:color w:val="auto"/>
          <w:sz w:val="24"/>
        </w:rPr>
        <w:t>10建筑工地禁止现场搅拌混凝土、砂浆；因特殊工艺需现场搅拌混凝土、砂浆的，经批准后采取降尘防尘措施。</w:t>
      </w:r>
    </w:p>
    <w:p w14:paraId="7D72F37F">
      <w:pPr>
        <w:widowControl/>
        <w:spacing w:line="480" w:lineRule="exact"/>
        <w:ind w:firstLine="600" w:firstLineChars="250"/>
        <w:rPr>
          <w:rFonts w:hint="eastAsia" w:ascii="宋体" w:hAnsi="宋体"/>
          <w:color w:val="auto"/>
          <w:sz w:val="24"/>
        </w:rPr>
      </w:pPr>
      <w:r>
        <w:rPr>
          <w:rFonts w:hint="eastAsia" w:ascii="宋体" w:hAnsi="宋体"/>
          <w:color w:val="auto"/>
          <w:sz w:val="24"/>
        </w:rPr>
        <w:t>11、建筑工地禁止熔融沥青、焚烧塑料、垃圾等有毒有害物质和废弃物，不得使用煤、碳、木料等污染严重的燃料。</w:t>
      </w:r>
    </w:p>
    <w:p w14:paraId="62B5A73F">
      <w:pPr>
        <w:widowControl/>
        <w:spacing w:line="480" w:lineRule="exact"/>
        <w:ind w:firstLine="600" w:firstLineChars="250"/>
        <w:rPr>
          <w:rFonts w:hint="eastAsia" w:ascii="宋体" w:hAnsi="宋体"/>
          <w:color w:val="auto"/>
          <w:sz w:val="24"/>
        </w:rPr>
      </w:pPr>
      <w:r>
        <w:rPr>
          <w:rFonts w:hint="eastAsia" w:ascii="宋体" w:hAnsi="宋体"/>
          <w:color w:val="auto"/>
          <w:sz w:val="24"/>
        </w:rPr>
        <w:t>12、建筑物、构筑物拆除时，必须铺以持续加压洒水或喷淋措施，以抑制扬尘飞散。</w:t>
      </w:r>
    </w:p>
    <w:p w14:paraId="6588DC27">
      <w:pPr>
        <w:widowControl/>
        <w:spacing w:line="480" w:lineRule="exact"/>
        <w:ind w:firstLine="480" w:firstLineChars="200"/>
        <w:rPr>
          <w:rFonts w:hint="eastAsia" w:ascii="宋体" w:hAnsi="宋体"/>
          <w:color w:val="auto"/>
          <w:sz w:val="24"/>
        </w:rPr>
      </w:pPr>
      <w:r>
        <w:rPr>
          <w:rFonts w:hint="eastAsia" w:ascii="宋体" w:hAnsi="宋体"/>
          <w:color w:val="auto"/>
          <w:sz w:val="24"/>
        </w:rPr>
        <w:t>13、严禁使用冒黑烟的柴油打桩机。</w:t>
      </w:r>
    </w:p>
    <w:p w14:paraId="7B54FC1E">
      <w:pPr>
        <w:widowControl/>
        <w:spacing w:line="480" w:lineRule="exact"/>
        <w:ind w:firstLine="480" w:firstLineChars="200"/>
        <w:rPr>
          <w:rFonts w:hint="eastAsia" w:ascii="宋体" w:hAnsi="宋体"/>
          <w:color w:val="auto"/>
          <w:sz w:val="24"/>
        </w:rPr>
      </w:pPr>
      <w:r>
        <w:rPr>
          <w:rFonts w:hint="eastAsia" w:ascii="宋体" w:hAnsi="宋体"/>
          <w:color w:val="auto"/>
          <w:sz w:val="24"/>
        </w:rPr>
        <w:t>14、“两类企业”生产厂区应全部采用混凝土浇注方式进行硬化并落实场地清洁，不得存在浮土、泥泞现象；办公　生活区域未硬化场地应进行绿化；厂区内应设置专用废物料堆放场地并予以覆盖。</w:t>
      </w:r>
    </w:p>
    <w:p w14:paraId="18C31E56">
      <w:pPr>
        <w:widowControl/>
        <w:spacing w:line="480" w:lineRule="exact"/>
        <w:ind w:firstLine="480" w:firstLineChars="200"/>
        <w:rPr>
          <w:rFonts w:hint="eastAsia" w:ascii="宋体" w:hAnsi="宋体"/>
          <w:color w:val="auto"/>
          <w:sz w:val="24"/>
        </w:rPr>
      </w:pPr>
      <w:r>
        <w:rPr>
          <w:rFonts w:hint="eastAsia" w:ascii="宋体" w:hAnsi="宋体"/>
          <w:color w:val="auto"/>
          <w:sz w:val="24"/>
        </w:rPr>
        <w:t>15、“两类企业”原材料对方应采用全封闭厂房，因特殊原因无法建设封闭料仓的必须采取措施全部覆盖。</w:t>
      </w:r>
    </w:p>
    <w:p w14:paraId="7A254145">
      <w:pPr>
        <w:widowControl/>
        <w:spacing w:line="480" w:lineRule="exact"/>
        <w:ind w:firstLine="480" w:firstLineChars="200"/>
        <w:rPr>
          <w:rFonts w:hint="eastAsia" w:ascii="宋体" w:hAnsi="宋体"/>
          <w:color w:val="auto"/>
          <w:sz w:val="24"/>
        </w:rPr>
      </w:pPr>
      <w:r>
        <w:rPr>
          <w:rFonts w:hint="eastAsia" w:ascii="宋体" w:hAnsi="宋体"/>
          <w:color w:val="auto"/>
          <w:sz w:val="24"/>
        </w:rPr>
        <w:t>16、“两类企业”骨料配料仓应在空气净化处理的基础上，配置强制除尘设备；粉料筒仓用使用自动降尘设施，吹灰管应采用硬是密闭接口，无粉料物质溢出及粘附。</w:t>
      </w:r>
    </w:p>
    <w:p w14:paraId="014E9A68">
      <w:pPr>
        <w:widowControl/>
        <w:spacing w:line="480" w:lineRule="exact"/>
        <w:ind w:firstLine="480" w:firstLineChars="200"/>
        <w:rPr>
          <w:rFonts w:hint="eastAsia" w:ascii="宋体" w:hAnsi="宋体"/>
          <w:color w:val="auto"/>
          <w:sz w:val="24"/>
        </w:rPr>
      </w:pPr>
      <w:r>
        <w:rPr>
          <w:rFonts w:hint="eastAsia" w:ascii="宋体" w:hAnsi="宋体"/>
          <w:color w:val="auto"/>
          <w:sz w:val="24"/>
        </w:rPr>
        <w:t>17、四级以上大风天气时严禁建筑物、构筑物拆除，土方开挖、内部倒土、回填以及土地平整等有可能产生扬尘的施工和生产作业，同时要积极对施工现场采取覆盖、撒水等降尘措施。</w:t>
      </w:r>
    </w:p>
    <w:p w14:paraId="5E906A92">
      <w:pPr>
        <w:widowControl/>
        <w:spacing w:line="480" w:lineRule="exact"/>
        <w:ind w:firstLine="480" w:firstLineChars="200"/>
        <w:rPr>
          <w:rFonts w:hint="eastAsia" w:ascii="宋体" w:hAnsi="宋体"/>
          <w:color w:val="auto"/>
          <w:sz w:val="24"/>
        </w:rPr>
      </w:pPr>
      <w:r>
        <w:rPr>
          <w:rFonts w:hint="eastAsia" w:ascii="宋体" w:hAnsi="宋体"/>
          <w:color w:val="auto"/>
          <w:sz w:val="24"/>
        </w:rPr>
        <w:t>18、长期未能开发的待建空地应进行绿化或覆盖。</w:t>
      </w:r>
    </w:p>
    <w:p w14:paraId="5D4A938F">
      <w:pPr>
        <w:widowControl/>
        <w:spacing w:line="480" w:lineRule="exact"/>
        <w:ind w:firstLine="480" w:firstLineChars="200"/>
        <w:rPr>
          <w:rFonts w:hint="eastAsia" w:ascii="宋体" w:hAnsi="宋体"/>
          <w:color w:val="auto"/>
          <w:sz w:val="24"/>
        </w:rPr>
      </w:pPr>
      <w:r>
        <w:rPr>
          <w:rFonts w:hint="eastAsia" w:ascii="宋体" w:hAnsi="宋体"/>
          <w:color w:val="auto"/>
          <w:sz w:val="24"/>
        </w:rPr>
        <w:t>19、市政府发布空气重污染应急响应后，要积极按照预案等级做好扬尘防治工作。</w:t>
      </w:r>
    </w:p>
    <w:p w14:paraId="2686C2DD">
      <w:pPr>
        <w:widowControl/>
        <w:spacing w:line="480" w:lineRule="exact"/>
        <w:ind w:firstLine="472" w:firstLineChars="196"/>
        <w:outlineLvl w:val="0"/>
        <w:rPr>
          <w:rFonts w:hint="eastAsia" w:ascii="宋体" w:hAnsi="宋体"/>
          <w:b/>
          <w:color w:val="auto"/>
          <w:sz w:val="24"/>
        </w:rPr>
      </w:pPr>
      <w:r>
        <w:rPr>
          <w:rFonts w:hint="eastAsia" w:ascii="宋体" w:hAnsi="宋体"/>
          <w:b/>
          <w:color w:val="auto"/>
          <w:sz w:val="24"/>
        </w:rPr>
        <w:t>二、施工现场做到6个100%的要求；</w:t>
      </w:r>
    </w:p>
    <w:p w14:paraId="7A06C8A5">
      <w:pPr>
        <w:widowControl/>
        <w:spacing w:line="480" w:lineRule="exact"/>
        <w:ind w:firstLine="480" w:firstLineChars="200"/>
        <w:rPr>
          <w:rFonts w:hint="eastAsia" w:ascii="宋体" w:hAnsi="宋体"/>
          <w:color w:val="auto"/>
          <w:sz w:val="24"/>
        </w:rPr>
      </w:pPr>
      <w:r>
        <w:rPr>
          <w:rFonts w:hint="eastAsia" w:ascii="宋体" w:hAnsi="宋体"/>
          <w:color w:val="auto"/>
          <w:sz w:val="24"/>
        </w:rPr>
        <w:t>即施工区域100%·标准围挡、裸露黄土100%覆盖、施工道路100%硬化、渣土运输车辆100%密闭拉运、施工现场出入车辆100%清洗、建筑物拆除100%湿法作业。所有施工现场必须安排足够的保洁人员，对所有进出运输车辆按规定进行冲洗，严禁带泥土上路；对施工工地现有裸露黄土进行覆盖，施工现场未按要求完全落实防尘抑尘措施的，一律停工整顿，未整改到位的不得开工。</w:t>
      </w:r>
    </w:p>
    <w:p w14:paraId="1CAEDF5D">
      <w:pPr>
        <w:widowControl/>
        <w:spacing w:line="480" w:lineRule="exact"/>
        <w:ind w:firstLine="472" w:firstLineChars="196"/>
        <w:outlineLvl w:val="0"/>
        <w:rPr>
          <w:rFonts w:hint="eastAsia" w:ascii="宋体" w:hAnsi="宋体"/>
          <w:b/>
          <w:color w:val="auto"/>
          <w:sz w:val="24"/>
        </w:rPr>
      </w:pPr>
      <w:r>
        <w:rPr>
          <w:rFonts w:hint="eastAsia" w:ascii="宋体" w:hAnsi="宋体"/>
          <w:b/>
          <w:color w:val="auto"/>
          <w:sz w:val="24"/>
        </w:rPr>
        <w:t>三、必须做到7个地位；</w:t>
      </w:r>
    </w:p>
    <w:p w14:paraId="367AEAFA">
      <w:pPr>
        <w:widowControl/>
        <w:spacing w:line="480" w:lineRule="exact"/>
        <w:ind w:firstLine="480" w:firstLineChars="200"/>
        <w:rPr>
          <w:rFonts w:hint="eastAsia" w:ascii="宋体" w:hAnsi="宋体"/>
          <w:color w:val="auto"/>
          <w:sz w:val="24"/>
        </w:rPr>
      </w:pPr>
      <w:r>
        <w:rPr>
          <w:rFonts w:hint="eastAsia" w:ascii="宋体" w:hAnsi="宋体"/>
          <w:color w:val="auto"/>
          <w:sz w:val="24"/>
        </w:rPr>
        <w:t>即硬化基坑坡道处理、自动冲洗设备安装与使用、远程视频监控安装与使用、清运车辆密闭、拆除过程中使用专用降尘设施湿法作业、裸露地面与拆迁垃圾覆盖“7”个到位。</w:t>
      </w:r>
    </w:p>
    <w:p w14:paraId="6845961F">
      <w:pPr>
        <w:widowControl/>
        <w:spacing w:line="480" w:lineRule="exact"/>
        <w:rPr>
          <w:rFonts w:ascii="宋体" w:hAnsi="宋体"/>
          <w:color w:val="auto"/>
          <w:sz w:val="24"/>
        </w:rPr>
      </w:pPr>
    </w:p>
    <w:sectPr>
      <w:footerReference r:id="rId3" w:type="default"/>
      <w:footerReference r:id="rId4" w:type="even"/>
      <w:pgSz w:w="11906" w:h="16838"/>
      <w:pgMar w:top="1701" w:right="1361" w:bottom="1361" w:left="1701" w:header="851" w:footer="992" w:gutter="0"/>
      <w:pgNumType w:fmt="numberInDash"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10" w:usb3="00000000" w:csb0="00040000" w:csb1="00000000"/>
  </w:font>
  <w:font w:name="方正小标宋简体">
    <w:altName w:val="黑体"/>
    <w:panose1 w:val="03000509000000000000"/>
    <w:charset w:val="86"/>
    <w:family w:val="script"/>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3029C">
    <w:pPr>
      <w:pStyle w:val="4"/>
      <w:framePr w:wrap="around" w:vAnchor="text" w:hAnchor="margin" w:xAlign="center" w:y="1"/>
      <w:rPr>
        <w:rStyle w:val="10"/>
        <w:rFonts w:ascii="宋体" w:hAnsi="宋体"/>
        <w:sz w:val="24"/>
        <w:szCs w:val="24"/>
      </w:rPr>
    </w:pPr>
    <w:r>
      <w:rPr>
        <w:rStyle w:val="10"/>
        <w:rFonts w:ascii="宋体" w:hAnsi="宋体"/>
        <w:sz w:val="24"/>
        <w:szCs w:val="24"/>
      </w:rPr>
      <w:fldChar w:fldCharType="begin"/>
    </w:r>
    <w:r>
      <w:rPr>
        <w:rStyle w:val="10"/>
        <w:rFonts w:ascii="宋体" w:hAnsi="宋体"/>
        <w:sz w:val="24"/>
        <w:szCs w:val="24"/>
      </w:rPr>
      <w:instrText xml:space="preserve">PAGE  </w:instrText>
    </w:r>
    <w:r>
      <w:rPr>
        <w:rStyle w:val="10"/>
        <w:rFonts w:ascii="宋体" w:hAnsi="宋体"/>
        <w:sz w:val="24"/>
        <w:szCs w:val="24"/>
      </w:rPr>
      <w:fldChar w:fldCharType="separate"/>
    </w:r>
    <w:r>
      <w:rPr>
        <w:rStyle w:val="10"/>
        <w:rFonts w:ascii="宋体" w:hAnsi="宋体"/>
        <w:sz w:val="24"/>
        <w:szCs w:val="24"/>
        <w:lang/>
      </w:rPr>
      <w:t>- 2 -</w:t>
    </w:r>
    <w:r>
      <w:rPr>
        <w:rStyle w:val="10"/>
        <w:rFonts w:ascii="宋体" w:hAnsi="宋体"/>
        <w:sz w:val="24"/>
        <w:szCs w:val="24"/>
      </w:rPr>
      <w:fldChar w:fldCharType="end"/>
    </w:r>
  </w:p>
  <w:p w14:paraId="553B3F33">
    <w:pPr>
      <w:pStyle w:val="4"/>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3669F">
    <w:pPr>
      <w:pStyle w:val="4"/>
      <w:framePr w:wrap="around" w:vAnchor="text" w:hAnchor="margin" w:xAlign="center" w:y="1"/>
      <w:rPr>
        <w:rStyle w:val="10"/>
      </w:rPr>
    </w:pPr>
    <w:r>
      <w:fldChar w:fldCharType="begin"/>
    </w:r>
    <w:r>
      <w:rPr>
        <w:rStyle w:val="10"/>
      </w:rPr>
      <w:instrText xml:space="preserve">PAGE  </w:instrText>
    </w:r>
    <w:r>
      <w:fldChar w:fldCharType="end"/>
    </w:r>
  </w:p>
  <w:p w14:paraId="46C0DDED">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41F71"/>
    <w:multiLevelType w:val="singleLevel"/>
    <w:tmpl w:val="59641F71"/>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81B"/>
    <w:rsid w:val="00005D3D"/>
    <w:rsid w:val="00012916"/>
    <w:rsid w:val="00013600"/>
    <w:rsid w:val="00014531"/>
    <w:rsid w:val="0002200E"/>
    <w:rsid w:val="00032878"/>
    <w:rsid w:val="00035FF3"/>
    <w:rsid w:val="00047317"/>
    <w:rsid w:val="00070B11"/>
    <w:rsid w:val="00072488"/>
    <w:rsid w:val="00077937"/>
    <w:rsid w:val="00080258"/>
    <w:rsid w:val="00082E05"/>
    <w:rsid w:val="00094416"/>
    <w:rsid w:val="000B0D4F"/>
    <w:rsid w:val="000B22B2"/>
    <w:rsid w:val="000B4882"/>
    <w:rsid w:val="000C1FC2"/>
    <w:rsid w:val="000D02F8"/>
    <w:rsid w:val="000D0610"/>
    <w:rsid w:val="000E1E52"/>
    <w:rsid w:val="000E5538"/>
    <w:rsid w:val="000E5B48"/>
    <w:rsid w:val="000E61F5"/>
    <w:rsid w:val="00100BED"/>
    <w:rsid w:val="001020A6"/>
    <w:rsid w:val="00104588"/>
    <w:rsid w:val="001059DD"/>
    <w:rsid w:val="00106D38"/>
    <w:rsid w:val="0012055D"/>
    <w:rsid w:val="00121D63"/>
    <w:rsid w:val="00124376"/>
    <w:rsid w:val="00124C14"/>
    <w:rsid w:val="001301A7"/>
    <w:rsid w:val="001358B9"/>
    <w:rsid w:val="00140352"/>
    <w:rsid w:val="00144644"/>
    <w:rsid w:val="00145EE1"/>
    <w:rsid w:val="00147E90"/>
    <w:rsid w:val="00155E36"/>
    <w:rsid w:val="0018047F"/>
    <w:rsid w:val="001902D3"/>
    <w:rsid w:val="001A6CA2"/>
    <w:rsid w:val="001A6EF4"/>
    <w:rsid w:val="001B76C4"/>
    <w:rsid w:val="001C05CA"/>
    <w:rsid w:val="001C4285"/>
    <w:rsid w:val="001C44FD"/>
    <w:rsid w:val="001E0826"/>
    <w:rsid w:val="001E110F"/>
    <w:rsid w:val="001E2DD4"/>
    <w:rsid w:val="001F418F"/>
    <w:rsid w:val="00200887"/>
    <w:rsid w:val="002011DA"/>
    <w:rsid w:val="0021097B"/>
    <w:rsid w:val="00215D1C"/>
    <w:rsid w:val="002204DF"/>
    <w:rsid w:val="00226343"/>
    <w:rsid w:val="00236E60"/>
    <w:rsid w:val="002376B5"/>
    <w:rsid w:val="00245E41"/>
    <w:rsid w:val="002469B3"/>
    <w:rsid w:val="00251C4A"/>
    <w:rsid w:val="00254170"/>
    <w:rsid w:val="00255B01"/>
    <w:rsid w:val="00265D23"/>
    <w:rsid w:val="00267B81"/>
    <w:rsid w:val="0027072B"/>
    <w:rsid w:val="00273699"/>
    <w:rsid w:val="0027697F"/>
    <w:rsid w:val="00277616"/>
    <w:rsid w:val="00281A8F"/>
    <w:rsid w:val="00284A9A"/>
    <w:rsid w:val="002962CD"/>
    <w:rsid w:val="002A108D"/>
    <w:rsid w:val="002A355D"/>
    <w:rsid w:val="002C0449"/>
    <w:rsid w:val="002D2B96"/>
    <w:rsid w:val="002D3BD0"/>
    <w:rsid w:val="002D7705"/>
    <w:rsid w:val="002E0312"/>
    <w:rsid w:val="002E7FF3"/>
    <w:rsid w:val="002F70AA"/>
    <w:rsid w:val="003049F7"/>
    <w:rsid w:val="00304AE7"/>
    <w:rsid w:val="0031506A"/>
    <w:rsid w:val="00317D32"/>
    <w:rsid w:val="003271A1"/>
    <w:rsid w:val="00333CD5"/>
    <w:rsid w:val="003434A2"/>
    <w:rsid w:val="00345AFF"/>
    <w:rsid w:val="00345E5E"/>
    <w:rsid w:val="00350E9E"/>
    <w:rsid w:val="00375406"/>
    <w:rsid w:val="00391977"/>
    <w:rsid w:val="003A6080"/>
    <w:rsid w:val="003A7A39"/>
    <w:rsid w:val="003B078F"/>
    <w:rsid w:val="003B281B"/>
    <w:rsid w:val="003C0AF5"/>
    <w:rsid w:val="003C0F1E"/>
    <w:rsid w:val="003C32F7"/>
    <w:rsid w:val="003D0E66"/>
    <w:rsid w:val="003E0178"/>
    <w:rsid w:val="003E4F12"/>
    <w:rsid w:val="003F5510"/>
    <w:rsid w:val="00400B45"/>
    <w:rsid w:val="00404693"/>
    <w:rsid w:val="00412325"/>
    <w:rsid w:val="004132B3"/>
    <w:rsid w:val="0042374A"/>
    <w:rsid w:val="004248A5"/>
    <w:rsid w:val="00432906"/>
    <w:rsid w:val="004366FF"/>
    <w:rsid w:val="004467EB"/>
    <w:rsid w:val="00446DA9"/>
    <w:rsid w:val="0046143C"/>
    <w:rsid w:val="00466B81"/>
    <w:rsid w:val="00467734"/>
    <w:rsid w:val="00472832"/>
    <w:rsid w:val="00472DEC"/>
    <w:rsid w:val="00475E3A"/>
    <w:rsid w:val="004848F9"/>
    <w:rsid w:val="004971B1"/>
    <w:rsid w:val="004B00C8"/>
    <w:rsid w:val="004B57F7"/>
    <w:rsid w:val="004C53D3"/>
    <w:rsid w:val="004D0B84"/>
    <w:rsid w:val="004D1FA9"/>
    <w:rsid w:val="004D2637"/>
    <w:rsid w:val="004D67A0"/>
    <w:rsid w:val="004D699C"/>
    <w:rsid w:val="004E2F68"/>
    <w:rsid w:val="004E67E9"/>
    <w:rsid w:val="004E7AC9"/>
    <w:rsid w:val="004F5F4F"/>
    <w:rsid w:val="005001F5"/>
    <w:rsid w:val="00510151"/>
    <w:rsid w:val="00515CD8"/>
    <w:rsid w:val="0052387B"/>
    <w:rsid w:val="00525F5B"/>
    <w:rsid w:val="005406B5"/>
    <w:rsid w:val="00554D45"/>
    <w:rsid w:val="00577A21"/>
    <w:rsid w:val="005812F4"/>
    <w:rsid w:val="005922D4"/>
    <w:rsid w:val="005A4398"/>
    <w:rsid w:val="005C1B7C"/>
    <w:rsid w:val="005D662E"/>
    <w:rsid w:val="005F350F"/>
    <w:rsid w:val="005F4642"/>
    <w:rsid w:val="005F6458"/>
    <w:rsid w:val="005F67E2"/>
    <w:rsid w:val="00610D60"/>
    <w:rsid w:val="00616544"/>
    <w:rsid w:val="00617975"/>
    <w:rsid w:val="00626042"/>
    <w:rsid w:val="006302E5"/>
    <w:rsid w:val="00637AF8"/>
    <w:rsid w:val="006532F5"/>
    <w:rsid w:val="00662CF9"/>
    <w:rsid w:val="00665F60"/>
    <w:rsid w:val="00667D2C"/>
    <w:rsid w:val="006758BA"/>
    <w:rsid w:val="006809A0"/>
    <w:rsid w:val="00685B39"/>
    <w:rsid w:val="00691398"/>
    <w:rsid w:val="0069433B"/>
    <w:rsid w:val="00697CF5"/>
    <w:rsid w:val="006B2C34"/>
    <w:rsid w:val="006B5750"/>
    <w:rsid w:val="006D12C2"/>
    <w:rsid w:val="006D4CE4"/>
    <w:rsid w:val="006D62EA"/>
    <w:rsid w:val="006E38AC"/>
    <w:rsid w:val="006E691E"/>
    <w:rsid w:val="006E718F"/>
    <w:rsid w:val="006F4BE5"/>
    <w:rsid w:val="006F4D48"/>
    <w:rsid w:val="00703107"/>
    <w:rsid w:val="00714FEC"/>
    <w:rsid w:val="00722112"/>
    <w:rsid w:val="007361B2"/>
    <w:rsid w:val="007368E4"/>
    <w:rsid w:val="00746320"/>
    <w:rsid w:val="00756D1B"/>
    <w:rsid w:val="00764FA4"/>
    <w:rsid w:val="007751D8"/>
    <w:rsid w:val="007768F6"/>
    <w:rsid w:val="00776BD6"/>
    <w:rsid w:val="0078001F"/>
    <w:rsid w:val="007814A2"/>
    <w:rsid w:val="0078648D"/>
    <w:rsid w:val="007A6351"/>
    <w:rsid w:val="007A6975"/>
    <w:rsid w:val="007B40F1"/>
    <w:rsid w:val="007B5418"/>
    <w:rsid w:val="007B6AFF"/>
    <w:rsid w:val="007D0778"/>
    <w:rsid w:val="007E3972"/>
    <w:rsid w:val="007F27AE"/>
    <w:rsid w:val="007F2C9C"/>
    <w:rsid w:val="007F2DF4"/>
    <w:rsid w:val="007F7B0A"/>
    <w:rsid w:val="00803651"/>
    <w:rsid w:val="008037DA"/>
    <w:rsid w:val="00813869"/>
    <w:rsid w:val="00814206"/>
    <w:rsid w:val="008147C2"/>
    <w:rsid w:val="00817B8F"/>
    <w:rsid w:val="00821B95"/>
    <w:rsid w:val="00827599"/>
    <w:rsid w:val="00827EF6"/>
    <w:rsid w:val="00843379"/>
    <w:rsid w:val="00855760"/>
    <w:rsid w:val="0086535D"/>
    <w:rsid w:val="00887444"/>
    <w:rsid w:val="008877B4"/>
    <w:rsid w:val="008917CC"/>
    <w:rsid w:val="008A2CAE"/>
    <w:rsid w:val="008A7BA3"/>
    <w:rsid w:val="008B2CA4"/>
    <w:rsid w:val="008D1846"/>
    <w:rsid w:val="008D5B98"/>
    <w:rsid w:val="008E6FD9"/>
    <w:rsid w:val="008F1A0E"/>
    <w:rsid w:val="008F29C7"/>
    <w:rsid w:val="008F5AF7"/>
    <w:rsid w:val="008F7ECE"/>
    <w:rsid w:val="0090115A"/>
    <w:rsid w:val="00902DFF"/>
    <w:rsid w:val="009045D9"/>
    <w:rsid w:val="00913E56"/>
    <w:rsid w:val="00917AF5"/>
    <w:rsid w:val="00933A66"/>
    <w:rsid w:val="009436F2"/>
    <w:rsid w:val="00945BFC"/>
    <w:rsid w:val="00952EF5"/>
    <w:rsid w:val="00960434"/>
    <w:rsid w:val="00963244"/>
    <w:rsid w:val="0099610D"/>
    <w:rsid w:val="009A3903"/>
    <w:rsid w:val="009B7EB1"/>
    <w:rsid w:val="009C2A89"/>
    <w:rsid w:val="009C3B61"/>
    <w:rsid w:val="009E1401"/>
    <w:rsid w:val="009F58F1"/>
    <w:rsid w:val="00A04248"/>
    <w:rsid w:val="00A35D45"/>
    <w:rsid w:val="00A52E88"/>
    <w:rsid w:val="00A56FA0"/>
    <w:rsid w:val="00A618D0"/>
    <w:rsid w:val="00A63342"/>
    <w:rsid w:val="00A65D0D"/>
    <w:rsid w:val="00A6754C"/>
    <w:rsid w:val="00A712F2"/>
    <w:rsid w:val="00A7295B"/>
    <w:rsid w:val="00A816C1"/>
    <w:rsid w:val="00A81803"/>
    <w:rsid w:val="00A84BD8"/>
    <w:rsid w:val="00AB0943"/>
    <w:rsid w:val="00AD017E"/>
    <w:rsid w:val="00AE35BD"/>
    <w:rsid w:val="00AF14E2"/>
    <w:rsid w:val="00AF1903"/>
    <w:rsid w:val="00AF6BF9"/>
    <w:rsid w:val="00B075AC"/>
    <w:rsid w:val="00B159DF"/>
    <w:rsid w:val="00B200AD"/>
    <w:rsid w:val="00B35763"/>
    <w:rsid w:val="00B4219C"/>
    <w:rsid w:val="00B45E5D"/>
    <w:rsid w:val="00B54255"/>
    <w:rsid w:val="00B558AA"/>
    <w:rsid w:val="00B56C2A"/>
    <w:rsid w:val="00B64FDF"/>
    <w:rsid w:val="00B66365"/>
    <w:rsid w:val="00B836F2"/>
    <w:rsid w:val="00B87390"/>
    <w:rsid w:val="00BA198F"/>
    <w:rsid w:val="00BA34ED"/>
    <w:rsid w:val="00BA6A62"/>
    <w:rsid w:val="00BB597F"/>
    <w:rsid w:val="00BB5E42"/>
    <w:rsid w:val="00BB6423"/>
    <w:rsid w:val="00BC3132"/>
    <w:rsid w:val="00BC372E"/>
    <w:rsid w:val="00BC39D8"/>
    <w:rsid w:val="00BC54F6"/>
    <w:rsid w:val="00BC6F40"/>
    <w:rsid w:val="00BD6D82"/>
    <w:rsid w:val="00BE749F"/>
    <w:rsid w:val="00C03547"/>
    <w:rsid w:val="00C066BA"/>
    <w:rsid w:val="00C15CF3"/>
    <w:rsid w:val="00C16B26"/>
    <w:rsid w:val="00C23888"/>
    <w:rsid w:val="00C25E6D"/>
    <w:rsid w:val="00C43DE1"/>
    <w:rsid w:val="00C46395"/>
    <w:rsid w:val="00C6238B"/>
    <w:rsid w:val="00C64F3D"/>
    <w:rsid w:val="00C7179A"/>
    <w:rsid w:val="00C77848"/>
    <w:rsid w:val="00C8578A"/>
    <w:rsid w:val="00CA06DF"/>
    <w:rsid w:val="00CC7963"/>
    <w:rsid w:val="00CD0DC7"/>
    <w:rsid w:val="00CE1C45"/>
    <w:rsid w:val="00CE4B07"/>
    <w:rsid w:val="00CF1C76"/>
    <w:rsid w:val="00D03520"/>
    <w:rsid w:val="00D04F1E"/>
    <w:rsid w:val="00D1055D"/>
    <w:rsid w:val="00D364DC"/>
    <w:rsid w:val="00D42691"/>
    <w:rsid w:val="00D43A92"/>
    <w:rsid w:val="00D47AD7"/>
    <w:rsid w:val="00D47FB0"/>
    <w:rsid w:val="00D5417A"/>
    <w:rsid w:val="00D55283"/>
    <w:rsid w:val="00D61894"/>
    <w:rsid w:val="00D619C2"/>
    <w:rsid w:val="00D8450B"/>
    <w:rsid w:val="00DA66FE"/>
    <w:rsid w:val="00DB460C"/>
    <w:rsid w:val="00DB5F9C"/>
    <w:rsid w:val="00DB7105"/>
    <w:rsid w:val="00DD103E"/>
    <w:rsid w:val="00E03C9D"/>
    <w:rsid w:val="00E13DDD"/>
    <w:rsid w:val="00E20D56"/>
    <w:rsid w:val="00E33A73"/>
    <w:rsid w:val="00E44C0A"/>
    <w:rsid w:val="00E52BEC"/>
    <w:rsid w:val="00E65B0A"/>
    <w:rsid w:val="00E72FD4"/>
    <w:rsid w:val="00E75F14"/>
    <w:rsid w:val="00E86FEA"/>
    <w:rsid w:val="00E9025B"/>
    <w:rsid w:val="00E93EE6"/>
    <w:rsid w:val="00EA0BFA"/>
    <w:rsid w:val="00EA0F66"/>
    <w:rsid w:val="00EA1F95"/>
    <w:rsid w:val="00EA3DB7"/>
    <w:rsid w:val="00EA6C9B"/>
    <w:rsid w:val="00EB02EE"/>
    <w:rsid w:val="00EB40B1"/>
    <w:rsid w:val="00EC30E3"/>
    <w:rsid w:val="00EE6B24"/>
    <w:rsid w:val="00F01F90"/>
    <w:rsid w:val="00F05628"/>
    <w:rsid w:val="00F1119A"/>
    <w:rsid w:val="00F20193"/>
    <w:rsid w:val="00F20EEE"/>
    <w:rsid w:val="00F224CA"/>
    <w:rsid w:val="00F24BA6"/>
    <w:rsid w:val="00F27D89"/>
    <w:rsid w:val="00F3122B"/>
    <w:rsid w:val="00F42E7E"/>
    <w:rsid w:val="00F51990"/>
    <w:rsid w:val="00F6358D"/>
    <w:rsid w:val="00F64031"/>
    <w:rsid w:val="00F659CC"/>
    <w:rsid w:val="00F860F8"/>
    <w:rsid w:val="00F976CC"/>
    <w:rsid w:val="00FA4E89"/>
    <w:rsid w:val="00FA7BBC"/>
    <w:rsid w:val="00FA7CF6"/>
    <w:rsid w:val="00FC3A4A"/>
    <w:rsid w:val="00FE0C42"/>
    <w:rsid w:val="00FE107F"/>
    <w:rsid w:val="00FF3BBA"/>
    <w:rsid w:val="04DC12DF"/>
    <w:rsid w:val="05962A91"/>
    <w:rsid w:val="08467B29"/>
    <w:rsid w:val="087A4733"/>
    <w:rsid w:val="0A735F3E"/>
    <w:rsid w:val="0C8B4804"/>
    <w:rsid w:val="0E87566C"/>
    <w:rsid w:val="120A60E3"/>
    <w:rsid w:val="12485112"/>
    <w:rsid w:val="167A18C1"/>
    <w:rsid w:val="18441DC4"/>
    <w:rsid w:val="18A4506D"/>
    <w:rsid w:val="1BA3160C"/>
    <w:rsid w:val="1BE7599C"/>
    <w:rsid w:val="210B4C9C"/>
    <w:rsid w:val="227837FD"/>
    <w:rsid w:val="23384D2F"/>
    <w:rsid w:val="23A00147"/>
    <w:rsid w:val="25942744"/>
    <w:rsid w:val="2CCB046A"/>
    <w:rsid w:val="2DCC4B6F"/>
    <w:rsid w:val="2E221634"/>
    <w:rsid w:val="2F120909"/>
    <w:rsid w:val="344855DA"/>
    <w:rsid w:val="34F854DE"/>
    <w:rsid w:val="35A16764"/>
    <w:rsid w:val="35B31A2A"/>
    <w:rsid w:val="360D5BA8"/>
    <w:rsid w:val="36E15A08"/>
    <w:rsid w:val="3ACD0C82"/>
    <w:rsid w:val="3D631CF9"/>
    <w:rsid w:val="40B1197C"/>
    <w:rsid w:val="42C8521A"/>
    <w:rsid w:val="443A0076"/>
    <w:rsid w:val="459356A5"/>
    <w:rsid w:val="46500EE9"/>
    <w:rsid w:val="46D51C66"/>
    <w:rsid w:val="473D7001"/>
    <w:rsid w:val="48A952B7"/>
    <w:rsid w:val="4CA9169A"/>
    <w:rsid w:val="53F16666"/>
    <w:rsid w:val="59F842F5"/>
    <w:rsid w:val="5ABD553F"/>
    <w:rsid w:val="5B296730"/>
    <w:rsid w:val="5B7E6A7C"/>
    <w:rsid w:val="60A76A75"/>
    <w:rsid w:val="62A90FE4"/>
    <w:rsid w:val="659A1DC3"/>
    <w:rsid w:val="683E0160"/>
    <w:rsid w:val="6A892D47"/>
    <w:rsid w:val="6C933218"/>
    <w:rsid w:val="6CAE57C5"/>
    <w:rsid w:val="70615B55"/>
    <w:rsid w:val="75AF3D8F"/>
    <w:rsid w:val="76405CBB"/>
    <w:rsid w:val="765246D1"/>
    <w:rsid w:val="7A1A26F1"/>
    <w:rsid w:val="7BF52A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Document Map"/>
    <w:basedOn w:val="1"/>
    <w:link w:val="11"/>
    <w:uiPriority w:val="0"/>
    <w:rPr>
      <w:rFonts w:ascii="宋体"/>
      <w:sz w:val="18"/>
      <w:szCs w:val="18"/>
    </w:rPr>
  </w:style>
  <w:style w:type="paragraph" w:styleId="3">
    <w:name w:val="annotation text"/>
    <w:basedOn w:val="1"/>
    <w:uiPriority w:val="0"/>
    <w:pPr>
      <w:jc w:val="left"/>
    </w:p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sz w:val="24"/>
    </w:rPr>
  </w:style>
  <w:style w:type="table" w:styleId="8">
    <w:name w:val="Table Grid"/>
    <w:basedOn w:val="7"/>
    <w:uiPriority w:val="59"/>
    <w:rPr>
      <w:rFonts w:ascii="Calibri" w:hAnsi="Calibri" w:eastAsia="宋体" w:cs="Times New Roman"/>
      <w:kern w:val="2"/>
      <w:sz w:val="21"/>
      <w:szCs w:val="22"/>
    </w:rPr>
    <w:tblPr>
      <w:tblStyle w:val="7"/>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uiPriority w:val="0"/>
  </w:style>
  <w:style w:type="character" w:customStyle="1" w:styleId="11">
    <w:name w:val=" Char Char"/>
    <w:basedOn w:val="9"/>
    <w:link w:val="2"/>
    <w:uiPriority w:val="0"/>
    <w:rPr>
      <w:rFonts w:ascii="宋体"/>
      <w:kern w:val="2"/>
      <w:sz w:val="18"/>
      <w:szCs w:val="18"/>
    </w:rPr>
  </w:style>
  <w:style w:type="character" w:customStyle="1" w:styleId="12">
    <w:name w:val=" Char Char1"/>
    <w:basedOn w:val="9"/>
    <w:link w:val="4"/>
    <w:uiPriority w:val="0"/>
    <w:rPr>
      <w:kern w:val="2"/>
      <w:sz w:val="18"/>
      <w:szCs w:val="18"/>
    </w:rPr>
  </w:style>
  <w:style w:type="character" w:customStyle="1" w:styleId="13">
    <w:name w:val=" Char Char2"/>
    <w:basedOn w:val="9"/>
    <w:link w:val="5"/>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25557</Words>
  <Characters>26563</Characters>
  <Lines>211</Lines>
  <Paragraphs>59</Paragraphs>
  <TotalTime>0</TotalTime>
  <ScaleCrop>false</ScaleCrop>
  <LinksUpToDate>false</LinksUpToDate>
  <CharactersWithSpaces>28474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2022-07-11T03:28:00Z</dcterms:created>
  <dc:creator>Administrator</dc:creator>
  <cp:lastModifiedBy>丸子</cp:lastModifiedBy>
  <cp:lastPrinted>2024-07-08T08:12:00Z</cp:lastPrinted>
  <dcterms:modified xsi:type="dcterms:W3CDTF">2026-05-08T12:40:08Z</dcterms:modified>
  <dc:title>陕西省建设工程施工合同</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eyJoZGlkIjoiYjA5Mzk4MTA1MGM4MjUwYTZlMDczNDE3MmEwNGMxZTMiLCJ1c2VySWQiOiIyNDY0NTQ4MzcifQ==</vt:lpwstr>
  </property>
  <property fmtid="{D5CDD505-2E9C-101B-9397-08002B2CF9AE}" pid="4" name="ICV">
    <vt:lpwstr>EF993842EFAC460D811A308D28B46947_13</vt:lpwstr>
  </property>
</Properties>
</file>