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版本号：LZBA2026-48420260515001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重大政策项目绩效评价跟踪问效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LZBA2026-484</w:t>
      </w:r>
      <w:r>
        <w:br/>
      </w:r>
      <w:r>
        <w:br/>
      </w:r>
      <w:r>
        <w:br/>
      </w:r>
    </w:p>
    <w:p>
      <w:pPr>
        <w:pStyle w:val="null3"/>
        <w:jc w:val="center"/>
        <w:outlineLvl w:val="2"/>
      </w:pPr>
      <w:r>
        <w:rPr>
          <w:rFonts w:ascii="仿宋_GB2312" w:hAnsi="仿宋_GB2312" w:cs="仿宋_GB2312" w:eastAsia="仿宋_GB2312"/>
          <w:sz w:val="28"/>
          <w:b/>
        </w:rPr>
        <w:t>陕西省财政厅机关</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陕西省财政厅机关</w:t>
      </w:r>
      <w:r>
        <w:rPr>
          <w:rFonts w:ascii="仿宋_GB2312" w:hAnsi="仿宋_GB2312" w:cs="仿宋_GB2312" w:eastAsia="仿宋_GB2312"/>
        </w:rPr>
        <w:t>委托，拟对</w:t>
      </w:r>
      <w:r>
        <w:rPr>
          <w:rFonts w:ascii="仿宋_GB2312" w:hAnsi="仿宋_GB2312" w:cs="仿宋_GB2312" w:eastAsia="仿宋_GB2312"/>
        </w:rPr>
        <w:t>重大政策项目绩效评价跟踪问效</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LZBA2026-484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重大政策项目绩效评价跟踪问效</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对省级残疾人事业保障专项资金、民办高等教育发展资金2项开展政策评价，对年中新增8个建设类重大政策项目使用成效开展跟踪问效。本项目共分为3个标包。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w:t>
      </w:r>
    </w:p>
    <w:p>
      <w:pPr>
        <w:pStyle w:val="null3"/>
      </w:pPr>
      <w:r>
        <w:rPr>
          <w:rFonts w:ascii="仿宋_GB2312" w:hAnsi="仿宋_GB2312" w:cs="仿宋_GB2312" w:eastAsia="仿宋_GB2312"/>
        </w:rPr>
        <w:t>2、书面声明：书面声明：参加本次政府采购活动前3年内在经营活动中没有重大违法记录的书面声明并加盖公章。</w:t>
      </w:r>
    </w:p>
    <w:p>
      <w:pPr>
        <w:pStyle w:val="null3"/>
      </w:pPr>
      <w:r>
        <w:rPr>
          <w:rFonts w:ascii="仿宋_GB2312" w:hAnsi="仿宋_GB2312" w:cs="仿宋_GB2312" w:eastAsia="仿宋_GB2312"/>
        </w:rPr>
        <w:t>3、具有履行合同所必需的设备和专业技术能力的承诺函：具有履行合同所必需的设备和专业技术能力的承诺函：具有履行合同所必需的设备和专业技术能力的承诺函并加盖公章。</w:t>
      </w:r>
    </w:p>
    <w:p>
      <w:pPr>
        <w:pStyle w:val="null3"/>
      </w:pPr>
      <w:r>
        <w:rPr>
          <w:rFonts w:ascii="仿宋_GB2312" w:hAnsi="仿宋_GB2312" w:cs="仿宋_GB2312" w:eastAsia="仿宋_GB2312"/>
        </w:rPr>
        <w:t>4、税收缴纳凭证：税收缴纳凭证：供应商上一年度至今（2025年5月）已缴纳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会保险缴纳的凭证：社会保险缴纳的凭证：供应商上一年度至今（2025年5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财务状况报告：财务状况报告：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p>
      <w:pPr>
        <w:pStyle w:val="null3"/>
      </w:pPr>
      <w:r>
        <w:rPr>
          <w:rFonts w:ascii="仿宋_GB2312" w:hAnsi="仿宋_GB2312" w:cs="仿宋_GB2312" w:eastAsia="仿宋_GB2312"/>
        </w:rPr>
        <w:t>7、信用记录：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w:t>
      </w:r>
    </w:p>
    <w:p>
      <w:pPr>
        <w:pStyle w:val="null3"/>
      </w:pPr>
      <w:r>
        <w:rPr>
          <w:rFonts w:ascii="仿宋_GB2312" w:hAnsi="仿宋_GB2312" w:cs="仿宋_GB2312" w:eastAsia="仿宋_GB2312"/>
        </w:rPr>
        <w:t>2、书面声明：书面声明：参加本次政府采购活动前3年内在经营活动中没有重大违法记录的书面声明并加盖公章。</w:t>
      </w:r>
    </w:p>
    <w:p>
      <w:pPr>
        <w:pStyle w:val="null3"/>
      </w:pPr>
      <w:r>
        <w:rPr>
          <w:rFonts w:ascii="仿宋_GB2312" w:hAnsi="仿宋_GB2312" w:cs="仿宋_GB2312" w:eastAsia="仿宋_GB2312"/>
        </w:rPr>
        <w:t>3、具有履行合同所必需的设备和专业技术能力的承诺函：具有履行合同所必需的设备和专业技术能力的承诺函：具有履行合同所必需的设备和专业技术能力的承诺函并加盖公章。</w:t>
      </w:r>
    </w:p>
    <w:p>
      <w:pPr>
        <w:pStyle w:val="null3"/>
      </w:pPr>
      <w:r>
        <w:rPr>
          <w:rFonts w:ascii="仿宋_GB2312" w:hAnsi="仿宋_GB2312" w:cs="仿宋_GB2312" w:eastAsia="仿宋_GB2312"/>
        </w:rPr>
        <w:t>4、税收缴纳凭证：税收缴纳凭证：供应商上一年度至今（2025年5月）已缴纳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会保险缴纳的凭证：社会保险缴纳的凭证：供应商上一年度至今（2025年5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财务状况报告：财务状况报告：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p>
      <w:pPr>
        <w:pStyle w:val="null3"/>
      </w:pPr>
      <w:r>
        <w:rPr>
          <w:rFonts w:ascii="仿宋_GB2312" w:hAnsi="仿宋_GB2312" w:cs="仿宋_GB2312" w:eastAsia="仿宋_GB2312"/>
        </w:rPr>
        <w:t>7、信用记录：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w:t>
      </w:r>
    </w:p>
    <w:p>
      <w:pPr>
        <w:pStyle w:val="null3"/>
      </w:pPr>
      <w:r>
        <w:rPr>
          <w:rFonts w:ascii="仿宋_GB2312" w:hAnsi="仿宋_GB2312" w:cs="仿宋_GB2312" w:eastAsia="仿宋_GB2312"/>
        </w:rPr>
        <w:t>2、书面声明：书面声明：参加本次政府采购活动前3年内在经营活动中没有重大违法记录的书面声明并加盖公章。</w:t>
      </w:r>
    </w:p>
    <w:p>
      <w:pPr>
        <w:pStyle w:val="null3"/>
      </w:pPr>
      <w:r>
        <w:rPr>
          <w:rFonts w:ascii="仿宋_GB2312" w:hAnsi="仿宋_GB2312" w:cs="仿宋_GB2312" w:eastAsia="仿宋_GB2312"/>
        </w:rPr>
        <w:t>3、具有履行合同所必需的设备和专业技术能力的承诺函：具有履行合同所必需的设备和专业技术能力的承诺函：具有履行合同所必需的设备和专业技术能力的承诺函并加盖公章。</w:t>
      </w:r>
    </w:p>
    <w:p>
      <w:pPr>
        <w:pStyle w:val="null3"/>
      </w:pPr>
      <w:r>
        <w:rPr>
          <w:rFonts w:ascii="仿宋_GB2312" w:hAnsi="仿宋_GB2312" w:cs="仿宋_GB2312" w:eastAsia="仿宋_GB2312"/>
        </w:rPr>
        <w:t>4、税收缴纳凭证：税收缴纳凭证：供应商上一年度至今（2025年5月）已缴纳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会保险缴纳的凭证：社会保险缴纳的凭证：供应商上一年度至今（2025年5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财务状况报告：财务状况报告：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p>
      <w:pPr>
        <w:pStyle w:val="null3"/>
      </w:pPr>
      <w:r>
        <w:rPr>
          <w:rFonts w:ascii="仿宋_GB2312" w:hAnsi="仿宋_GB2312" w:cs="仿宋_GB2312" w:eastAsia="仿宋_GB2312"/>
        </w:rPr>
        <w:t>7、信用记录：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8、控股管理关系：控股管理关系：单位负责人为同一人或者存在直接控股、管理关系的不同供应商，不得参加同一合同项下的政府采购活动。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陕西省财政厅机关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冰窖巷13号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付朝博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029-68936360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西安市高新区太白南路181号西部电子A座A区501室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王翠翠、刘婧、张波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采购包1：170,200.00元</w:t>
            </w:r>
          </w:p>
          <w:p>
            <w:pPr>
              <w:pStyle w:val="null3"/>
            </w:pPr>
            <w:r>
              <w:rPr>
                <w:rFonts w:ascii="仿宋_GB2312" w:hAnsi="仿宋_GB2312" w:cs="仿宋_GB2312" w:eastAsia="仿宋_GB2312"/>
              </w:rPr>
              <w:t>采购包2：170,200.00元</w:t>
            </w:r>
          </w:p>
          <w:p>
            <w:pPr>
              <w:pStyle w:val="null3"/>
            </w:pPr>
            <w:r>
              <w:rPr>
                <w:rFonts w:ascii="仿宋_GB2312" w:hAnsi="仿宋_GB2312" w:cs="仿宋_GB2312" w:eastAsia="仿宋_GB2312"/>
              </w:rPr>
              <w:t>采购包3：93,600.00元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和国家发展和改革委员会办公厅颁发的《关于招标代理服务收费有关问题的通知》（发改办价格[2003]857号）规定标准下浮30%收取。此采购代理服务费应计入响应报价中，但不需要单独开列。 3、采购代理服务费以转账或现金形式交纳，服务费缴纳账号如下： 收款单位：龙寰项目管理咨询有限公司 开户行：平安银行西安高新路支行 账号：30201278018499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陕西省财政厅机关</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陕西省财政厅机关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陕西省财政厅机关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按照预算绩效管理相关制度办法等组织。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按照预算绩效管理相关制度办法等组织。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按照预算绩效管理相关制度办法等组织。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联系人：王翠翠、刘婧、张波</w:t>
      </w:r>
    </w:p>
    <w:p>
      <w:pPr>
        <w:pStyle w:val="null3"/>
      </w:pPr>
      <w:r>
        <w:rPr>
          <w:rFonts w:ascii="仿宋_GB2312" w:hAnsi="仿宋_GB2312" w:cs="仿宋_GB2312" w:eastAsia="仿宋_GB2312"/>
        </w:rPr>
        <w:t>联系电话：029-88228899-616</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对省级残疾人事业保障专项资金、民办高等教育发展专项资金2项开展政策绩效评价，对年中新增8个建设类重大政策项目资金使用成效进行跟踪问效。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170,200.00</w:t>
      </w:r>
    </w:p>
    <w:p>
      <w:pPr>
        <w:pStyle w:val="null3"/>
      </w:pPr>
      <w:r>
        <w:rPr>
          <w:rFonts w:ascii="仿宋_GB2312" w:hAnsi="仿宋_GB2312" w:cs="仿宋_GB2312" w:eastAsia="仿宋_GB2312"/>
        </w:rPr>
        <w:t>采购包最高限价（元）: 170,200.00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省级残疾人事业保障专项资金绩效评价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170,200.00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170,200.00</w:t>
      </w:r>
    </w:p>
    <w:p>
      <w:pPr>
        <w:pStyle w:val="null3"/>
      </w:pPr>
      <w:r>
        <w:rPr>
          <w:rFonts w:ascii="仿宋_GB2312" w:hAnsi="仿宋_GB2312" w:cs="仿宋_GB2312" w:eastAsia="仿宋_GB2312"/>
        </w:rPr>
        <w:t>采购包最高限价（元）: 170,200.00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民办高等教育发展资金绩效评价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170,200.00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93,600.00</w:t>
      </w:r>
    </w:p>
    <w:p>
      <w:pPr>
        <w:pStyle w:val="null3"/>
      </w:pPr>
      <w:r>
        <w:rPr>
          <w:rFonts w:ascii="仿宋_GB2312" w:hAnsi="仿宋_GB2312" w:cs="仿宋_GB2312" w:eastAsia="仿宋_GB2312"/>
        </w:rPr>
        <w:t>采购包最高限价（元）: 93,600.00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开展年中重大政策项目资金使用成效跟踪问效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93,600.00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标的名称：省级残疾人事业保障专项资金绩效评价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 xml:space="preserve">   有绩效评价</w:t>
            </w:r>
            <w:r>
              <w:rPr>
                <w:rFonts w:ascii="仿宋_GB2312" w:hAnsi="仿宋_GB2312" w:cs="仿宋_GB2312" w:eastAsia="仿宋_GB2312"/>
                <w:sz w:val="21"/>
              </w:rPr>
              <w:t>工作</w:t>
            </w:r>
            <w:r>
              <w:rPr>
                <w:rFonts w:ascii="仿宋_GB2312" w:hAnsi="仿宋_GB2312" w:cs="仿宋_GB2312" w:eastAsia="仿宋_GB2312"/>
                <w:sz w:val="21"/>
              </w:rPr>
              <w:t>经验；人员配置合理</w:t>
            </w:r>
            <w:r>
              <w:rPr>
                <w:rFonts w:ascii="仿宋_GB2312" w:hAnsi="仿宋_GB2312" w:cs="仿宋_GB2312" w:eastAsia="仿宋_GB2312"/>
                <w:sz w:val="21"/>
              </w:rPr>
              <w:t>，项目组不少于</w:t>
            </w:r>
            <w:r>
              <w:rPr>
                <w:rFonts w:ascii="仿宋_GB2312" w:hAnsi="仿宋_GB2312" w:cs="仿宋_GB2312" w:eastAsia="仿宋_GB2312"/>
                <w:sz w:val="21"/>
              </w:rPr>
              <w:t>3</w:t>
            </w:r>
            <w:r>
              <w:rPr>
                <w:rFonts w:ascii="仿宋_GB2312" w:hAnsi="仿宋_GB2312" w:cs="仿宋_GB2312" w:eastAsia="仿宋_GB2312"/>
                <w:sz w:val="21"/>
              </w:rPr>
              <w:t>人</w:t>
            </w:r>
            <w:r>
              <w:rPr>
                <w:rFonts w:ascii="仿宋_GB2312" w:hAnsi="仿宋_GB2312" w:cs="仿宋_GB2312" w:eastAsia="仿宋_GB2312"/>
                <w:sz w:val="21"/>
              </w:rPr>
              <w:t>；组织管理稳定；实施方案科学；指标设置科学；现场调查科学；工作组织实施有效；征求意见采纳合理；成果结构规范；成果文字表述准确；关键信息或数据准确。</w:t>
            </w:r>
          </w:p>
          <w:p>
            <w:pPr>
              <w:pStyle w:val="null3"/>
              <w:jc w:val="both"/>
            </w:pPr>
            <w:r>
              <w:rPr>
                <w:rFonts w:ascii="仿宋_GB2312" w:hAnsi="仿宋_GB2312" w:cs="仿宋_GB2312" w:eastAsia="仿宋_GB2312"/>
                <w:sz w:val="21"/>
              </w:rPr>
              <w:t>服务内容：乙方按照甲方要求开展重大政策绩效评价，通过情况调研、指标确定、情况搜集、情况核实、绩效评审、报告撰写等主要工作环节，全面了解政策设立、实施、成效等情况，形成政策绩效评价报告、操作指引和相应的评价办法，按规定时限完成绩效评价工作。</w:t>
            </w:r>
          </w:p>
          <w:p>
            <w:pPr>
              <w:pStyle w:val="null3"/>
              <w:jc w:val="both"/>
            </w:pPr>
            <w:r>
              <w:rPr>
                <w:rFonts w:ascii="仿宋_GB2312" w:hAnsi="仿宋_GB2312" w:cs="仿宋_GB2312" w:eastAsia="仿宋_GB2312"/>
                <w:sz w:val="21"/>
              </w:rPr>
              <w:t>成果形式：政策绩效评价报告、操作指引和相应的评价办法等。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标的名称：民办高等教育发展资金绩效评价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 xml:space="preserve">   有绩效评价</w:t>
            </w:r>
            <w:r>
              <w:rPr>
                <w:rFonts w:ascii="仿宋_GB2312" w:hAnsi="仿宋_GB2312" w:cs="仿宋_GB2312" w:eastAsia="仿宋_GB2312"/>
                <w:sz w:val="21"/>
              </w:rPr>
              <w:t>工作</w:t>
            </w:r>
            <w:r>
              <w:rPr>
                <w:rFonts w:ascii="仿宋_GB2312" w:hAnsi="仿宋_GB2312" w:cs="仿宋_GB2312" w:eastAsia="仿宋_GB2312"/>
                <w:sz w:val="21"/>
              </w:rPr>
              <w:t>经验；人员配置合理</w:t>
            </w:r>
            <w:r>
              <w:rPr>
                <w:rFonts w:ascii="仿宋_GB2312" w:hAnsi="仿宋_GB2312" w:cs="仿宋_GB2312" w:eastAsia="仿宋_GB2312"/>
                <w:sz w:val="21"/>
              </w:rPr>
              <w:t>，项目组不少于</w:t>
            </w:r>
            <w:r>
              <w:rPr>
                <w:rFonts w:ascii="仿宋_GB2312" w:hAnsi="仿宋_GB2312" w:cs="仿宋_GB2312" w:eastAsia="仿宋_GB2312"/>
                <w:sz w:val="21"/>
              </w:rPr>
              <w:t>3</w:t>
            </w:r>
            <w:r>
              <w:rPr>
                <w:rFonts w:ascii="仿宋_GB2312" w:hAnsi="仿宋_GB2312" w:cs="仿宋_GB2312" w:eastAsia="仿宋_GB2312"/>
                <w:sz w:val="21"/>
              </w:rPr>
              <w:t>人</w:t>
            </w:r>
            <w:r>
              <w:rPr>
                <w:rFonts w:ascii="仿宋_GB2312" w:hAnsi="仿宋_GB2312" w:cs="仿宋_GB2312" w:eastAsia="仿宋_GB2312"/>
                <w:sz w:val="21"/>
              </w:rPr>
              <w:t>；组织管理稳定；实施方案科学；指标设置科学；现场调查科学；工作组织实施有效；征求意见采纳合理；成果结构规范；成果文字表述准确；关键信息或数据准确。</w:t>
            </w:r>
          </w:p>
          <w:p>
            <w:pPr>
              <w:pStyle w:val="null3"/>
              <w:jc w:val="both"/>
            </w:pPr>
            <w:r>
              <w:rPr>
                <w:rFonts w:ascii="仿宋_GB2312" w:hAnsi="仿宋_GB2312" w:cs="仿宋_GB2312" w:eastAsia="仿宋_GB2312"/>
                <w:sz w:val="21"/>
              </w:rPr>
              <w:t>服务内容：乙方按照甲方要求开展重大政策绩效评价，通过情况调研、指标确定、情况搜集、情况核实、绩效评审、报告撰写等主要工作环节，全面了解政策设立、实施、成效等情况，形成政策绩效评价报告、操作指引和相应的评价办法，按规定时限完成绩效评价工作。</w:t>
            </w:r>
          </w:p>
          <w:p>
            <w:pPr>
              <w:pStyle w:val="null3"/>
              <w:jc w:val="both"/>
            </w:pPr>
            <w:r>
              <w:rPr>
                <w:rFonts w:ascii="仿宋_GB2312" w:hAnsi="仿宋_GB2312" w:cs="仿宋_GB2312" w:eastAsia="仿宋_GB2312"/>
                <w:sz w:val="21"/>
              </w:rPr>
              <w:t>成果形式：政策绩效评价报告、操作指引和相应的评价办法。</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标的名称：开展年中重大政策项目资金使用成效跟踪问效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有绩效评价工作经验；人员配置合理，项目组不少于</w:t>
            </w:r>
            <w:r>
              <w:rPr>
                <w:rFonts w:ascii="仿宋_GB2312" w:hAnsi="仿宋_GB2312" w:cs="仿宋_GB2312" w:eastAsia="仿宋_GB2312"/>
                <w:sz w:val="21"/>
              </w:rPr>
              <w:t>3人；组织管理稳定；实施方案科学；指标设置科学；现场调查科学；工作组织实施有效；征求意见采纳合理；成果结构规范；成果文字表述准确；关键信息或数据准确。</w:t>
            </w:r>
          </w:p>
          <w:p>
            <w:pPr>
              <w:pStyle w:val="null3"/>
              <w:spacing w:before="105" w:after="105"/>
              <w:ind w:firstLine="420"/>
              <w:jc w:val="both"/>
            </w:pPr>
            <w:r>
              <w:rPr>
                <w:rFonts w:ascii="仿宋_GB2312" w:hAnsi="仿宋_GB2312" w:cs="仿宋_GB2312" w:eastAsia="仿宋_GB2312"/>
                <w:sz w:val="21"/>
              </w:rPr>
              <w:t>服务内容：乙方按照甲方要求开展</w:t>
            </w:r>
            <w:r>
              <w:rPr>
                <w:rFonts w:ascii="仿宋_GB2312" w:hAnsi="仿宋_GB2312" w:cs="仿宋_GB2312" w:eastAsia="仿宋_GB2312"/>
                <w:sz w:val="21"/>
              </w:rPr>
              <w:t>2025年年中新增8个建设类重大政策项目资金使用成效跟踪问效工作，形成政策项目资金使用成效分析报告，按规定时限完成绩效评价工作。</w:t>
            </w:r>
          </w:p>
          <w:p>
            <w:pPr>
              <w:pStyle w:val="null3"/>
              <w:spacing w:before="105" w:after="105"/>
              <w:ind w:firstLine="420"/>
              <w:jc w:val="both"/>
            </w:pPr>
            <w:r>
              <w:rPr>
                <w:rFonts w:ascii="仿宋_GB2312" w:hAnsi="仿宋_GB2312" w:cs="仿宋_GB2312" w:eastAsia="仿宋_GB2312"/>
                <w:sz w:val="21"/>
              </w:rPr>
              <w:t>成果形式：</w:t>
            </w:r>
            <w:r>
              <w:rPr>
                <w:rFonts w:ascii="仿宋_GB2312" w:hAnsi="仿宋_GB2312" w:cs="仿宋_GB2312" w:eastAsia="仿宋_GB2312"/>
                <w:sz w:val="21"/>
              </w:rPr>
              <w:t>2025年年中新增政策</w:t>
            </w:r>
            <w:r>
              <w:rPr>
                <w:rFonts w:ascii="仿宋_GB2312" w:hAnsi="仿宋_GB2312" w:cs="仿宋_GB2312" w:eastAsia="仿宋_GB2312"/>
                <w:sz w:val="21"/>
              </w:rPr>
              <w:t>项目资金使用成效分析报告</w:t>
            </w:r>
            <w:r>
              <w:rPr>
                <w:rFonts w:ascii="仿宋_GB2312" w:hAnsi="仿宋_GB2312" w:cs="仿宋_GB2312" w:eastAsia="仿宋_GB2312"/>
                <w:sz w:val="21"/>
              </w:rPr>
              <w:t>及</w:t>
            </w:r>
            <w:r>
              <w:rPr>
                <w:rFonts w:ascii="仿宋_GB2312" w:hAnsi="仿宋_GB2312" w:cs="仿宋_GB2312" w:eastAsia="仿宋_GB2312"/>
                <w:sz w:val="21"/>
              </w:rPr>
              <w:t>相应的评价办法</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firstLine="42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8月31日前，需向采购人提交完成性成果，即政策绩效评价报告、操作指引和相应的评价办法（书面及电子文档）。并于2026年9月1日—2027年8月31日之间，根据采购方需求提供相关的延伸服务，包括但不限于围绕政策评价开展的数据分析、统计汇总等相关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8月31日前，需向采购人提交完成性成果，即政策绩效评价报告、操作指引和相应的评价办法（书面及电子文档）。并于2026年9月1日—2027年8月31日之间，根据采购方需求提供相关的延伸服务，包括但不限于围绕政策评价开展的数据分析、统计汇总等相关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8月31日前，需向采购人提交完成性成果，即2025年年中新增政策项目资金使用成效分析报告及相应的评价办法等（书面及电子文档）。并于2026年9月1日—2027年8月31日之间，根据采购方需求提供相关的延伸服务，包括但不限于围绕政策项目资金使用跟踪问效开展的数据分析、统计汇总等相关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经甲方组织评审验收。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经甲方组织评审验收。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经甲方组织评审验收。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首期款：签订合同后30个日历日内，供应商提供与支付金额等额的增值税普通发票，采购人确认后启动首期款支付流程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尾款支付以乙方服务成果的时效和质量为依据，经甲方组织评审验收后，根据验收结果结算合同最终应付总额。具体标准如下：验收得分90分（含）以上：结算比例为合同总金额的100%；验收得分60分（含）至90分（不含）：分6档在协议约定合同服务费的5%-30%区间扣款。验收得分低于60分（不含），或乙方无故逾期提交报告严重影响财政工作，或报告内容严重偏离事实、数据严重失真的，视为验收不合格，甲方不予支付尾款，乙方退还甲方支付的首期款。乙方根据最终结算金额与已付款项的差额提供等额增值税普通发票。甲方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首期款：签订合同后30个日历日内，供应商提供与支付金额等额的增值税普通发票，采购人确认后启动首期款支付流程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尾款支付以乙方服务成果的时效和质量为依据，经甲方组织评审验收后，根据验收结果结算合同最终应付总额。具体标准如下：验收得分90分（含）以上：结算比例为合同总金额的100%；验收得分60分（含）至90分（不含）：分6档在协议约定合同服务费的5%-30%区间扣款。验收得分低于60分（不含），或乙方无故逾期提交报告严重影响财政工作，或报告内容严重偏离事实、数据严重失真的，视为验收不合格，甲方不予支付尾款，乙方退还甲方支付的首期款。乙方根据最终结算金额与已付款项的差额提供等额增值税普通发票。甲方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首期款：签订合同后30个日历日内，供应商提供与支付金额等额的增值税普通发票，采购人确认后启动首期款支付流程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尾款支付以乙方服务成果的时效和质量为依据，经甲方组织评审验收后，根据验收结果结算合同最终应付总额。具体标准如下：验收得分90分（含）以上：结算比例为合同总金额的100%；验收得分60分（含）至90分（不含）：分6档在协议约定合同服务费的5%-30%区间扣款。验收得分低于60分（不含），或乙方无故逾期提交报告严重影响财政工作，或报告内容严重偏离事实、数据严重失真的，视为验收不合格，甲方不予支付尾款，乙方退还甲方支付的首期款。乙方根据最终结算金额与已付款项的差额提供等额增值税普通发票。甲方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完成2026年成本预算绩效管理项目工作，应当按照合同金额的20%向采购人支付违约金。逾期20日仍未完成的，采购人有权解除合同，所产生的一切损失由成交供应商自行承担，采购人有权拒付全部费用，并要求成交供应商退还采购人已支付的首期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完成2026年成本预算绩效管理项目工作，应当按照合同金额的20%向采购人支付违约金。逾期20日仍未完成的，采购人有权解除合同，所产生的一切损失由成交供应商自行承担，采购人有权拒付全部费用，并要求成交供应商退还采购人已支付的首期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完成2026年成本预算绩效管理项目工作，应当按照合同金额的20%向采购人支付违约金。逾期20日仍未完成的，采购人有权解除合同，所产生的一切损失由成交供应商自行承担，采购人有权拒付全部费用，并要求成交供应商退还采购人已支付的首期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3.4.1采购标的对应的中小企业划分标准所属行业为其他未列明行业。从业人员300人以下的为中小微型企业。其中，从业人员100人及以上的为中型企业；从业人员10人及以上的为小型企业；从业人员10人 以下的为微型企业。 3.4.2本项目非专门面向中小企业采购。 3.4.3需要落实的政府采购政策：（1）《国务院办公厅关于建立政府强制采购节能产品制度的通知》（国办发〔2007〕51号）；（2）《财政部司法部关于政府采购支持监狱企业发展有关问题的通知》（财库〔2014〕68号）；（3）《财政部、民政部、中国残疾人联合会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书面声明：参加本次政府采购活动前3年内在经营活动中没有重大违法记录的书面声明并加盖公章。</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具有履行合同所必需的设备和专业技术能力的承诺函：具有履行合同所必需的设备和专业技术能力的承诺函并加盖公章。</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税收缴纳凭证：供应商上一年度至今（2025年5月）已缴纳的至少一个月的纳税证明或完税证明，纳税证明或完税证明上应有代收机构或税务机关的公章或业务专用章。依法免税的供应商应提供相关文件证明。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社会保险缴纳的凭证</w:t>
            </w:r>
          </w:p>
        </w:tc>
        <w:tc>
          <w:tcPr>
            <w:tcW w:type="dxa" w:w="3322"/>
          </w:tcPr>
          <w:p>
            <w:pPr>
              <w:pStyle w:val="null3"/>
            </w:pPr>
            <w:r>
              <w:rPr>
                <w:rFonts w:ascii="仿宋_GB2312" w:hAnsi="仿宋_GB2312" w:cs="仿宋_GB2312" w:eastAsia="仿宋_GB2312"/>
              </w:rPr>
              <w:t>社会保险缴纳的凭证：供应商上一年度至今（2025年5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3-投标人应提交的资格证明材料.docx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书面声明：参加本次政府采购活动前3年内在经营活动中没有重大违法记录的书面声明并加盖公章。</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具有履行合同所必需的设备和专业技术能力的承诺函：具有履行合同所必需的设备和专业技术能力的承诺函并加盖公章。</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税收缴纳凭证：供应商上一年度至今（2025年5月）已缴纳的至少一个月的纳税证明或完税证明，纳税证明或完税证明上应有代收机构或税务机关的公章或业务专用章。依法免税的供应商应提供相关文件证明。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社会保险缴纳的凭证</w:t>
            </w:r>
          </w:p>
        </w:tc>
        <w:tc>
          <w:tcPr>
            <w:tcW w:type="dxa" w:w="3322"/>
          </w:tcPr>
          <w:p>
            <w:pPr>
              <w:pStyle w:val="null3"/>
            </w:pPr>
            <w:r>
              <w:rPr>
                <w:rFonts w:ascii="仿宋_GB2312" w:hAnsi="仿宋_GB2312" w:cs="仿宋_GB2312" w:eastAsia="仿宋_GB2312"/>
              </w:rPr>
              <w:t>社会保险缴纳的凭证：供应商上一年度至今（2025年5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3-投标人应提交的资格证明材料.docx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书面声明：参加本次政府采购活动前3年内在经营活动中没有重大违法记录的书面声明并加盖公章。</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具有履行合同所必需的设备和专业技术能力的承诺函：具有履行合同所必需的设备和专业技术能力的承诺函并加盖公章。</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税收缴纳凭证：供应商上一年度至今（2025年5月）已缴纳的至少一个月的纳税证明或完税证明，纳税证明或完税证明上应有代收机构或税务机关的公章或业务专用章。依法免税的供应商应提供相关文件证明。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社会保险缴纳的凭证</w:t>
            </w:r>
          </w:p>
        </w:tc>
        <w:tc>
          <w:tcPr>
            <w:tcW w:type="dxa" w:w="3322"/>
          </w:tcPr>
          <w:p>
            <w:pPr>
              <w:pStyle w:val="null3"/>
            </w:pPr>
            <w:r>
              <w:rPr>
                <w:rFonts w:ascii="仿宋_GB2312" w:hAnsi="仿宋_GB2312" w:cs="仿宋_GB2312" w:eastAsia="仿宋_GB2312"/>
              </w:rPr>
              <w:t>社会保险缴纳的凭证：供应商上一年度至今（2025年5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3-投标人应提交的资格证明材料.docx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3-投标人应提交的资格证明材料.docx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1.磋商一览表.docx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3-投标人应提交的资格证明材料.docx 5-其他资料.docx 8-关于符合本国产品标准的声明函.docx 中小企业声明函 报价表 2-法定代表人授权书.docx 6-技术方案.docx 4-商务条款偏离表.docx 响应文件封面 7.中小企业声明函(服务).docx 残疾人福利性单位声明函 1.磋商一览表.docx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 或授权委托书</w:t>
            </w:r>
          </w:p>
        </w:tc>
        <w:tc>
          <w:tcPr>
            <w:tcW w:type="dxa" w:w="3322"/>
          </w:tcPr>
          <w:p>
            <w:pPr>
              <w:pStyle w:val="null3"/>
            </w:pPr>
            <w:r>
              <w:rPr>
                <w:rFonts w:ascii="仿宋_GB2312" w:hAnsi="仿宋_GB2312" w:cs="仿宋_GB2312" w:eastAsia="仿宋_GB2312"/>
              </w:rPr>
              <w:t>提供法定代表人身份证明书 或授权委托书，符合磋商文件要求</w:t>
            </w:r>
          </w:p>
        </w:tc>
        <w:tc>
          <w:tcPr>
            <w:tcW w:type="dxa" w:w="1661"/>
          </w:tcPr>
          <w:p>
            <w:pPr>
              <w:pStyle w:val="null3"/>
            </w:pPr>
            <w:r>
              <w:rPr>
                <w:rFonts w:ascii="仿宋_GB2312" w:hAnsi="仿宋_GB2312" w:cs="仿宋_GB2312" w:eastAsia="仿宋_GB2312"/>
              </w:rPr>
              <w:t>2-法定代表人授权书.docx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1.磋商一览表.docx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1.磋商一览表.docx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1.磋商一览表.docx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不存在法律法规和采购文件规定的其他无效情形的。</w:t>
            </w:r>
          </w:p>
        </w:tc>
        <w:tc>
          <w:tcPr>
            <w:tcW w:type="dxa" w:w="3322"/>
          </w:tcPr>
          <w:p>
            <w:pPr>
              <w:pStyle w:val="null3"/>
            </w:pPr>
            <w:r>
              <w:rPr>
                <w:rFonts w:ascii="仿宋_GB2312" w:hAnsi="仿宋_GB2312" w:cs="仿宋_GB2312" w:eastAsia="仿宋_GB2312"/>
              </w:rPr>
              <w:t>不存在法律法规和采购文件规定的其他无效情形的。</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1.磋商一览表.docx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5-其他资料.docx 8-关于符合本国产品标准的声明函.docx 3-投标人应提交的资格证明材料.docx 中小企业声明函 报价表 2-法定代表人授权书.docx 6-技术方案.docx 4-商务条款偏离表.docx 响应文件封面 7.中小企业声明函(服务).docx 残疾人福利性单位声明函 1.磋商一览表.docx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 或授权委托书</w:t>
            </w:r>
          </w:p>
        </w:tc>
        <w:tc>
          <w:tcPr>
            <w:tcW w:type="dxa" w:w="3322"/>
          </w:tcPr>
          <w:p>
            <w:pPr>
              <w:pStyle w:val="null3"/>
            </w:pPr>
            <w:r>
              <w:rPr>
                <w:rFonts w:ascii="仿宋_GB2312" w:hAnsi="仿宋_GB2312" w:cs="仿宋_GB2312" w:eastAsia="仿宋_GB2312"/>
              </w:rPr>
              <w:t>提供法定代表人身份证明书 或授权委托书，符合磋商文件要求</w:t>
            </w:r>
          </w:p>
        </w:tc>
        <w:tc>
          <w:tcPr>
            <w:tcW w:type="dxa" w:w="1661"/>
          </w:tcPr>
          <w:p>
            <w:pPr>
              <w:pStyle w:val="null3"/>
            </w:pPr>
            <w:r>
              <w:rPr>
                <w:rFonts w:ascii="仿宋_GB2312" w:hAnsi="仿宋_GB2312" w:cs="仿宋_GB2312" w:eastAsia="仿宋_GB2312"/>
              </w:rPr>
              <w:t>2-法定代表人授权书.docx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1.磋商一览表.docx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1.磋商一览表.docx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1.磋商一览表.docx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不存在法律法规和采购文件规定的其他无效情形的。</w:t>
            </w:r>
          </w:p>
        </w:tc>
        <w:tc>
          <w:tcPr>
            <w:tcW w:type="dxa" w:w="3322"/>
          </w:tcPr>
          <w:p>
            <w:pPr>
              <w:pStyle w:val="null3"/>
            </w:pPr>
            <w:r>
              <w:rPr>
                <w:rFonts w:ascii="仿宋_GB2312" w:hAnsi="仿宋_GB2312" w:cs="仿宋_GB2312" w:eastAsia="仿宋_GB2312"/>
              </w:rPr>
              <w:t>不存在法律法规和采购文件规定的其他无效情形的。</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1.磋商一览表.docx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3-投标人应提交的资格证明材料.docx 5-其他资料.docx 8-关于符合本国产品标准的声明函.docx 中小企业声明函 报价表 2-法定代表人授权书.docx 6-技术方案.docx 4-商务条款偏离表.docx 响应文件封面 7.中小企业声明函(服务).docx 残疾人福利性单位声明函 1.磋商一览表.docx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 或授权委托书</w:t>
            </w:r>
          </w:p>
        </w:tc>
        <w:tc>
          <w:tcPr>
            <w:tcW w:type="dxa" w:w="3322"/>
          </w:tcPr>
          <w:p>
            <w:pPr>
              <w:pStyle w:val="null3"/>
            </w:pPr>
            <w:r>
              <w:rPr>
                <w:rFonts w:ascii="仿宋_GB2312" w:hAnsi="仿宋_GB2312" w:cs="仿宋_GB2312" w:eastAsia="仿宋_GB2312"/>
              </w:rPr>
              <w:t>提供法定代表人身份证明书 或授权委托书，符合磋商文件要求</w:t>
            </w:r>
          </w:p>
        </w:tc>
        <w:tc>
          <w:tcPr>
            <w:tcW w:type="dxa" w:w="1661"/>
          </w:tcPr>
          <w:p>
            <w:pPr>
              <w:pStyle w:val="null3"/>
            </w:pPr>
            <w:r>
              <w:rPr>
                <w:rFonts w:ascii="仿宋_GB2312" w:hAnsi="仿宋_GB2312" w:cs="仿宋_GB2312" w:eastAsia="仿宋_GB2312"/>
              </w:rPr>
              <w:t>2-法定代表人授权书.docx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1.磋商一览表.docx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1.磋商一览表.docx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1.磋商一览表.docx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不存在法律法规和采购文件规定的其他无效情形的。</w:t>
            </w:r>
          </w:p>
        </w:tc>
        <w:tc>
          <w:tcPr>
            <w:tcW w:type="dxa" w:w="3322"/>
          </w:tcPr>
          <w:p>
            <w:pPr>
              <w:pStyle w:val="null3"/>
            </w:pPr>
            <w:r>
              <w:rPr>
                <w:rFonts w:ascii="仿宋_GB2312" w:hAnsi="仿宋_GB2312" w:cs="仿宋_GB2312" w:eastAsia="仿宋_GB2312"/>
              </w:rPr>
              <w:t>不存在法律法规和采购文件规定的其他无效情形的。</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项目理解及重难点分析</w:t>
            </w:r>
          </w:p>
        </w:tc>
        <w:tc>
          <w:tcPr>
            <w:tcW w:type="dxa" w:w="2492"/>
          </w:tcPr>
          <w:p>
            <w:pPr>
              <w:pStyle w:val="null3"/>
            </w:pPr>
            <w:r>
              <w:rPr>
                <w:rFonts w:ascii="仿宋_GB2312" w:hAnsi="仿宋_GB2312" w:cs="仿宋_GB2312" w:eastAsia="仿宋_GB2312"/>
              </w:rPr>
              <w:t>一、评审因素 针对本项目提供项目理解及重难点分析，包括： ①绩效评价项目政策背景、工作目标、核心要求的理解； ②绩效评价的范围、工作任务； ③项目核查重点及难点分析。 二、评审标准 1.完整性：方案须全面，对评审内容中的各项要求有详细描述； 2.可实施性：切合本项目实际情况，实施步骤清晰、合理； 3.针对性：方案能够紧扣项目实际情况，内容科学合理。 三、赋分依据（满分9分） ①绩效评价项目政策背景、工作目标、核心要求理解：每完全满足一个评审标准得1分，每存在一项缺陷的扣0.5分，满分3分； ②绩效评价的范围、工作任务：每完全满足一个评审标准得1分，每存在一项缺陷的扣0.5分，满分3分。 ③项目核查重点及难点分析：每完全满足一个评审标准得1分，每存在一项缺陷的扣0.5分，满分3分。 （“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针对本项目提供服务方案，包括： ①项目前期准备工作； ②总体服务方案； ③绩效评价工作服务流程； ④项目工作思路及计划制定； ⑤项目进度安排； ⑥针对本项目的服务承诺，包括质量保证承诺、遇到突发情况或临时任务时的保障服务、增值服务承诺等。 二、评审标准 1.完整性：方案须全面，对评审内容中的各项要求有详细描述； 2.可实施性：切合本项目实际情况，实施步骤清晰、合理； 3.针对性：方案能够紧扣项目实际情况，内容科学合理。 三、赋分依据（满分36分） ①项目前期准备工作：每完全满足一个评审标准得2分，每存在一项缺陷的扣0.5分，满分6分。 ②总体服务方案：每完全满足一个评审标准得2分，每存在一项缺陷的扣0.5分，满分6分。 ③绩效评价工作服务流程：每完全满足一个评审标准得2分，每存在一项缺陷的扣0.5分，满分6分。 ④项目工作思路及计划制定：每完全满足一个评审标准得2分，每存在一项缺陷的扣0.5分，满分6分。 ⑤项目工作进度安排：每完全满足一个评审标准得2分，每存在一项缺陷的扣0.5分，满分6分。 ⑥针对本项目的服务承诺，包括质量保障承诺、遇到突发情况或临时任务时的保障服务、增值服务等：每完全满足一个评审标准得2分，每存在一项缺陷的扣0.5分，满分6分。 （“缺陷”是指以下任意一种情形：数据、名称、专业术语及符号、文字表述错误；或前后矛盾；或存在与采购情况无关的内容，或涉及的内容与本项目要求不一致；或提供方案与采购需求存在相互矛盾；或照搬其他内容，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 1.拟派项目负责人（1人）具有本科及以上学历，得1分；其他不得分。 2.从业经验：项目负责人具有类似从业经验（提供2023年1月1日至今的类似项目从业经验证明材料（注：供应商需提供负责人项目经验清单并加盖供应商公章。清单需能体现出委托单位名称、项目名称、项目负责人名字 , 否则不予承认，清单一经发现伪造，供应商自行承担相关后果。）每提供一项计1分，最高得3分；不满足或未提供不得分。 3.职称要求：具有中级及以上职称得1分；其他不得分。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 针对本项目提供项目团队配置，包括： ①项目团队人员配备、分工及责任制度； ②技术团队人员管理制度； ③技术团队行业经验丰富程度、技术团队专业性； 二、评审标准 1.完整性：方案须全面，对评审内容中的各项要求有详细描述； 2.可实施性：切合本项目实际情况，实施步骤清晰、合理； 3.针对性：方案能够紧扣项目实际情况，内容科学合理。 三、赋分依据（满分9分） ①项目团队人员配备、分工及责任制度：每完全满足一个评审标准得1分，每存在一项缺陷的扣0.5分，满分3分。 ②技术团队人员管理制度：每完全满足一个评审标准得1分，每存在一项缺陷的扣0.5分，满分3分。 ③技术团队行业经验丰富程度、技术团队专业性，每完全满足一个评审标准得1分，每存在一项缺陷的扣0.5分，满分3分。 （“缺陷”是指以下任意一种情形：数据、名称、专业术语及符号、文字表述错误；或前后矛盾；或存在与采购情况无关的内容；或涉及的内容与本项目要求不一致；或提供方案与采购需求存在相互矛盾；或照搬其他内容，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质量保障 措施</w:t>
            </w:r>
          </w:p>
        </w:tc>
        <w:tc>
          <w:tcPr>
            <w:tcW w:type="dxa" w:w="2492"/>
          </w:tcPr>
          <w:p>
            <w:pPr>
              <w:pStyle w:val="null3"/>
            </w:pPr>
            <w:r>
              <w:rPr>
                <w:rFonts w:ascii="仿宋_GB2312" w:hAnsi="仿宋_GB2312" w:cs="仿宋_GB2312" w:eastAsia="仿宋_GB2312"/>
              </w:rPr>
              <w:t>一、评审因素 针对本项目提供质量保障措施，包括： ①成果质量管理体系（质量目标、质量管理体系及职责、质量管理制度） ②服务质量保证措施（质量保证措施、问题预防措施）； 二、评审标准 1.完整性：方案须全面，对评审内容中的各项要求有详细描述； 2.可实施性：切合本项目实际情况，实施步骤清晰、合理； 3.针对性：方案能够紧扣项目实际情况，内容科学合理。 三、赋分依据（满分9分） ①成果质量管理体系：每完全满足一个评审标准得1.5分，每存在一项缺陷的扣0.5分，满分4.5分。 ②服务质量保证措施：每完全满足一个评审标准得1.5分，每存在一项缺陷的扣0.5分，满分4.5分。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保密方案及廉洁风险防控措施</w:t>
            </w:r>
          </w:p>
        </w:tc>
        <w:tc>
          <w:tcPr>
            <w:tcW w:type="dxa" w:w="2492"/>
          </w:tcPr>
          <w:p>
            <w:pPr>
              <w:pStyle w:val="null3"/>
            </w:pPr>
            <w:r>
              <w:rPr>
                <w:rFonts w:ascii="仿宋_GB2312" w:hAnsi="仿宋_GB2312" w:cs="仿宋_GB2312" w:eastAsia="仿宋_GB2312"/>
              </w:rPr>
              <w:t>一、评审因素 针对本项目提供保密方案及廉洁风险防控措施，包括： ①项目可能涉及的泄密风险评估； ②保密管理制度； ③廉洁风险防控措施。 二、评审标准 1.完整性：方案须全面，对评审内容中的各项要求有详细描述； 2.可实施性：切合本项目实际情况，实施步骤清晰、合理； 3.针对性：方案能够紧扣项目实际情况，内容科学合理。 三、赋分依据（满分9分） ①项目可能涉及的泄密风险评估：每完全满足一个评审标准得1分，每存在一项缺陷的扣0.5分，满分3分。 ②保密管理制度：每完全满足一个评审标准得1分，每存在一项缺陷的扣0.5分，满分3分。 ③廉洁风险防控措施：每完全满足一个评审标准得1分，每存在一项缺陷的扣0.5分，满分3分。 （“缺陷”是指以下任意一种情形：数据、名称、专业术语及符号、文字表述错误；前后矛盾；存在与采购情况无关的内容；涉及的内容与本项目要求不一致；提供方案与采购需求存在相互矛盾；照搬其他内容中与本项目执行无关的内容；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针对本项目实际情况，提出合理化建议；通过综合比较合理性和可行性赋分， （1）建议详细、完善、合理、可行，计8分； （2）建议合理，但可行性欠缺，5分； （3）建议不全，且不便于操作，计3分； （4）未提供或内容与本项目无关的不得分。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供应商近三年（2023年1月1日至今）承接过类似项目业绩：每提供一个业绩合同或中标/成交通知书得1分，满分5分。 注：未提供不得分，响应文件中附项目合同关键页或中标/成交通知书复印件，并加盖供应商公章。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价格分统一采用低价优先法计算，即满足磋商文件要求且最终报价最低的磋商报价为评审基准价，其价格分为满分。其他供应商的价格分统一按照下列公式计算： 磋商报价得分=（评审基准价/最终磋商报价）×10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项目理解及重难点分析</w:t>
            </w:r>
          </w:p>
        </w:tc>
        <w:tc>
          <w:tcPr>
            <w:tcW w:type="dxa" w:w="2492"/>
          </w:tcPr>
          <w:p>
            <w:pPr>
              <w:pStyle w:val="null3"/>
            </w:pPr>
            <w:r>
              <w:rPr>
                <w:rFonts w:ascii="仿宋_GB2312" w:hAnsi="仿宋_GB2312" w:cs="仿宋_GB2312" w:eastAsia="仿宋_GB2312"/>
              </w:rPr>
              <w:t>一、评审因素 针对本项目提供项目理解及重难点分析，包括： ①绩效评价项目政策背景、工作目标、核心要求的理解； ②绩效评价的范围、工作任务； ③项目核查重点及难点分析。 二、评审标准 1.完整性：方案须全面，对评审内容中的各项要求有详细描述； 2.可实施性：切合本项目实际情况，实施步骤清晰、合理； 3.针对性：方案能够紧扣项目实际情况，内容科学合理。 三、赋分依据（满分9分） ①绩效评价项目政策背景、工作目标、核心要求理解：每完全满足一个评审标准得1分，每存在一项缺陷的扣0.5分，满分3分； ②绩效评价的范围、工作任务：每完全满足一个评审标准得1分，每存在一项缺陷的扣0.5分，满分3分。 ③项目核查重点及难点分析：每完全满足一个评审标准得1分，每存在一项缺陷的扣0.5分，满分3分。 （“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针对本项目提供服务方案，包括： ①项目前期准备工作； ②总体服务方案； ③绩效评价工作服务流程； ④项目工作思路及计划制定； ⑤项目进度安排； ⑥针对本项目的服务承诺，包括质量保证承诺、遇到突发情况或临时任务时的保障服务、增值服务承诺等。 二、评审标准 1.完整性：方案须全面，对评审内容中的各项要求有详细描述； 2.可实施性：切合本项目实际情况，实施步骤清晰、合理； 3.针对性：方案能够紧扣项目实际情况，内容科学合理。 三、赋分依据（满分36分） ①项目前期准备工作：每完全满足一个评审标准得2分，每存在一项缺陷的扣0.5分，满分6分。 ②总体服务方案：每完全满足一个评审标准得2分，每存在一项缺陷的扣0.5分，满分6分。 ③绩效评价工作服务流程：每完全满足一个评审标准得2分，每存在一项缺陷的扣0.5分，满分6分。 ④项目工作思路及计划制定：每完全满足一个评审标准得2分，每存在一项缺陷的扣0.5分，满分6分。 ⑤项目工作进度安排：每完全满足一个评审标准得2分，每存在一项缺陷的扣0.5分，满分6分。 ⑥针对本项目的服务承诺，包括质量保障承诺、遇到突发情况或临时任务时的保障服务、增值服务等：每完全满足一个评审标准得2分，每存在一项缺陷的扣0.5分，满分6分。 （“缺陷”是指以下任意一种情形：数据、名称、专业术语及符号、文字表述错误；或前后矛盾；或存在与采购情况无关的内容，或涉及的内容与本项目要求不一致；或提供方案与采购需求存在相互矛盾；或照搬其他内容，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 1.拟派项目负责人（1人）具有本科及以上学历，得1分；其他不得分。 2.从业经验：项目负责人具有类似从业经验（提供2023年1月1日至今的类似项目从业经验证明材料（注：供应商需提供负责人项目经验清单并加盖供应商公章。清单需能体现出委托单位名称、项目名称、项目负责人名字 , 否则不予承认，清单一经发现伪造，供应商自行承担相关后果。）每提供一项计1分，最高得3分；不满足或未提供不得分。 3.职称要求：具有中级及以上职称得1分；其他不得分。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 针对本项目提供项目团队配置，包括： ①项目团队人员配备、分工及责任制度； ②技术团队人员管理制度； ③技术团队行业经验丰富程度、技术团队专业性； 二、评审标准 1.完整性：方案须全面，对评审内容中的各项要求有详细描述； 2.可实施性：切合本项目实际情况，实施步骤清晰、合理； 3.针对性：方案能够紧扣项目实际情况，内容科学合理。 三、赋分依据（满分9分） ①项目团队人员配备、分工及责任制度：每完全满足一个评审标准得1分，每存在一项缺陷的扣0.5分，满分3分。 ②技术团队人员管理制度：每完全满足一个评审标准得1分，每存在一项缺陷的扣0.5分，满分3分。 ③技术团队行业经验丰富程度、技术团队专业性，每完全满足一个评审标准得1分，每存在一项缺陷的扣0.5分，满分3分。 （“缺陷”是指以下任意一种情形：数据、名称、专业术语及符号、文字表述错误；或前后矛盾；或存在与采购情况无关的内容；或涉及的内容与本项目要求不一致；或提供方案与采购需求存在相互矛盾；或照搬其他内容，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质量保障 措施</w:t>
            </w:r>
          </w:p>
        </w:tc>
        <w:tc>
          <w:tcPr>
            <w:tcW w:type="dxa" w:w="2492"/>
          </w:tcPr>
          <w:p>
            <w:pPr>
              <w:pStyle w:val="null3"/>
            </w:pPr>
            <w:r>
              <w:rPr>
                <w:rFonts w:ascii="仿宋_GB2312" w:hAnsi="仿宋_GB2312" w:cs="仿宋_GB2312" w:eastAsia="仿宋_GB2312"/>
              </w:rPr>
              <w:t>一、评审因素 针对本项目提供质量保障措施，包括： ①成果质量管理体系（质量目标、质量管理体系及职责、质量管理制度） ②服务质量保证措施（质量保证措施、问题预防措施）； 二、评审标准 1.完整性：方案须全面，对评审内容中的各项要求有详细描述； 2.可实施性：切合本项目实际情况，实施步骤清晰、合理； 3.针对性：方案能够紧扣项目实际情况，内容科学合理。 三、赋分依据（满分9分） ①成果质量管理体系：每完全满足一个评审标准得1.5分，每存在一项缺陷的扣0.5分，满分4.5分。 ②服务质量保证措施：每完全满足一个评审标准得1.5分，每存在一项缺陷的扣0.5分，满分4.5分。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保密方案及廉洁风险防控措施</w:t>
            </w:r>
          </w:p>
        </w:tc>
        <w:tc>
          <w:tcPr>
            <w:tcW w:type="dxa" w:w="2492"/>
          </w:tcPr>
          <w:p>
            <w:pPr>
              <w:pStyle w:val="null3"/>
            </w:pPr>
            <w:r>
              <w:rPr>
                <w:rFonts w:ascii="仿宋_GB2312" w:hAnsi="仿宋_GB2312" w:cs="仿宋_GB2312" w:eastAsia="仿宋_GB2312"/>
              </w:rPr>
              <w:t>一、评审因素 针对本项目提供保密方案及廉洁风险防控措施，包括： ①项目可能涉及的泄密风险评估； ②保密管理制度； ③廉洁风险防控措施。 二、评审标准 1.完整性：方案须全面，对评审内容中的各项要求有详细描述； 2.可实施性：切合本项目实际情况，实施步骤清晰、合理； 3.针对性：方案能够紧扣项目实际情况，内容科学合理。 三、赋分依据（满分9分） ①项目可能涉及的泄密风险评估：每完全满足一个评审标准得1分，每存在一项缺陷的扣0.5分，满分3分。 ②保密管理制度：每完全满足一个评审标准得1分，每存在一项缺陷的扣0.5分，满分3分。 ③廉洁风险防控措施：每完全满足一个评审标准得1分，每存在一项缺陷的扣0.5分，满分3分。 （“缺陷”是指以下任意一种情形：数据、名称、专业术语及符号、文字表述错误；前后矛盾；存在与采购情况无关的内容；涉及的内容与本项目要求不一致；提供方案与采购需求存在相互矛盾；照搬其他内容中与本项目执行无关的内容；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针对本项目实际情况，提出合理化建议；通过综合比较合理性和可行性赋分， （1）建议详细、完善、合理、可行，计8分； （2）建议合理，但可行性欠缺，5分； （3）建议不全，且不便于操作，计3分； （4）未提供或内容与本项目无关的不得分。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供应商近三年（2023年1月1日至今）承接过类似项目业绩：每提供一个业绩合同或中标/成交通知书得1分，满分5分。 注：未提供不得分，响应文件中附项目合同关键页或中标/成交通知书复印件，并加盖供应商公章。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价格分统一采用低价优先法计算，即满足磋商文件要求且最终报价最低的磋商报价为评审基准价，其价格分为满分。其他供应商的价格分统一按照下列公式计算： 磋商报价得分=（评审基准价/最终磋商报价）×10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项目理解及重难点分析</w:t>
            </w:r>
          </w:p>
        </w:tc>
        <w:tc>
          <w:tcPr>
            <w:tcW w:type="dxa" w:w="2492"/>
          </w:tcPr>
          <w:p>
            <w:pPr>
              <w:pStyle w:val="null3"/>
            </w:pPr>
            <w:r>
              <w:rPr>
                <w:rFonts w:ascii="仿宋_GB2312" w:hAnsi="仿宋_GB2312" w:cs="仿宋_GB2312" w:eastAsia="仿宋_GB2312"/>
              </w:rPr>
              <w:t>一、评审因素 针对本项目提供项目理解及重难点分析，包括： ①绩效评价项目政策背景、工作目标、核心要求的理解； ②绩效评价的范围、工作任务； ③项目核查重点及难点分析。 二、评审标准 1.完整性：方案须全面，对评审内容中的各项要求有详细描述； 2.可实施性：切合本项目实际情况，实施步骤清晰、合理； 3.针对性：方案能够紧扣项目实际情况，内容科学合理。 三、赋分依据（满分9分） ①绩效评价项目政策背景、工作目标、核心要求理解：每完全满足一个评审标准得1分，每存在一项缺陷的扣0.5分，满分3分； ②绩效评价的范围、工作任务：每完全满足一个评审标准得1分，每存在一项缺陷的扣0.5分，满分3分。 ③项目核查重点及难点分析：每完全满足一个评审标准得1分，每存在一项缺陷的扣0.5分，满分3分。 （“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针对本项目提供服务方案，包括： ①项目前期准备工作； ②总体服务方案； ③绩效评价工作服务流程； ④项目工作思路及计划制定； ⑤项目进度安排； ⑥针对本项目的服务承诺，包括质量保证承诺、遇到突发情况或临时任务时的保障服务、增值服务承诺等。 二、评审标准 1.完整性：方案须全面，对评审内容中的各项要求有详细描述； 2.可实施性：切合本项目实际情况，实施步骤清晰、合理； 3.针对性：方案能够紧扣项目实际情况，内容科学合理。 三、赋分依据（满分36分） ①项目前期准备工作：每完全满足一个评审标准得2分，每存在一项缺陷的扣0.5分，满分6分。 ②总体服务方案：每完全满足一个评审标准得2分，每存在一项缺陷的扣0.5分，满分6分。 ③绩效评价工作服务流程：每完全满足一个评审标准得2分，每存在一项缺陷的扣0.5分，满分6分。 ④项目工作思路及计划制定：每完全满足一个评审标准得2分，每存在一项缺陷的扣0.5分，满分6分。 ⑤项目工作进度安排：每完全满足一个评审标准得2分，每存在一项缺陷的扣0.5分，满分6分。 ⑥针对本项目的服务承诺，包括质量保障承诺、遇到突发情况或临时任务时的保障服务、增值服务等：每完全满足一个评审标准得2分，每存在一项缺陷的扣0.5分，满分6分。 （“缺陷”是指以下任意一种情形：数据、名称、专业术语及符号、文字表述错误；或前后矛盾；或存在与采购情况无关的内容，或涉及的内容与本项目要求不一致；或提供方案与采购需求存在相互矛盾；或照搬其他内容，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 1.拟派项目负责人（1人）具有本科及以上学历，得1分；其他不得分。 2.从业经验：项目负责人具有类似从业经验（提供2023年1月1日至今的类似项目从业经验证明材料（注：供应商需提供负责人项目经验清单并加盖供应商公章。清单需能体现出委托单位名称、项目名称、项目负责人名字 , 否则不予承认，清单一经发现伪造，供应商自行承担相关后果。）每提供一项计1分，最高得3分；不满足或未提供不得分。 3.职称要求：具有中级及以上职称得1分；其他不得分。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 针对本项目提供项目团队配置，包括： ①项目团队人员配备、分工及责任制度； ②技术团队人员管理制度； ③技术团队行业经验丰富程度、技术团队专业性； 二、评审标准 1.完整性：方案须全面，对评审内容中的各项要求有详细描述； 2.可实施性：切合本项目实际情况，实施步骤清晰、合理； 3.针对性：方案能够紧扣项目实际情况，内容科学合理。 三、赋分依据（满分9分） ①项目团队人员配备、分工及责任制度：每完全满足一个评审标准得1分，每存在一项缺陷的扣0.5分，满分3分。 ②技术团队人员管理制度：每完全满足一个评审标准得1分，每存在一项缺陷的扣0.5分，满分3分。 ③技术团队行业经验丰富程度、技术团队专业性，每完全满足一个评审标准得1分，每存在一项缺陷的扣0.5分，满分3分。 （“缺陷”是指以下任意一种情形：数据、名称、专业术语及符号、文字表述错误；或前后矛盾；或存在与采购情况无关的内容；或涉及的内容与本项目要求不一致；或提供方案与采购需求存在相互矛盾；或照搬其他内容，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质量保障 措施</w:t>
            </w:r>
          </w:p>
        </w:tc>
        <w:tc>
          <w:tcPr>
            <w:tcW w:type="dxa" w:w="2492"/>
          </w:tcPr>
          <w:p>
            <w:pPr>
              <w:pStyle w:val="null3"/>
            </w:pPr>
            <w:r>
              <w:rPr>
                <w:rFonts w:ascii="仿宋_GB2312" w:hAnsi="仿宋_GB2312" w:cs="仿宋_GB2312" w:eastAsia="仿宋_GB2312"/>
              </w:rPr>
              <w:t>一、评审因素 针对本项目提供质量保障措施，包括： ①成果质量管理体系（质量目标、质量管理体系及职责、质量管理制度） ②服务质量保证措施（质量保证措施、问题预防措施）； 二、评审标准 1.完整性：方案须全面，对评审内容中的各项要求有详细描述； 2.可实施性：切合本项目实际情况，实施步骤清晰、合理； 3.针对性：方案能够紧扣项目实际情况，内容科学合理。 三、赋分依据（满分9分） ①成果质量管理体系：每完全满足一个评审标准得1.5分，每存在一项缺陷的扣0.5分，满分4.5分。 ②服务质量保证措施：每完全满足一个评审标准得1.5分，每存在一项缺陷的扣0.5分，满分4.5分。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保密方案及廉洁风险防控措施</w:t>
            </w:r>
          </w:p>
        </w:tc>
        <w:tc>
          <w:tcPr>
            <w:tcW w:type="dxa" w:w="2492"/>
          </w:tcPr>
          <w:p>
            <w:pPr>
              <w:pStyle w:val="null3"/>
            </w:pPr>
            <w:r>
              <w:rPr>
                <w:rFonts w:ascii="仿宋_GB2312" w:hAnsi="仿宋_GB2312" w:cs="仿宋_GB2312" w:eastAsia="仿宋_GB2312"/>
              </w:rPr>
              <w:t>一、评审因素 针对本项目提供保密方案及廉洁风险防控措施，包括： ①项目可能涉及的泄密风险评估； ②保密管理制度； ③廉洁风险防控措施。 二、评审标准 1.完整性：方案须全面，对评审内容中的各项要求有详细描述； 2.可实施性：切合本项目实际情况，实施步骤清晰、合理； 3.针对性：方案能够紧扣项目实际情况，内容科学合理。 三、赋分依据（满分9分） ①项目可能涉及的泄密风险评估：每完全满足一个评审标准得1分，每存在一项缺陷的扣0.5分，满分3分。 ②保密管理制度：每完全满足一个评审标准得1分，每存在一项缺陷的扣0.5分，满分3分。 ③廉洁风险防控措施：每完全满足一个评审标准得1分，每存在一项缺陷的扣0.5分，满分3分。 （“缺陷”是指以下任意一种情形：数据、名称、专业术语及符号、文字表述错误；前后矛盾；存在与采购情况无关的内容；涉及的内容与本项目要求不一致；提供方案与采购需求存在相互矛盾；照搬其他内容中与本项目执行无关的内容；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针对本项目实际情况，提出合理化建议；通过综合比较合理性和可行性赋分， （1）建议详细、完善、合理、可行，计8分； （2）建议合理，但可行性欠缺，5分； （3）建议不全，且不便于操作，计3分； （4）未提供或内容与本项目无关的不得分。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供应商近三年（2023年1月1日至今）承接过类似项目业绩：每提供一个业绩合同或中标/成交通知书得1分，满分5分。 注：未提供不得分，响应文件中附项目合同关键页或中标/成交通知书复印件，并加盖供应商公章。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价格分统一采用低价优先法计算，即满足磋商文件要求且最终报价最低的磋商报价为评审基准价，其价格分为满分。其他供应商的价格分统一按照下列公式计算： 磋商报价得分=（评审基准价/最终磋商报价）×10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详见附件：1.磋商一览表.docx</w:t>
      </w:r>
    </w:p>
    <w:p>
      <w:pPr>
        <w:pStyle w:val="null3"/>
        <w:ind w:firstLine="960"/>
      </w:pPr>
      <w:r>
        <w:rPr>
          <w:rFonts w:ascii="仿宋_GB2312" w:hAnsi="仿宋_GB2312" w:cs="仿宋_GB2312" w:eastAsia="仿宋_GB2312"/>
        </w:rPr>
        <w:t>详见附件：2-法定代表人授权书.docx</w:t>
      </w:r>
    </w:p>
    <w:p>
      <w:pPr>
        <w:pStyle w:val="null3"/>
        <w:ind w:firstLine="960"/>
      </w:pPr>
      <w:r>
        <w:rPr>
          <w:rFonts w:ascii="仿宋_GB2312" w:hAnsi="仿宋_GB2312" w:cs="仿宋_GB2312" w:eastAsia="仿宋_GB2312"/>
        </w:rPr>
        <w:t>详见附件：3-投标人应提交的资格证明材料.docx</w:t>
      </w:r>
    </w:p>
    <w:p>
      <w:pPr>
        <w:pStyle w:val="null3"/>
        <w:ind w:firstLine="960"/>
      </w:pPr>
      <w:r>
        <w:rPr>
          <w:rFonts w:ascii="仿宋_GB2312" w:hAnsi="仿宋_GB2312" w:cs="仿宋_GB2312" w:eastAsia="仿宋_GB2312"/>
        </w:rPr>
        <w:t>详见附件：4-商务条款偏离表.docx</w:t>
      </w:r>
    </w:p>
    <w:p>
      <w:pPr>
        <w:pStyle w:val="null3"/>
        <w:ind w:firstLine="960"/>
      </w:pPr>
      <w:r>
        <w:rPr>
          <w:rFonts w:ascii="仿宋_GB2312" w:hAnsi="仿宋_GB2312" w:cs="仿宋_GB2312" w:eastAsia="仿宋_GB2312"/>
        </w:rPr>
        <w:t>详见附件：5-其他资料.docx</w:t>
      </w:r>
    </w:p>
    <w:p>
      <w:pPr>
        <w:pStyle w:val="null3"/>
        <w:ind w:firstLine="960"/>
      </w:pPr>
      <w:r>
        <w:rPr>
          <w:rFonts w:ascii="仿宋_GB2312" w:hAnsi="仿宋_GB2312" w:cs="仿宋_GB2312" w:eastAsia="仿宋_GB2312"/>
        </w:rPr>
        <w:t>详见附件：6-技术方案.docx</w:t>
      </w:r>
    </w:p>
    <w:p>
      <w:pPr>
        <w:pStyle w:val="null3"/>
        <w:ind w:firstLine="960"/>
      </w:pPr>
      <w:r>
        <w:rPr>
          <w:rFonts w:ascii="仿宋_GB2312" w:hAnsi="仿宋_GB2312" w:cs="仿宋_GB2312" w:eastAsia="仿宋_GB2312"/>
        </w:rPr>
        <w:t>详见附件：7.中小企业声明函(服务).docx</w:t>
      </w:r>
    </w:p>
    <w:p>
      <w:pPr>
        <w:pStyle w:val="null3"/>
        <w:ind w:firstLine="960"/>
      </w:pPr>
      <w:r>
        <w:rPr>
          <w:rFonts w:ascii="仿宋_GB2312" w:hAnsi="仿宋_GB2312" w:cs="仿宋_GB2312" w:eastAsia="仿宋_GB2312"/>
        </w:rPr>
        <w:t>详见附件：8-关于符合本国产品标准的声明函.docx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详见附件：1.磋商一览表.docx</w:t>
      </w:r>
    </w:p>
    <w:p>
      <w:pPr>
        <w:pStyle w:val="null3"/>
        <w:ind w:firstLine="960"/>
      </w:pPr>
      <w:r>
        <w:rPr>
          <w:rFonts w:ascii="仿宋_GB2312" w:hAnsi="仿宋_GB2312" w:cs="仿宋_GB2312" w:eastAsia="仿宋_GB2312"/>
        </w:rPr>
        <w:t>详见附件：2-法定代表人授权书.docx</w:t>
      </w:r>
    </w:p>
    <w:p>
      <w:pPr>
        <w:pStyle w:val="null3"/>
        <w:ind w:firstLine="960"/>
      </w:pPr>
      <w:r>
        <w:rPr>
          <w:rFonts w:ascii="仿宋_GB2312" w:hAnsi="仿宋_GB2312" w:cs="仿宋_GB2312" w:eastAsia="仿宋_GB2312"/>
        </w:rPr>
        <w:t>详见附件：4-商务条款偏离表.docx</w:t>
      </w:r>
    </w:p>
    <w:p>
      <w:pPr>
        <w:pStyle w:val="null3"/>
        <w:ind w:firstLine="960"/>
      </w:pPr>
      <w:r>
        <w:rPr>
          <w:rFonts w:ascii="仿宋_GB2312" w:hAnsi="仿宋_GB2312" w:cs="仿宋_GB2312" w:eastAsia="仿宋_GB2312"/>
        </w:rPr>
        <w:t>详见附件：5-其他资料.docx</w:t>
      </w:r>
    </w:p>
    <w:p>
      <w:pPr>
        <w:pStyle w:val="null3"/>
        <w:ind w:firstLine="960"/>
      </w:pPr>
      <w:r>
        <w:rPr>
          <w:rFonts w:ascii="仿宋_GB2312" w:hAnsi="仿宋_GB2312" w:cs="仿宋_GB2312" w:eastAsia="仿宋_GB2312"/>
        </w:rPr>
        <w:t>详见附件：6-技术方案.docx</w:t>
      </w:r>
    </w:p>
    <w:p>
      <w:pPr>
        <w:pStyle w:val="null3"/>
        <w:ind w:firstLine="960"/>
      </w:pPr>
      <w:r>
        <w:rPr>
          <w:rFonts w:ascii="仿宋_GB2312" w:hAnsi="仿宋_GB2312" w:cs="仿宋_GB2312" w:eastAsia="仿宋_GB2312"/>
        </w:rPr>
        <w:t>详见附件：7.中小企业声明函(服务).docx</w:t>
      </w:r>
    </w:p>
    <w:p>
      <w:pPr>
        <w:pStyle w:val="null3"/>
        <w:ind w:firstLine="960"/>
      </w:pPr>
      <w:r>
        <w:rPr>
          <w:rFonts w:ascii="仿宋_GB2312" w:hAnsi="仿宋_GB2312" w:cs="仿宋_GB2312" w:eastAsia="仿宋_GB2312"/>
        </w:rPr>
        <w:t>详见附件：8-关于符合本国产品标准的声明函.docx</w:t>
      </w:r>
    </w:p>
    <w:p>
      <w:pPr>
        <w:pStyle w:val="null3"/>
        <w:ind w:firstLine="960"/>
      </w:pPr>
      <w:r>
        <w:rPr>
          <w:rFonts w:ascii="仿宋_GB2312" w:hAnsi="仿宋_GB2312" w:cs="仿宋_GB2312" w:eastAsia="仿宋_GB2312"/>
        </w:rPr>
        <w:t>详见附件：3-投标人应提交的资格证明材料.docx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详见附件：1.磋商一览表.docx</w:t>
      </w:r>
    </w:p>
    <w:p>
      <w:pPr>
        <w:pStyle w:val="null3"/>
        <w:ind w:firstLine="960"/>
      </w:pPr>
      <w:r>
        <w:rPr>
          <w:rFonts w:ascii="仿宋_GB2312" w:hAnsi="仿宋_GB2312" w:cs="仿宋_GB2312" w:eastAsia="仿宋_GB2312"/>
        </w:rPr>
        <w:t>详见附件：2-法定代表人授权书.docx</w:t>
      </w:r>
    </w:p>
    <w:p>
      <w:pPr>
        <w:pStyle w:val="null3"/>
        <w:ind w:firstLine="960"/>
      </w:pPr>
      <w:r>
        <w:rPr>
          <w:rFonts w:ascii="仿宋_GB2312" w:hAnsi="仿宋_GB2312" w:cs="仿宋_GB2312" w:eastAsia="仿宋_GB2312"/>
        </w:rPr>
        <w:t>详见附件：3-投标人应提交的资格证明材料.docx</w:t>
      </w:r>
    </w:p>
    <w:p>
      <w:pPr>
        <w:pStyle w:val="null3"/>
        <w:ind w:firstLine="960"/>
      </w:pPr>
      <w:r>
        <w:rPr>
          <w:rFonts w:ascii="仿宋_GB2312" w:hAnsi="仿宋_GB2312" w:cs="仿宋_GB2312" w:eastAsia="仿宋_GB2312"/>
        </w:rPr>
        <w:t>详见附件：4-商务条款偏离表.docx</w:t>
      </w:r>
    </w:p>
    <w:p>
      <w:pPr>
        <w:pStyle w:val="null3"/>
        <w:ind w:firstLine="960"/>
      </w:pPr>
      <w:r>
        <w:rPr>
          <w:rFonts w:ascii="仿宋_GB2312" w:hAnsi="仿宋_GB2312" w:cs="仿宋_GB2312" w:eastAsia="仿宋_GB2312"/>
        </w:rPr>
        <w:t>详见附件：5-其他资料.docx</w:t>
      </w:r>
    </w:p>
    <w:p>
      <w:pPr>
        <w:pStyle w:val="null3"/>
        <w:ind w:firstLine="960"/>
      </w:pPr>
      <w:r>
        <w:rPr>
          <w:rFonts w:ascii="仿宋_GB2312" w:hAnsi="仿宋_GB2312" w:cs="仿宋_GB2312" w:eastAsia="仿宋_GB2312"/>
        </w:rPr>
        <w:t>详见附件：6-技术方案.docx</w:t>
      </w:r>
    </w:p>
    <w:p>
      <w:pPr>
        <w:pStyle w:val="null3"/>
        <w:ind w:firstLine="960"/>
      </w:pPr>
      <w:r>
        <w:rPr>
          <w:rFonts w:ascii="仿宋_GB2312" w:hAnsi="仿宋_GB2312" w:cs="仿宋_GB2312" w:eastAsia="仿宋_GB2312"/>
        </w:rPr>
        <w:t>详见附件：7.中小企业声明函(服务).docx</w:t>
      </w:r>
    </w:p>
    <w:p>
      <w:pPr>
        <w:pStyle w:val="null3"/>
        <w:ind w:firstLine="960"/>
      </w:pPr>
      <w:r>
        <w:rPr>
          <w:rFonts w:ascii="仿宋_GB2312" w:hAnsi="仿宋_GB2312" w:cs="仿宋_GB2312" w:eastAsia="仿宋_GB2312"/>
        </w:rPr>
        <w:t>详见附件：8-关于符合本国产品标准的声明函.docx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