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3086F">
      <w:pPr>
        <w:pStyle w:val="2"/>
        <w:numPr>
          <w:numId w:val="0"/>
        </w:numPr>
        <w:spacing w:line="360" w:lineRule="auto"/>
        <w:jc w:val="center"/>
        <w:rPr>
          <w:rFonts w:ascii="仿宋" w:hAnsi="仿宋" w:eastAsia="仿宋" w:cs="仿宋"/>
          <w:color w:val="auto"/>
          <w:highlight w:val="none"/>
        </w:rPr>
      </w:pPr>
      <w:bookmarkStart w:id="2" w:name="_GoBack"/>
      <w:bookmarkStart w:id="0" w:name="_Toc13819"/>
      <w:r>
        <w:rPr>
          <w:rFonts w:hint="eastAsia" w:ascii="仿宋" w:hAnsi="仿宋" w:eastAsia="仿宋" w:cs="仿宋"/>
          <w:color w:val="auto"/>
          <w:highlight w:val="none"/>
        </w:rPr>
        <w:t>采购内容及要求</w:t>
      </w:r>
      <w:bookmarkEnd w:id="0"/>
    </w:p>
    <w:bookmarkEnd w:id="2"/>
    <w:p w14:paraId="052F833C">
      <w:pPr>
        <w:spacing w:line="480" w:lineRule="auto"/>
        <w:rPr>
          <w:rFonts w:hint="default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</w:rPr>
        <w:t>一、</w:t>
      </w: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采购</w:t>
      </w: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</w:rPr>
        <w:t>内容</w:t>
      </w:r>
    </w:p>
    <w:tbl>
      <w:tblPr>
        <w:tblStyle w:val="5"/>
        <w:tblW w:w="9144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366"/>
        <w:gridCol w:w="2179"/>
        <w:gridCol w:w="615"/>
        <w:gridCol w:w="638"/>
        <w:gridCol w:w="2785"/>
        <w:gridCol w:w="946"/>
      </w:tblGrid>
      <w:tr w14:paraId="208D88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tblHeader/>
          <w:jc w:val="center"/>
        </w:trPr>
        <w:tc>
          <w:tcPr>
            <w:tcW w:w="0" w:type="auto"/>
            <w:vAlign w:val="center"/>
          </w:tcPr>
          <w:p w14:paraId="486963B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0" w:type="auto"/>
            <w:vAlign w:val="center"/>
          </w:tcPr>
          <w:p w14:paraId="2913A9B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  <w:t>药品耗材品名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6F7E7F20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  <w:t>型号</w:t>
            </w:r>
          </w:p>
        </w:tc>
        <w:tc>
          <w:tcPr>
            <w:tcW w:w="0" w:type="auto"/>
            <w:vAlign w:val="center"/>
          </w:tcPr>
          <w:p w14:paraId="192E13C0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0" w:type="auto"/>
            <w:vAlign w:val="center"/>
          </w:tcPr>
          <w:p w14:paraId="75C145E4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785" w:type="dxa"/>
            <w:vAlign w:val="center"/>
          </w:tcPr>
          <w:p w14:paraId="27AFE81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</w:rPr>
              <w:t>具体参数</w:t>
            </w:r>
          </w:p>
        </w:tc>
        <w:tc>
          <w:tcPr>
            <w:tcW w:w="946" w:type="dxa"/>
            <w:vAlign w:val="center"/>
          </w:tcPr>
          <w:p w14:paraId="4AE40920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  <w:highlight w:val="none"/>
                <w:lang w:eastAsia="zh-CN"/>
              </w:rPr>
              <w:t>是否核心产品</w:t>
            </w:r>
          </w:p>
        </w:tc>
      </w:tr>
      <w:tr w14:paraId="3DAE49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7CCA639E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0" w:type="auto"/>
            <w:vAlign w:val="center"/>
          </w:tcPr>
          <w:p w14:paraId="3235628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三氯消毒片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6DC82C31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1KG/袋×50袋/桶</w:t>
            </w:r>
          </w:p>
        </w:tc>
        <w:tc>
          <w:tcPr>
            <w:tcW w:w="0" w:type="auto"/>
            <w:vAlign w:val="center"/>
          </w:tcPr>
          <w:p w14:paraId="111BD9DB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桶</w:t>
            </w:r>
          </w:p>
        </w:tc>
        <w:tc>
          <w:tcPr>
            <w:tcW w:w="0" w:type="auto"/>
            <w:vAlign w:val="center"/>
          </w:tcPr>
          <w:p w14:paraId="7B201996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2785" w:type="dxa"/>
            <w:vAlign w:val="center"/>
          </w:tcPr>
          <w:p w14:paraId="56CADF88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tabs>
                <w:tab w:val="left" w:pos="720"/>
              </w:tabs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bookmarkStart w:id="1" w:name="OLE_LINK4"/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有效氯含量不低于50%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;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2.砷含量＜0.1mg/kg ；3.急性经口毒性试验（5倍浓度液）合格。</w:t>
            </w:r>
            <w:bookmarkEnd w:id="1"/>
          </w:p>
        </w:tc>
        <w:tc>
          <w:tcPr>
            <w:tcW w:w="946" w:type="dxa"/>
            <w:vAlign w:val="center"/>
          </w:tcPr>
          <w:p w14:paraId="0194F144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tabs>
                <w:tab w:val="left" w:pos="720"/>
              </w:tabs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</w:tr>
      <w:tr w14:paraId="046447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0" w:type="auto"/>
            <w:vAlign w:val="center"/>
          </w:tcPr>
          <w:p w14:paraId="2522F9B5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0" w:type="auto"/>
            <w:vAlign w:val="center"/>
          </w:tcPr>
          <w:p w14:paraId="509DB099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三氯消毒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粉剂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0667A1C5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1KG/袋×50袋/桶</w:t>
            </w:r>
          </w:p>
        </w:tc>
        <w:tc>
          <w:tcPr>
            <w:tcW w:w="0" w:type="auto"/>
            <w:vAlign w:val="center"/>
          </w:tcPr>
          <w:p w14:paraId="28B183D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桶</w:t>
            </w:r>
          </w:p>
        </w:tc>
        <w:tc>
          <w:tcPr>
            <w:tcW w:w="0" w:type="auto"/>
            <w:vAlign w:val="center"/>
          </w:tcPr>
          <w:p w14:paraId="7AF4330B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2785" w:type="dxa"/>
            <w:vAlign w:val="center"/>
          </w:tcPr>
          <w:p w14:paraId="23407DF9">
            <w:pPr>
              <w:keepNext w:val="0"/>
              <w:keepLines w:val="0"/>
              <w:suppressLineNumbers w:val="0"/>
              <w:tabs>
                <w:tab w:val="left" w:pos="180"/>
              </w:tabs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1.有效氯含量不低于90%；2.砷含量＜0.1mg/kg ；3.急性经口毒性试验（5倍浓度液）合格。</w:t>
            </w:r>
          </w:p>
        </w:tc>
        <w:tc>
          <w:tcPr>
            <w:tcW w:w="946" w:type="dxa"/>
            <w:vAlign w:val="center"/>
          </w:tcPr>
          <w:p w14:paraId="3862ED26">
            <w:pPr>
              <w:keepNext w:val="0"/>
              <w:keepLines w:val="0"/>
              <w:suppressLineNumbers w:val="0"/>
              <w:tabs>
                <w:tab w:val="left" w:pos="180"/>
              </w:tabs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585D29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4CB093D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0" w:type="auto"/>
            <w:vAlign w:val="center"/>
          </w:tcPr>
          <w:p w14:paraId="12DF8D87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澄清剂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08647B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950mL/瓶*6瓶/箱*2箱</w:t>
            </w:r>
          </w:p>
        </w:tc>
        <w:tc>
          <w:tcPr>
            <w:tcW w:w="0" w:type="auto"/>
            <w:vAlign w:val="center"/>
          </w:tcPr>
          <w:p w14:paraId="0561673C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瓶</w:t>
            </w:r>
          </w:p>
        </w:tc>
        <w:tc>
          <w:tcPr>
            <w:tcW w:w="0" w:type="auto"/>
            <w:vAlign w:val="center"/>
          </w:tcPr>
          <w:p w14:paraId="62AF9A77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84</w:t>
            </w:r>
          </w:p>
        </w:tc>
        <w:tc>
          <w:tcPr>
            <w:tcW w:w="2785" w:type="dxa"/>
            <w:vAlign w:val="center"/>
          </w:tcPr>
          <w:p w14:paraId="1C24C62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1.产品性状：蓝色液体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;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2.砷含量≤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量≤0.005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2A8C3A9E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5BEF4A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1BEA7A54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0" w:type="auto"/>
            <w:vAlign w:val="center"/>
          </w:tcPr>
          <w:p w14:paraId="1621235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活化剂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421944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950mL/瓶*6瓶/箱*2箱</w:t>
            </w:r>
          </w:p>
        </w:tc>
        <w:tc>
          <w:tcPr>
            <w:tcW w:w="0" w:type="auto"/>
            <w:vAlign w:val="center"/>
          </w:tcPr>
          <w:p w14:paraId="579A012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瓶</w:t>
            </w:r>
          </w:p>
        </w:tc>
        <w:tc>
          <w:tcPr>
            <w:tcW w:w="0" w:type="auto"/>
            <w:vAlign w:val="center"/>
          </w:tcPr>
          <w:p w14:paraId="0DEF3F1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46</w:t>
            </w:r>
          </w:p>
        </w:tc>
        <w:tc>
          <w:tcPr>
            <w:tcW w:w="2785" w:type="dxa"/>
            <w:vAlign w:val="center"/>
          </w:tcPr>
          <w:p w14:paraId="5E967521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产品性状：蓝色液体；2.砷含量≤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4AF98570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21DB9E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43D344EB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0" w:type="auto"/>
            <w:vAlign w:val="center"/>
          </w:tcPr>
          <w:p w14:paraId="17F42366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除藻剂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419E7C1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950mL/瓶*6瓶/箱*2箱</w:t>
            </w:r>
          </w:p>
        </w:tc>
        <w:tc>
          <w:tcPr>
            <w:tcW w:w="0" w:type="auto"/>
            <w:vAlign w:val="center"/>
          </w:tcPr>
          <w:p w14:paraId="0A16C117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瓶</w:t>
            </w:r>
          </w:p>
        </w:tc>
        <w:tc>
          <w:tcPr>
            <w:tcW w:w="0" w:type="auto"/>
            <w:vAlign w:val="center"/>
          </w:tcPr>
          <w:p w14:paraId="7FF9A93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2785" w:type="dxa"/>
            <w:vAlign w:val="center"/>
          </w:tcPr>
          <w:p w14:paraId="00E0A786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1.产品性状：蓝绿色液体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;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2.砷含量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54C71156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38D5E5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0BF332C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0" w:type="auto"/>
            <w:vAlign w:val="center"/>
          </w:tcPr>
          <w:p w14:paraId="43B21550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尿素降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2D4DB0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950mL/瓶*6瓶/箱*2箱</w:t>
            </w:r>
          </w:p>
        </w:tc>
        <w:tc>
          <w:tcPr>
            <w:tcW w:w="0" w:type="auto"/>
            <w:vAlign w:val="center"/>
          </w:tcPr>
          <w:p w14:paraId="4E61B0A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瓶</w:t>
            </w:r>
          </w:p>
        </w:tc>
        <w:tc>
          <w:tcPr>
            <w:tcW w:w="0" w:type="auto"/>
            <w:vAlign w:val="center"/>
          </w:tcPr>
          <w:p w14:paraId="51E9EEFC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18</w:t>
            </w:r>
          </w:p>
        </w:tc>
        <w:tc>
          <w:tcPr>
            <w:tcW w:w="2785" w:type="dxa"/>
            <w:vAlign w:val="center"/>
          </w:tcPr>
          <w:p w14:paraId="1F029F0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1.产品性状：淡蓝色液体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;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2.砷含量≤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6CF96ED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048AFB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4103F2CB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0" w:type="auto"/>
            <w:vAlign w:val="center"/>
          </w:tcPr>
          <w:p w14:paraId="03DF65F4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水质保护剂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1ACFF3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950mL/瓶*6瓶/箱*2箱</w:t>
            </w:r>
          </w:p>
        </w:tc>
        <w:tc>
          <w:tcPr>
            <w:tcW w:w="0" w:type="auto"/>
            <w:vAlign w:val="center"/>
          </w:tcPr>
          <w:p w14:paraId="4B88829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瓶</w:t>
            </w:r>
          </w:p>
        </w:tc>
        <w:tc>
          <w:tcPr>
            <w:tcW w:w="0" w:type="auto"/>
            <w:vAlign w:val="center"/>
          </w:tcPr>
          <w:p w14:paraId="1B89DE59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42</w:t>
            </w:r>
          </w:p>
        </w:tc>
        <w:tc>
          <w:tcPr>
            <w:tcW w:w="2785" w:type="dxa"/>
            <w:vAlign w:val="center"/>
          </w:tcPr>
          <w:p w14:paraId="318A389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1.产品性状：淡黄色液体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;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2.砷含量≤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3DB90F5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3DE154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73FADC87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0" w:type="auto"/>
            <w:vAlign w:val="center"/>
          </w:tcPr>
          <w:p w14:paraId="3E6B3189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臭氧粉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105C620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kg/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袋*10袋/箱*2箱</w:t>
            </w:r>
          </w:p>
        </w:tc>
        <w:tc>
          <w:tcPr>
            <w:tcW w:w="0" w:type="auto"/>
            <w:vAlign w:val="center"/>
          </w:tcPr>
          <w:p w14:paraId="3FBE25E1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箱</w:t>
            </w:r>
          </w:p>
        </w:tc>
        <w:tc>
          <w:tcPr>
            <w:tcW w:w="0" w:type="auto"/>
            <w:vAlign w:val="center"/>
          </w:tcPr>
          <w:p w14:paraId="770C3185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300</w:t>
            </w:r>
          </w:p>
        </w:tc>
        <w:tc>
          <w:tcPr>
            <w:tcW w:w="2785" w:type="dxa"/>
            <w:vAlign w:val="center"/>
          </w:tcPr>
          <w:p w14:paraId="62A0F736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1.产品性状：白色固体粉末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2.砷含量≤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2CDB7BAA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44AE6A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1C2EF248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0" w:type="auto"/>
            <w:vAlign w:val="center"/>
          </w:tcPr>
          <w:p w14:paraId="143AC7F0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PH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降低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剂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55BDDB0F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KG/桶</w:t>
            </w:r>
          </w:p>
        </w:tc>
        <w:tc>
          <w:tcPr>
            <w:tcW w:w="0" w:type="auto"/>
            <w:vAlign w:val="center"/>
          </w:tcPr>
          <w:p w14:paraId="668248A1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桶</w:t>
            </w:r>
          </w:p>
        </w:tc>
        <w:tc>
          <w:tcPr>
            <w:tcW w:w="0" w:type="auto"/>
            <w:vAlign w:val="center"/>
          </w:tcPr>
          <w:p w14:paraId="283E91D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155</w:t>
            </w:r>
          </w:p>
        </w:tc>
        <w:tc>
          <w:tcPr>
            <w:tcW w:w="2785" w:type="dxa"/>
            <w:vAlign w:val="center"/>
          </w:tcPr>
          <w:p w14:paraId="27C39D6A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1.产品性状：淡黄结晶颗粒；2.砷含量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2A8AF99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794856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0" w:type="auto"/>
            <w:vAlign w:val="center"/>
          </w:tcPr>
          <w:p w14:paraId="2D2A8DA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0" w:type="auto"/>
            <w:vAlign w:val="center"/>
          </w:tcPr>
          <w:p w14:paraId="79196571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氯中和剂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1FA1FC67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1KG/瓶*6瓶/箱*2箱</w:t>
            </w:r>
          </w:p>
        </w:tc>
        <w:tc>
          <w:tcPr>
            <w:tcW w:w="0" w:type="auto"/>
            <w:vAlign w:val="center"/>
          </w:tcPr>
          <w:p w14:paraId="08B882DB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瓶</w:t>
            </w:r>
          </w:p>
        </w:tc>
        <w:tc>
          <w:tcPr>
            <w:tcW w:w="0" w:type="auto"/>
            <w:vAlign w:val="center"/>
          </w:tcPr>
          <w:p w14:paraId="60D1148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2785" w:type="dxa"/>
            <w:vAlign w:val="center"/>
          </w:tcPr>
          <w:p w14:paraId="6CD9D983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1.产品性状：无色结晶颗粒；2.砷含量≤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6D8AA0EA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076829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0" w:type="auto"/>
            <w:vAlign w:val="center"/>
          </w:tcPr>
          <w:p w14:paraId="6D5F4AC2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0" w:type="auto"/>
            <w:vAlign w:val="center"/>
          </w:tcPr>
          <w:p w14:paraId="71A0F2BC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测试片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6D1D6ED9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 xml:space="preserve">PH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DPD/100片/盒</w:t>
            </w:r>
          </w:p>
        </w:tc>
        <w:tc>
          <w:tcPr>
            <w:tcW w:w="0" w:type="auto"/>
            <w:vAlign w:val="center"/>
          </w:tcPr>
          <w:p w14:paraId="71BBD077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盒</w:t>
            </w:r>
          </w:p>
        </w:tc>
        <w:tc>
          <w:tcPr>
            <w:tcW w:w="0" w:type="auto"/>
            <w:vAlign w:val="center"/>
          </w:tcPr>
          <w:p w14:paraId="4F45FF41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2785" w:type="dxa"/>
            <w:vAlign w:val="center"/>
          </w:tcPr>
          <w:p w14:paraId="2443040D">
            <w:pPr>
              <w:keepNext w:val="0"/>
              <w:keepLines w:val="0"/>
              <w:suppressLineNumbers w:val="0"/>
              <w:tabs>
                <w:tab w:val="left" w:pos="750"/>
              </w:tabs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1.pH值量程范围：6.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-8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.5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之间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余氯值测量范围：0.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-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.0之间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。</w:t>
            </w:r>
          </w:p>
        </w:tc>
        <w:tc>
          <w:tcPr>
            <w:tcW w:w="946" w:type="dxa"/>
            <w:vAlign w:val="center"/>
          </w:tcPr>
          <w:p w14:paraId="3AE53C90">
            <w:pPr>
              <w:keepNext w:val="0"/>
              <w:keepLines w:val="0"/>
              <w:suppressLineNumbers w:val="0"/>
              <w:tabs>
                <w:tab w:val="left" w:pos="750"/>
              </w:tabs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3E7AD9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0" w:type="auto"/>
            <w:vAlign w:val="center"/>
          </w:tcPr>
          <w:p w14:paraId="6AA05B41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0" w:type="auto"/>
            <w:vAlign w:val="center"/>
          </w:tcPr>
          <w:p w14:paraId="74E9A30E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室外池料包</w:t>
            </w:r>
          </w:p>
        </w:tc>
        <w:tc>
          <w:tcPr>
            <w:tcW w:w="0" w:type="auto"/>
            <w:tcBorders>
              <w:left w:val="single" w:color="auto" w:sz="4" w:space="0"/>
            </w:tcBorders>
            <w:vAlign w:val="center"/>
          </w:tcPr>
          <w:p w14:paraId="0C62267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1KG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/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袋</w:t>
            </w:r>
          </w:p>
        </w:tc>
        <w:tc>
          <w:tcPr>
            <w:tcW w:w="0" w:type="auto"/>
            <w:vAlign w:val="center"/>
          </w:tcPr>
          <w:p w14:paraId="11A4FC5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袋</w:t>
            </w:r>
          </w:p>
        </w:tc>
        <w:tc>
          <w:tcPr>
            <w:tcW w:w="0" w:type="auto"/>
            <w:vAlign w:val="center"/>
          </w:tcPr>
          <w:p w14:paraId="05BCD48F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1600</w:t>
            </w:r>
          </w:p>
        </w:tc>
        <w:tc>
          <w:tcPr>
            <w:tcW w:w="2785" w:type="dxa"/>
            <w:vAlign w:val="center"/>
          </w:tcPr>
          <w:p w14:paraId="2D94EE25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1.产品性状：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淡草香粉粒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；2.砷含量≤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镉含量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铅含量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汞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铬（六价）含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量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≤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0.005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  <w:tc>
          <w:tcPr>
            <w:tcW w:w="946" w:type="dxa"/>
            <w:vAlign w:val="center"/>
          </w:tcPr>
          <w:p w14:paraId="5ED415E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否</w:t>
            </w:r>
          </w:p>
        </w:tc>
      </w:tr>
      <w:tr w14:paraId="54BE6C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6" w:hRule="atLeast"/>
          <w:jc w:val="center"/>
        </w:trPr>
        <w:tc>
          <w:tcPr>
            <w:tcW w:w="0" w:type="auto"/>
            <w:vAlign w:val="center"/>
          </w:tcPr>
          <w:p w14:paraId="7EC57AD0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备</w:t>
            </w:r>
          </w:p>
          <w:p w14:paraId="221AED2D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注</w:t>
            </w:r>
          </w:p>
        </w:tc>
        <w:tc>
          <w:tcPr>
            <w:tcW w:w="8529" w:type="dxa"/>
            <w:gridSpan w:val="6"/>
            <w:vAlign w:val="center"/>
          </w:tcPr>
          <w:p w14:paraId="6B6A6C9B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产品检验报告：由具备国家相关资质的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专业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检验机构出具，执行GB/T5750.6-2023《生活饮用水标准检验方法金属指标》的标准。</w:t>
            </w:r>
          </w:p>
          <w:p w14:paraId="512EA520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三氯异氰尿酸消毒药剂卫生安全要求：产品技术指标应符合评审要求，并能在《企业标准信息公共服务平台》查询到有效信息。</w:t>
            </w:r>
          </w:p>
          <w:p w14:paraId="29714B31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游泳池水处理药剂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卫生安全要求：产品技术指标应符合评审要求，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请提供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在《企业标准信息公共服务平台》查询到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的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有效信息。</w:t>
            </w:r>
          </w:p>
          <w:p w14:paraId="4A80AA8A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供应商需出具承诺书：承诺产品可使池水符合GB37488-2019《公共场所卫生指标及限值要求》的相关要求。</w:t>
            </w:r>
          </w:p>
          <w:p w14:paraId="06ABED2B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以上药剂允许不同品牌类似名称不一致，但技术参数必须满足要求，并在标书文件中集中体现。</w:t>
            </w:r>
          </w:p>
        </w:tc>
      </w:tr>
    </w:tbl>
    <w:p w14:paraId="1E1CA457">
      <w:pPr>
        <w:numPr>
          <w:ilvl w:val="0"/>
          <w:numId w:val="0"/>
        </w:numPr>
        <w:spacing w:line="480" w:lineRule="auto"/>
        <w:rPr>
          <w:rFonts w:hint="eastAsia" w:ascii="仿宋" w:hAnsi="仿宋" w:eastAsia="仿宋" w:cs="仿宋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2AC8DF1">
      <w:pPr>
        <w:numPr>
          <w:ilvl w:val="0"/>
          <w:numId w:val="0"/>
        </w:numPr>
        <w:spacing w:line="480" w:lineRule="auto"/>
        <w:rPr>
          <w:rFonts w:hint="default" w:ascii="仿宋" w:hAnsi="仿宋" w:eastAsia="仿宋" w:cs="仿宋"/>
          <w:b/>
          <w:bCs/>
          <w:color w:val="auto"/>
          <w:sz w:val="21"/>
          <w:szCs w:val="21"/>
          <w:highlight w:val="none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售后要求</w:t>
      </w:r>
    </w:p>
    <w:p w14:paraId="676A35A6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center"/>
        <w:outlineLvl w:val="1"/>
        <w:rPr>
          <w:rStyle w:val="7"/>
          <w:rFonts w:hint="eastAsia" w:ascii="仿宋" w:hAnsi="仿宋" w:eastAsia="仿宋" w:cs="仿宋"/>
          <w:b/>
          <w:color w:val="auto"/>
          <w:kern w:val="0"/>
          <w:sz w:val="21"/>
          <w:szCs w:val="21"/>
          <w:highlight w:val="none"/>
          <w:lang w:val="en-US" w:eastAsia="zh-CN" w:bidi="ar"/>
        </w:rPr>
      </w:pPr>
      <w:r>
        <w:rPr>
          <w:rStyle w:val="7"/>
          <w:rFonts w:hint="eastAsia" w:ascii="仿宋" w:hAnsi="仿宋" w:eastAsia="仿宋" w:cs="仿宋"/>
          <w:b/>
          <w:color w:val="auto"/>
          <w:kern w:val="0"/>
          <w:sz w:val="21"/>
          <w:szCs w:val="21"/>
          <w:highlight w:val="none"/>
          <w:lang w:val="en-US" w:eastAsia="zh-CN" w:bidi="ar"/>
        </w:rPr>
        <w:t>技术售后强制履约</w:t>
      </w:r>
    </w:p>
    <w:p w14:paraId="12FC5ECE"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line="360" w:lineRule="auto"/>
        <w:ind w:left="-360" w:firstLine="422" w:firstLineChars="200"/>
        <w:jc w:val="left"/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bidi="ar"/>
        </w:rPr>
      </w:pP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 w:bidi="ar"/>
        </w:rPr>
        <w:t>1.游泳池遇到重要接待任务、赛事等特别活动，在活动前一天晚上，销售方需派1名持证水质管理员现场处理水质，确保水质安全，直至活动结束。水质管理员需持有中国游泳协会颁发的《水质管理员证书》，有1年以上工作经验，且为本单位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bidi="ar"/>
        </w:rPr>
        <w:t>正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 w:bidi="ar"/>
        </w:rPr>
        <w:t>式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bidi="ar"/>
        </w:rPr>
        <w:t>员工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eastAsia="zh-CN" w:bidi="ar"/>
        </w:rPr>
        <w:t>（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 w:bidi="ar"/>
        </w:rPr>
        <w:t>请提供近3个月社保证明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eastAsia="zh-CN" w:bidi="ar"/>
        </w:rPr>
        <w:t>）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bidi="ar"/>
        </w:rPr>
        <w:t>，严禁外包、转包、兼职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 w:bidi="ar"/>
        </w:rPr>
        <w:t>的</w:t>
      </w:r>
      <w:r>
        <w:rPr>
          <w:rStyle w:val="7"/>
          <w:rFonts w:hint="eastAsia" w:ascii="仿宋" w:hAnsi="仿宋" w:eastAsia="仿宋" w:cs="仿宋"/>
          <w:color w:val="auto"/>
          <w:kern w:val="0"/>
          <w:szCs w:val="21"/>
          <w:highlight w:val="none"/>
          <w:lang w:bidi="ar"/>
        </w:rPr>
        <w:t>敷衍服务。</w:t>
      </w:r>
    </w:p>
    <w:p w14:paraId="1DD6A68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-360" w:leftChars="0" w:right="0" w:rightChars="0" w:firstLine="420" w:firstLineChars="200"/>
        <w:jc w:val="left"/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  <w:t>2.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卖方提供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7×24 小时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  <w:t>电话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免费技术支持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，节假日突发水质事故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也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必须即时响应指导；因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响应不及时、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指导错误造成损失，卖方全额赔付。</w:t>
      </w:r>
    </w:p>
    <w:p w14:paraId="389C3CE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-360" w:leftChars="0" w:right="0" w:rightChars="0" w:firstLine="420" w:firstLineChars="200"/>
        <w:jc w:val="left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1"/>
          <w:szCs w:val="21"/>
          <w:highlight w:val="none"/>
          <w:lang w:val="en-US" w:eastAsia="zh-CN" w:bidi="ar-SA"/>
        </w:rPr>
        <w:t>3.</w:t>
      </w:r>
      <w:r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  <w:t>卖方接到买方救水通知5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kern w:val="0"/>
          <w:sz w:val="21"/>
          <w:szCs w:val="21"/>
          <w:highlight w:val="none"/>
          <w:lang w:val="en-US" w:eastAsia="zh-CN" w:bidi="ar"/>
        </w:rPr>
        <w:t>小时内，必须派持证专业技术人员到达泳池现场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1"/>
          <w:szCs w:val="21"/>
          <w:highlight w:val="none"/>
          <w:lang w:val="en-US" w:eastAsia="zh-CN" w:bidi="ar"/>
        </w:rPr>
        <w:t>，</w:t>
      </w:r>
      <w:r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  <w:t>免费调试水质、补投合规药剂、做好泳池净水整改； 24 小时内水质未恢复国标泳池标准，买方有权整批退货、要求全额退货款，并追偿停业营收损失、泳客投诉赔偿、医疗赔付、整改公关全部费用。</w:t>
      </w:r>
    </w:p>
    <w:p w14:paraId="0F76271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-360" w:leftChars="0" w:right="0" w:rightChars="0" w:firstLine="42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4.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每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周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免费上门 1 次现场水质检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测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、药剂使用复盘、运维指导；逾期到场、逾期整改：每逾期 1 日，按订单总额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5% 计收违约金</w:t>
      </w:r>
      <w:r>
        <w:rPr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。</w:t>
      </w:r>
    </w:p>
    <w:p w14:paraId="5E6F679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-360" w:leftChars="0" w:right="0" w:rightChars="0" w:firstLine="420" w:firstLineChars="200"/>
        <w:jc w:val="left"/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同一批次药剂发生 2 次及以上售后问题，买方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有权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终止合作，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不承担违约责任，且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卖方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需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赔偿买方更换供应商产生的溢价、加急、调试衔接全部成本。</w:t>
      </w:r>
    </w:p>
    <w:p w14:paraId="4EC987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center"/>
        <w:rPr>
          <w:rStyle w:val="7"/>
          <w:rFonts w:hint="eastAsia" w:ascii="仿宋" w:hAnsi="仿宋" w:eastAsia="仿宋" w:cs="仿宋"/>
          <w:b w:val="0"/>
          <w:bCs w:val="0"/>
          <w:color w:val="auto"/>
          <w:kern w:val="0"/>
          <w:sz w:val="21"/>
          <w:szCs w:val="21"/>
          <w:highlight w:val="none"/>
          <w:lang w:val="en-US" w:eastAsia="zh-CN" w:bidi="ar"/>
        </w:rPr>
      </w:pPr>
    </w:p>
    <w:p w14:paraId="270148E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center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 w:val="0"/>
          <w:color w:val="auto"/>
          <w:kern w:val="0"/>
          <w:sz w:val="21"/>
          <w:szCs w:val="21"/>
          <w:highlight w:val="none"/>
          <w:lang w:val="en-US" w:eastAsia="zh-CN" w:bidi="ar"/>
        </w:rPr>
        <w:t>质量强制性要求：</w:t>
      </w:r>
    </w:p>
    <w:p w14:paraId="2887EE3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-360" w:leftChars="0" w:right="0" w:rightChars="0" w:firstLine="420" w:firstLineChars="200"/>
        <w:jc w:val="left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1.卖方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以次充好掺假降标、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主要成分抽检不合格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、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重金属超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标：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一经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 xml:space="preserve">查实即全额退款 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并处2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倍货款赔偿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泳客维权赔付、行政罚款、停业整顿损失、舆情处置费用，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全部由卖方全额承担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所有质量争议，买方仅需提供现场照片、检测记录、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泳客投诉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任一简易凭证即可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举证责任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由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卖方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承担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。</w:t>
      </w:r>
    </w:p>
    <w:p w14:paraId="08DA8ED1">
      <w:pPr>
        <w:spacing w:line="360" w:lineRule="auto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</w:p>
    <w:p w14:paraId="1BD9F756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center"/>
        <w:outlineLvl w:val="1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质量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问题的举证责任</w:t>
      </w:r>
    </w:p>
    <w:p w14:paraId="47F20E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left"/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  <w:t>出现以下任一情形，判定卖方药剂不合格，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由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  <w:t>销售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方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  <w:t>承担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举证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  <w:t>责任，且承担采购方所有损失。</w:t>
      </w:r>
    </w:p>
    <w:p w14:paraId="72E0F8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420" w:firstLineChars="200"/>
        <w:jc w:val="left"/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  <w:t>（1）按使用说明标准剂量投加后，余氯不达标、水体浑浊；pH 值失衡及达不到使用说明应该达到的效果；药剂溶解异常、药效衰减过快沉淀增多、水体变绿、藻类爆发。</w:t>
      </w:r>
    </w:p>
    <w:p w14:paraId="76A44B9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420" w:firstLineChars="200"/>
        <w:jc w:val="left"/>
        <w:rPr>
          <w:rFonts w:hint="eastAsia" w:eastAsia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  <w:t>（2）采购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药剂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使用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后出现水质异常、设备腐蚀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eastAsia="zh-CN"/>
        </w:rPr>
        <w:t>；</w:t>
      </w:r>
      <w:r>
        <w:rPr>
          <w:rFonts w:hint="eastAsia" w:ascii="仿宋" w:hAnsi="仿宋" w:eastAsia="仿宋" w:cs="仿宋"/>
          <w:color w:val="auto"/>
          <w:kern w:val="0"/>
          <w:sz w:val="21"/>
          <w:szCs w:val="21"/>
          <w:highlight w:val="none"/>
          <w:lang w:val="en-US" w:eastAsia="zh-CN" w:bidi="ar"/>
        </w:rPr>
        <w:t>泳客出现眼鼻刺激、皮肤瘙痒红疹、过敏不适、呼吸道不适；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监管抽检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涉水产品、泳池水质</w:t>
      </w:r>
      <w:r>
        <w:rPr>
          <w:rFonts w:hint="eastAsia" w:ascii="仿宋" w:hAnsi="仿宋" w:eastAsia="仿宋" w:cs="仿宋"/>
          <w:color w:val="auto"/>
          <w:sz w:val="21"/>
          <w:szCs w:val="21"/>
          <w:highlight w:val="none"/>
        </w:rPr>
        <w:t>不合格情形，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推定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  <w:t>为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药剂质量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eastAsia="zh-CN"/>
        </w:rPr>
        <w:t>、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配方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eastAsia="zh-CN"/>
        </w:rPr>
        <w:t>、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 xml:space="preserve">纯度 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eastAsia="zh-CN"/>
        </w:rPr>
        <w:t>、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</w:rPr>
        <w:t>稳定性缺陷</w:t>
      </w: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eastAsia="zh-CN"/>
        </w:rPr>
        <w:t>。</w:t>
      </w:r>
    </w:p>
    <w:p w14:paraId="555AB40B">
      <w:pPr>
        <w:rPr>
          <w:rFonts w:hint="eastAsia"/>
          <w:color w:val="auto"/>
          <w:highlight w:val="none"/>
        </w:rPr>
      </w:pPr>
    </w:p>
    <w:p w14:paraId="27005743">
      <w:pPr>
        <w:numPr>
          <w:ilvl w:val="0"/>
          <w:numId w:val="0"/>
        </w:numPr>
        <w:spacing w:line="480" w:lineRule="auto"/>
        <w:rPr>
          <w:rFonts w:hint="eastAsia" w:ascii="仿宋" w:hAnsi="仿宋" w:eastAsia="仿宋" w:cs="仿宋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三、交货期</w:t>
      </w:r>
    </w:p>
    <w:p w14:paraId="484DD7A6">
      <w:pPr>
        <w:widowControl w:val="0"/>
        <w:numPr>
          <w:ilvl w:val="0"/>
          <w:numId w:val="0"/>
        </w:numPr>
        <w:spacing w:line="480" w:lineRule="auto"/>
        <w:ind w:firstLine="420" w:firstLineChars="200"/>
        <w:jc w:val="both"/>
        <w:rPr>
          <w:rFonts w:hint="eastAsia" w:ascii="仿宋" w:hAnsi="仿宋" w:eastAsia="仿宋" w:cs="仿宋"/>
          <w:b w:val="0"/>
          <w:bCs w:val="0"/>
          <w:i w:val="0"/>
          <w:iCs w:val="0"/>
          <w:strike w:val="0"/>
          <w:d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strike w:val="0"/>
          <w:dstrike w:val="0"/>
          <w:color w:val="auto"/>
          <w:sz w:val="21"/>
          <w:szCs w:val="21"/>
          <w:highlight w:val="none"/>
          <w:lang w:val="en-US" w:eastAsia="zh-CN"/>
        </w:rPr>
        <w:t>中标供应商应在采购人发出供货通知后3个工作日内，按照采购人要求送至采购人指定地点。</w:t>
      </w:r>
    </w:p>
    <w:p w14:paraId="16A37D4B">
      <w:pPr>
        <w:bidi w:val="0"/>
        <w:rPr>
          <w:rFonts w:hint="default" w:ascii="Times New Roman" w:hAnsi="Times New Roman" w:eastAsia="宋体" w:cs="Times New Roman"/>
          <w:kern w:val="2"/>
          <w:sz w:val="21"/>
          <w:lang w:val="en-US" w:eastAsia="zh-CN" w:bidi="ar-SA"/>
        </w:rPr>
      </w:pPr>
    </w:p>
    <w:p w14:paraId="0D298F53">
      <w:pPr>
        <w:bidi w:val="0"/>
        <w:rPr>
          <w:rFonts w:hint="default"/>
          <w:lang w:val="en-US" w:eastAsia="zh-CN"/>
        </w:rPr>
      </w:pPr>
    </w:p>
    <w:p w14:paraId="53F89600">
      <w:pPr>
        <w:bidi w:val="0"/>
        <w:rPr>
          <w:rFonts w:hint="default"/>
          <w:lang w:val="en-US" w:eastAsia="zh-CN"/>
        </w:rPr>
      </w:pPr>
    </w:p>
    <w:p w14:paraId="752C5C3F">
      <w:pPr>
        <w:bidi w:val="0"/>
        <w:rPr>
          <w:rFonts w:hint="default"/>
          <w:lang w:val="en-US" w:eastAsia="zh-CN"/>
        </w:rPr>
      </w:pPr>
    </w:p>
    <w:p w14:paraId="490D0FC9">
      <w:pPr>
        <w:bidi w:val="0"/>
        <w:rPr>
          <w:rFonts w:hint="default"/>
          <w:lang w:val="en-US" w:eastAsia="zh-CN"/>
        </w:rPr>
      </w:pPr>
    </w:p>
    <w:p w14:paraId="5011F7E6">
      <w:pPr>
        <w:tabs>
          <w:tab w:val="left" w:pos="1366"/>
        </w:tabs>
        <w:bidi w:val="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D62A00"/>
    <w:rsid w:val="30D6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2026-06-17T02:47:00Z</dcterms:created>
  <dc:creator>餘曉哆</dc:creator>
  <cp:lastModifiedBy>餘曉哆</cp:lastModifiedBy>
  <dcterms:modified xsi:type="dcterms:W3CDTF">2026-06-17T02:48:37Z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E236BDD3457D4A8ABC8E45E929265ACA_11</vt:lpwstr>
  </property>
  <property fmtid="{D5CDD505-2E9C-101B-9397-08002B2CF9AE}" pid="4" name="KSOTemplateDocerSaveRecord">
    <vt:lpwstr>eyJoZGlkIjoiMGNmOGUwMjFmNTZjMTRkNTI0ZTgwYjA3OGEyM2M4NWUiLCJ1c2VySWQiOiIyNDkxODk2NTMifQ==</vt:lpwstr>
  </property>
</Properties>
</file>