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版本号：JZDCG-2026-02620260610001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购买职工餐厅第三方运营公司服务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JZDCG-2026-026</w:t>
      </w:r>
      <w:r>
        <w:br/>
      </w:r>
      <w:r>
        <w:br/>
      </w:r>
      <w:r>
        <w:br/>
      </w:r>
    </w:p>
    <w:p>
      <w:pPr>
        <w:pStyle w:val="null3"/>
        <w:jc w:val="center"/>
        <w:outlineLvl w:val="2"/>
      </w:pPr>
      <w:r>
        <w:rPr>
          <w:rFonts w:ascii="仿宋_GB2312" w:hAnsi="仿宋_GB2312" w:cs="仿宋_GB2312" w:eastAsia="仿宋_GB2312"/>
          <w:sz w:val="28"/>
          <w:b/>
        </w:rPr>
        <w:t>蒲城县医院</w:t>
      </w:r>
    </w:p>
    <w:p>
      <w:pPr>
        <w:pStyle w:val="null3"/>
        <w:jc w:val="center"/>
        <w:outlineLvl w:val="2"/>
      </w:pPr>
      <w:r>
        <w:rPr>
          <w:rFonts w:ascii="仿宋_GB2312" w:hAnsi="仿宋_GB2312" w:cs="仿宋_GB2312" w:eastAsia="仿宋_GB2312"/>
          <w:sz w:val="28"/>
          <w:b/>
        </w:rPr>
        <w:t>陕西金准达项目管理有限责任公司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陕西金准达项目管理有限责任公司</w:t>
      </w:r>
      <w:r>
        <w:rPr>
          <w:rFonts w:ascii="仿宋_GB2312" w:hAnsi="仿宋_GB2312" w:cs="仿宋_GB2312" w:eastAsia="仿宋_GB2312"/>
        </w:rPr>
        <w:t>（以下简称“代理机构”）受</w:t>
      </w:r>
      <w:r>
        <w:rPr>
          <w:rFonts w:ascii="仿宋_GB2312" w:hAnsi="仿宋_GB2312" w:cs="仿宋_GB2312" w:eastAsia="仿宋_GB2312"/>
        </w:rPr>
        <w:t>蒲城县医院</w:t>
      </w:r>
      <w:r>
        <w:rPr>
          <w:rFonts w:ascii="仿宋_GB2312" w:hAnsi="仿宋_GB2312" w:cs="仿宋_GB2312" w:eastAsia="仿宋_GB2312"/>
        </w:rPr>
        <w:t>委托，拟对</w:t>
      </w:r>
      <w:r>
        <w:rPr>
          <w:rFonts w:ascii="仿宋_GB2312" w:hAnsi="仿宋_GB2312" w:cs="仿宋_GB2312" w:eastAsia="仿宋_GB2312"/>
        </w:rPr>
        <w:t>购买职工餐厅第三方运营公司服务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JZDCG-2026-026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购买职工餐厅第三方运营公司服务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项目主要为蒲城县医院1300余名职工提供科学、丰富、营养、安全的一日三餐及相关其他服务。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采购包1（购买职工餐厅第三方运营公司服务）：属于专门面向中小企业采购。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1、主体资格证明：法人或者其他组织的营业执照等证明文件或者自然人身份证明；</w:t>
      </w:r>
    </w:p>
    <w:p>
      <w:pPr>
        <w:pStyle w:val="null3"/>
      </w:pPr>
      <w:r>
        <w:rPr>
          <w:rFonts w:ascii="仿宋_GB2312" w:hAnsi="仿宋_GB2312" w:cs="仿宋_GB2312" w:eastAsia="仿宋_GB2312"/>
        </w:rPr>
        <w:t>2、社会保障资金缴纳证明：自2025年12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pPr>
        <w:pStyle w:val="null3"/>
      </w:pPr>
      <w:r>
        <w:rPr>
          <w:rFonts w:ascii="仿宋_GB2312" w:hAnsi="仿宋_GB2312" w:cs="仿宋_GB2312" w:eastAsia="仿宋_GB2312"/>
        </w:rPr>
        <w:t>3、税收缴纳证明：自2025年12月01日以来已缴存的至少一个月的纳税证明或完税证明，纳税证明或完税证明上应有代收机构或税务机关的公章或业务专用章。依法免税的投标人应提供相关文件证明；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信用查询：未被列入“信用中国”网站（www.creditchina.gov.cn）失信被执行人和重大税收违法失信主体，不得为“中国政府采购网”（www.ccgp.gov.cn）政府采购严重违法失信行为记录名单中禁止参加政府采购活动的投标人；</w:t>
      </w:r>
    </w:p>
    <w:p>
      <w:pPr>
        <w:pStyle w:val="null3"/>
      </w:pPr>
      <w:r>
        <w:rPr>
          <w:rFonts w:ascii="仿宋_GB2312" w:hAnsi="仿宋_GB2312" w:cs="仿宋_GB2312" w:eastAsia="仿宋_GB2312"/>
        </w:rPr>
        <w:t>5、法定代表人授权委托书：法定代表人参加磋商的，须提供法定代表人身份证明书；法定代表人授权他人参加磋商的，须提供法定代表人委托授权书；</w:t>
      </w:r>
    </w:p>
    <w:p>
      <w:pPr>
        <w:pStyle w:val="null3"/>
      </w:pPr>
      <w:r>
        <w:rPr>
          <w:rFonts w:ascii="仿宋_GB2312" w:hAnsi="仿宋_GB2312" w:cs="仿宋_GB2312" w:eastAsia="仿宋_GB2312"/>
        </w:rPr>
        <w:t>6、无重大违法记录：参加政府采购活动前三年内在经营活动中没有重大违法记录的声明函；</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8、本项目不接受联合体磋商：提供非联合体声明。</w:t>
      </w:r>
    </w:p>
    <w:p>
      <w:pPr>
        <w:pStyle w:val="null3"/>
      </w:pPr>
      <w:r>
        <w:rPr>
          <w:rFonts w:ascii="仿宋_GB2312" w:hAnsi="仿宋_GB2312" w:cs="仿宋_GB2312" w:eastAsia="仿宋_GB2312"/>
        </w:rPr>
        <w:t>9、资格要求：提供合格有效的食品经营许可证（主体业态为集中用餐单位食堂或者餐饮服务经营者）。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蒲城县延安街14号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0913-7205811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陕西金准达项目管理有限责任公司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陕西省西安市高新区科技五路3号橡树星座B座902室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毕云、王军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029-89555599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开户名称：陕西金准达项目管理有限责任公司项目保证金专户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银行账号：129911244910001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招标代理服务收费管理暂行办法的通知》（计价格【2002】1980号）和国家发改委办公厅颁发的《关于招标代理服务收费有关问题的通知》（发改办价格【2003】857号）文件规定标准，本项目以单年度成交价为计算基数，按照服务期3年计取。开户名称：陕西金准达项目管理有限责任公司 开户行名称：招商银行西安分行营业部 账 号：129911244910902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蒲城县医院</w:t>
      </w:r>
      <w:r>
        <w:rPr>
          <w:rFonts w:ascii="仿宋_GB2312" w:hAnsi="仿宋_GB2312" w:cs="仿宋_GB2312" w:eastAsia="仿宋_GB2312"/>
        </w:rPr>
        <w:t>和</w:t>
      </w:r>
      <w:r>
        <w:rPr>
          <w:rFonts w:ascii="仿宋_GB2312" w:hAnsi="仿宋_GB2312" w:cs="仿宋_GB2312" w:eastAsia="仿宋_GB2312"/>
        </w:rPr>
        <w:t>陕西金准达项目管理有限责任公司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陕西金准达项目管理有限责任公司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陕西金准达项目管理有限责任公司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联系人：毕云、王军</w:t>
      </w:r>
    </w:p>
    <w:p>
      <w:pPr>
        <w:pStyle w:val="null3"/>
      </w:pPr>
      <w:r>
        <w:rPr>
          <w:rFonts w:ascii="仿宋_GB2312" w:hAnsi="仿宋_GB2312" w:cs="仿宋_GB2312" w:eastAsia="仿宋_GB2312"/>
        </w:rPr>
        <w:t>联系电话：029-89555599</w:t>
      </w:r>
    </w:p>
    <w:p>
      <w:pPr>
        <w:pStyle w:val="null3"/>
      </w:pPr>
      <w:r>
        <w:rPr>
          <w:rFonts w:ascii="仿宋_GB2312" w:hAnsi="仿宋_GB2312" w:cs="仿宋_GB2312" w:eastAsia="仿宋_GB2312"/>
        </w:rPr>
        <w:t>地址：陕西省西安市高新区科技五路三号橡树星座B座902室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主要为蒲城县医院1300余名职工提供科学、丰富、营养、安全的一日三餐及相关其他服务。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720,000.00</w:t>
      </w:r>
    </w:p>
    <w:p>
      <w:pPr>
        <w:pStyle w:val="null3"/>
      </w:pPr>
      <w:r>
        <w:rPr>
          <w:rFonts w:ascii="仿宋_GB2312" w:hAnsi="仿宋_GB2312" w:cs="仿宋_GB2312" w:eastAsia="仿宋_GB2312"/>
        </w:rPr>
        <w:t>采购包最高限价（元）: 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购买职工餐厅第三方运营公司服务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标的名称：购买职工餐厅第三方运营公司服务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一、项目概况</w:t>
            </w:r>
          </w:p>
          <w:p>
            <w:pPr>
              <w:pStyle w:val="null3"/>
            </w:pPr>
            <w:r>
              <w:rPr>
                <w:rFonts w:ascii="仿宋_GB2312" w:hAnsi="仿宋_GB2312" w:cs="仿宋_GB2312" w:eastAsia="仿宋_GB2312"/>
              </w:rPr>
              <w:t>项目主要为蒲城县医院1300余名职工提供科学、丰富、营养、安全的一日三餐及相关其他服务。</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严格遵循《中华人民共和国食品安全法》等相关法律法规规定，按照现行餐饮行业相关制度的标准，并结合采购人的要求，做好职工餐厅的运营服务，包含但不限于：餐厅人员的配备、原材料采购、一日三餐制作、餐厅环境卫生打扫及其它相关服务。</w:t>
            </w:r>
          </w:p>
          <w:p>
            <w:pPr>
              <w:pStyle w:val="null3"/>
            </w:pPr>
            <w:r>
              <w:rPr>
                <w:rFonts w:ascii="仿宋_GB2312" w:hAnsi="仿宋_GB2312" w:cs="仿宋_GB2312" w:eastAsia="仿宋_GB2312"/>
              </w:rPr>
              <w:t>1）餐厅人员配备：</w:t>
            </w:r>
          </w:p>
          <w:p>
            <w:pPr>
              <w:pStyle w:val="null3"/>
            </w:pPr>
            <w:r>
              <w:rPr>
                <w:rFonts w:ascii="仿宋_GB2312" w:hAnsi="仿宋_GB2312" w:cs="仿宋_GB2312" w:eastAsia="仿宋_GB2312"/>
              </w:rPr>
              <w:t>（1）要求至少包含餐厅经理1名、厨师2名、服务员6名、面点厨师3名、切配工2名、洗碗工1名。</w:t>
            </w:r>
          </w:p>
          <w:p>
            <w:pPr>
              <w:pStyle w:val="null3"/>
            </w:pPr>
            <w:r>
              <w:rPr>
                <w:rFonts w:ascii="仿宋_GB2312" w:hAnsi="仿宋_GB2312" w:cs="仿宋_GB2312" w:eastAsia="仿宋_GB2312"/>
              </w:rPr>
              <w:t>（2）在保证服务质量及食堂正常运行的前提下，医院可根据实际需求要求供应商减少或增加人员。</w:t>
            </w:r>
          </w:p>
          <w:p>
            <w:pPr>
              <w:pStyle w:val="null3"/>
            </w:pPr>
            <w:r>
              <w:rPr>
                <w:rFonts w:ascii="仿宋_GB2312" w:hAnsi="仿宋_GB2312" w:cs="仿宋_GB2312" w:eastAsia="仿宋_GB2312"/>
              </w:rPr>
              <w:t>（3）上岗人员身体健康持有有效健康证；统一着装、工帽，配戴口罩，干净整洁。</w:t>
            </w:r>
          </w:p>
          <w:p>
            <w:pPr>
              <w:pStyle w:val="null3"/>
            </w:pPr>
            <w:r>
              <w:rPr>
                <w:rFonts w:ascii="仿宋_GB2312" w:hAnsi="仿宋_GB2312" w:cs="仿宋_GB2312" w:eastAsia="仿宋_GB2312"/>
              </w:rPr>
              <w:t>（4）供应商的所有人员由供应商自行招聘、使用和管理，按时签订劳务用工合同，人员工资、加班、管理、培训、体检、人员的福利、人员工伤等社会保险等全部由成交供应商承担。</w:t>
            </w:r>
          </w:p>
          <w:p>
            <w:pPr>
              <w:pStyle w:val="null3"/>
            </w:pPr>
            <w:r>
              <w:rPr>
                <w:rFonts w:ascii="仿宋_GB2312" w:hAnsi="仿宋_GB2312" w:cs="仿宋_GB2312" w:eastAsia="仿宋_GB2312"/>
              </w:rPr>
              <w:t>（5）所有餐厅人员接受医院监督和考核，考核不通过人员供应商应及时予以劝退和更换。</w:t>
            </w:r>
          </w:p>
          <w:p>
            <w:pPr>
              <w:pStyle w:val="null3"/>
            </w:pPr>
            <w:r>
              <w:rPr>
                <w:rFonts w:ascii="仿宋_GB2312" w:hAnsi="仿宋_GB2312" w:cs="仿宋_GB2312" w:eastAsia="仿宋_GB2312"/>
              </w:rPr>
              <w:t>2）原材料采购：</w:t>
            </w:r>
          </w:p>
          <w:p>
            <w:pPr>
              <w:pStyle w:val="null3"/>
            </w:pPr>
            <w:r>
              <w:rPr>
                <w:rFonts w:ascii="仿宋_GB2312" w:hAnsi="仿宋_GB2312" w:cs="仿宋_GB2312" w:eastAsia="仿宋_GB2312"/>
              </w:rPr>
              <w:t>（1）要求购买的主食类、食用油类、调味品类、果蔬类、水产类、豆制品类符合国家相关标准，肉禽蛋类符合国家相关标准以及具有相关批次的检疫合格证明。</w:t>
            </w:r>
          </w:p>
          <w:p>
            <w:pPr>
              <w:pStyle w:val="null3"/>
            </w:pPr>
            <w:r>
              <w:rPr>
                <w:rFonts w:ascii="仿宋_GB2312" w:hAnsi="仿宋_GB2312" w:cs="仿宋_GB2312" w:eastAsia="仿宋_GB2312"/>
              </w:rPr>
              <w:t>（2）工作人员将采购的原材料储存管理，做到生熟分储、蔬菜与肉类分类储存等，并在各储藏柜标示原材料名称、入库时间、储藏时效。</w:t>
            </w:r>
          </w:p>
          <w:p>
            <w:pPr>
              <w:pStyle w:val="null3"/>
            </w:pPr>
            <w:r>
              <w:rPr>
                <w:rFonts w:ascii="仿宋_GB2312" w:hAnsi="仿宋_GB2312" w:cs="仿宋_GB2312" w:eastAsia="仿宋_GB2312"/>
              </w:rPr>
              <w:t>3）一日三餐制作</w:t>
            </w:r>
          </w:p>
          <w:p>
            <w:pPr>
              <w:pStyle w:val="null3"/>
            </w:pPr>
            <w:r>
              <w:rPr>
                <w:rFonts w:ascii="仿宋_GB2312" w:hAnsi="仿宋_GB2312" w:cs="仿宋_GB2312" w:eastAsia="仿宋_GB2312"/>
              </w:rPr>
              <w:t>（1）供应时间</w:t>
            </w:r>
          </w:p>
          <w:p>
            <w:pPr>
              <w:pStyle w:val="null3"/>
            </w:pPr>
            <w:r>
              <w:rPr>
                <w:rFonts w:ascii="仿宋_GB2312" w:hAnsi="仿宋_GB2312" w:cs="仿宋_GB2312" w:eastAsia="仿宋_GB2312"/>
              </w:rPr>
              <w:t>早餐：工作人员需按时到岗，完成食材准备、设备调试等工作，早餐供应时间为7:00-9:00。</w:t>
            </w:r>
          </w:p>
          <w:p>
            <w:pPr>
              <w:pStyle w:val="null3"/>
            </w:pPr>
            <w:r>
              <w:rPr>
                <w:rFonts w:ascii="仿宋_GB2312" w:hAnsi="仿宋_GB2312" w:cs="仿宋_GB2312" w:eastAsia="仿宋_GB2312"/>
              </w:rPr>
              <w:t>午餐：工作人员需在10:00前完成午餐菜品制作，午餐供应时间为10:30-13:00。午餐结束后，进行场地清理和餐具清洗等工作。</w:t>
            </w:r>
          </w:p>
          <w:p>
            <w:pPr>
              <w:pStyle w:val="null3"/>
            </w:pPr>
            <w:r>
              <w:rPr>
                <w:rFonts w:ascii="仿宋_GB2312" w:hAnsi="仿宋_GB2312" w:cs="仿宋_GB2312" w:eastAsia="仿宋_GB2312"/>
              </w:rPr>
              <w:t>晚餐：</w:t>
            </w:r>
            <w:r>
              <w:rPr>
                <w:rFonts w:ascii="仿宋_GB2312" w:hAnsi="仿宋_GB2312" w:cs="仿宋_GB2312" w:eastAsia="仿宋_GB2312"/>
              </w:rPr>
              <w:t>工作人员需在16:30前完成晚餐菜品制作，晚餐供应时间为17:00-18:30。晚餐结束后，进行场地清理和餐具清洗等工作。</w:t>
            </w:r>
          </w:p>
          <w:p>
            <w:pPr>
              <w:pStyle w:val="null3"/>
            </w:pPr>
            <w:r>
              <w:rPr>
                <w:rFonts w:ascii="仿宋_GB2312" w:hAnsi="仿宋_GB2312" w:cs="仿宋_GB2312" w:eastAsia="仿宋_GB2312"/>
              </w:rPr>
              <w:t>双休日及法定节假日按照采购人要求正常供餐。</w:t>
            </w:r>
          </w:p>
          <w:p>
            <w:pPr>
              <w:pStyle w:val="null3"/>
            </w:pPr>
            <w:r>
              <w:rPr>
                <w:rFonts w:ascii="仿宋_GB2312" w:hAnsi="仿宋_GB2312" w:cs="仿宋_GB2312" w:eastAsia="仿宋_GB2312"/>
              </w:rPr>
              <w:t>（2）菜品应品种丰富、口味多样，注重菜品营养搭配，满足不同的口味需求。定期更新菜品，采购人负责审核菜谱和菜品价格（菜品定价低于市场价格的30%）。菜品的色香味形应达到一定标准，保证菜品的质量和口感。</w:t>
            </w:r>
          </w:p>
          <w:p>
            <w:pPr>
              <w:pStyle w:val="null3"/>
            </w:pPr>
            <w:r>
              <w:rPr>
                <w:rFonts w:ascii="仿宋_GB2312" w:hAnsi="仿宋_GB2312" w:cs="仿宋_GB2312" w:eastAsia="仿宋_GB2312"/>
              </w:rPr>
              <w:t>（3）食品加工制作过程干净卫生，加工食材清洗彻底，加工时生熟分案。</w:t>
            </w:r>
          </w:p>
          <w:p>
            <w:pPr>
              <w:pStyle w:val="null3"/>
            </w:pPr>
            <w:r>
              <w:rPr>
                <w:rFonts w:ascii="仿宋_GB2312" w:hAnsi="仿宋_GB2312" w:cs="仿宋_GB2312" w:eastAsia="仿宋_GB2312"/>
              </w:rPr>
              <w:t>（4）后厨工作人员应牢固树立食品卫生安全意识，拒绝加工过期、霉变及“三无”食材，不将闲杂人等带入后厨操作间，带病不上岗，保持个人卫生清洁。</w:t>
            </w:r>
          </w:p>
          <w:p>
            <w:pPr>
              <w:pStyle w:val="null3"/>
            </w:pPr>
            <w:r>
              <w:rPr>
                <w:rFonts w:ascii="仿宋_GB2312" w:hAnsi="仿宋_GB2312" w:cs="仿宋_GB2312" w:eastAsia="仿宋_GB2312"/>
              </w:rPr>
              <w:t>（5）严格按照食品安全留样制度做好全品类食品留样（留样不低于125g，留存时间不低于48小时）。</w:t>
            </w:r>
          </w:p>
          <w:p>
            <w:pPr>
              <w:pStyle w:val="null3"/>
            </w:pPr>
            <w:r>
              <w:rPr>
                <w:rFonts w:ascii="仿宋_GB2312" w:hAnsi="仿宋_GB2312" w:cs="仿宋_GB2312" w:eastAsia="仿宋_GB2312"/>
              </w:rPr>
              <w:t>（6）按时供餐，如因客观因素不能准时开餐，供应商应提前通知采购人，并留有充分时间做出补救措施。</w:t>
            </w:r>
          </w:p>
          <w:p>
            <w:pPr>
              <w:pStyle w:val="null3"/>
            </w:pPr>
            <w:r>
              <w:rPr>
                <w:rFonts w:ascii="仿宋_GB2312" w:hAnsi="仿宋_GB2312" w:cs="仿宋_GB2312" w:eastAsia="仿宋_GB2312"/>
              </w:rPr>
              <w:t>4）其他服务要求</w:t>
            </w:r>
          </w:p>
          <w:p>
            <w:pPr>
              <w:pStyle w:val="null3"/>
            </w:pPr>
            <w:r>
              <w:rPr>
                <w:rFonts w:ascii="仿宋_GB2312" w:hAnsi="仿宋_GB2312" w:cs="仿宋_GB2312" w:eastAsia="仿宋_GB2312"/>
              </w:rPr>
              <w:t>（1）供应商应当严格执行安全法律法规，建立、健全劳动安全各项规章制度，并对员工进行岗前安全教育和技能等培训，使其符合上岗的要求，具备相应的职业技能和业务素质。</w:t>
            </w:r>
          </w:p>
          <w:p>
            <w:pPr>
              <w:pStyle w:val="null3"/>
            </w:pPr>
            <w:r>
              <w:rPr>
                <w:rFonts w:ascii="仿宋_GB2312" w:hAnsi="仿宋_GB2312" w:cs="仿宋_GB2312" w:eastAsia="仿宋_GB2312"/>
              </w:rPr>
              <w:t>（2）保持餐厅就餐区域、厨房操作间、餐具清洗间及周边场所的清洁卫生。每日定时进行清洁、消毒，地面无积水、无油污，桌面无残渣，墙壁无污渍。定期清理食堂周边环境，确保无垃圾堆积。</w:t>
            </w:r>
          </w:p>
          <w:p>
            <w:pPr>
              <w:pStyle w:val="null3"/>
            </w:pPr>
            <w:r>
              <w:rPr>
                <w:rFonts w:ascii="仿宋_GB2312" w:hAnsi="仿宋_GB2312" w:cs="仿宋_GB2312" w:eastAsia="仿宋_GB2312"/>
              </w:rPr>
              <w:t xml:space="preserve"> （3）供应商负责餐厅设备的日常维护和保养，确保设备正常运行。定期对设备进行检查、维修，及时发现并解决设备故障。如因设备维护不当导致设备损坏或影响餐厅正常运营，应承担相应责任。</w:t>
            </w:r>
          </w:p>
          <w:p>
            <w:pPr>
              <w:pStyle w:val="null3"/>
            </w:pPr>
            <w:r>
              <w:rPr>
                <w:rFonts w:ascii="仿宋_GB2312" w:hAnsi="仿宋_GB2312" w:cs="仿宋_GB2312" w:eastAsia="仿宋_GB2312"/>
              </w:rPr>
              <w:t>（4）节约水、电、燃气的使用，杜绝长明灯。要做好防火、防盗、消防和安全用电、用气等安全工作，确保职工就餐和自身的安全，如出现食物中毒和各种安全事故，责任和经济赔偿均由供应商自行承担。</w:t>
            </w:r>
          </w:p>
          <w:p>
            <w:pPr>
              <w:pStyle w:val="null3"/>
            </w:pPr>
            <w:r>
              <w:rPr>
                <w:rFonts w:ascii="仿宋_GB2312" w:hAnsi="仿宋_GB2312" w:cs="仿宋_GB2312" w:eastAsia="仿宋_GB2312"/>
              </w:rPr>
              <w:t>（5）定期对员工进行入职培训、消防培训、保密培训、食品安全培训等岗位培训，不断提高员工素质及技能，遵守采购单位内部管理措施。</w:t>
            </w:r>
          </w:p>
          <w:p>
            <w:pPr>
              <w:pStyle w:val="null3"/>
            </w:pPr>
            <w:r>
              <w:rPr>
                <w:rFonts w:ascii="仿宋_GB2312" w:hAnsi="仿宋_GB2312" w:cs="仿宋_GB2312" w:eastAsia="仿宋_GB2312"/>
              </w:rPr>
              <w:t>（6）反食品浪费要求</w:t>
            </w:r>
          </w:p>
          <w:p>
            <w:pPr>
              <w:pStyle w:val="null3"/>
            </w:pPr>
            <w:r>
              <w:rPr>
                <w:rFonts w:ascii="仿宋_GB2312" w:hAnsi="仿宋_GB2312" w:cs="仿宋_GB2312" w:eastAsia="仿宋_GB2312"/>
              </w:rPr>
              <w:t>服务期间服务人员应坚持勤俭节约原则，规范食材、原料的采购、贮存、加工等环节，采用少炒勤炒、小锅出菜、按需补菜等方式，有效避免食材浪费。</w:t>
            </w:r>
          </w:p>
          <w:p>
            <w:pPr>
              <w:pStyle w:val="null3"/>
            </w:pPr>
            <w:r>
              <w:rPr>
                <w:rFonts w:ascii="仿宋_GB2312" w:hAnsi="仿宋_GB2312" w:cs="仿宋_GB2312" w:eastAsia="仿宋_GB2312"/>
              </w:rPr>
              <w:t>积极引导食堂就餐人员树立良好的就餐习惯，倡导光盘行动，节约粮食，反对铺张浪费。</w:t>
            </w:r>
          </w:p>
          <w:p>
            <w:pPr>
              <w:pStyle w:val="null3"/>
            </w:pPr>
            <w:r>
              <w:rPr>
                <w:rFonts w:ascii="仿宋_GB2312" w:hAnsi="仿宋_GB2312" w:cs="仿宋_GB2312" w:eastAsia="仿宋_GB2312"/>
              </w:rPr>
              <w:t>制作“文明餐桌”宣传展板及桌面提示牌，营造“节约光荣，浪费可耻”的浓厚氛围。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在项目实施过程中，应根据项目具体情况以及采购人的要求，增减人员。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服务质量（标准）：符合相关行业标准及采购人的要求。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自合同签订之日起3年。采购人根据供应商实际服务情况，经考核合格后，进行合同一年一续签，总体服务期不超过3年。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(1)实施单位自查：完成自查工作，出具自查报告；对存在的问题及时进行补充完善。 (2)检查验收：采购方组织有关专家和人员，按照项目要求和实施方案进行验收。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进度款，次月10日之前，根据上月员工出勤及考核情况核算服务费用，经科室相关负责人审批确认后，按照实际费用提供全额发票，定额支付，达到付款条件起10个工作日内，支付合同总金额的8.33%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进度款，次月10日之前，根据上月员工出勤及考核情况核算服务费用，经科室相关负责人审批确认后，按照实际费用提供全额发票，定额支付，达到付款条件起10个工作日内，支付合同总金额的8.33%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进度款，次月10日之前，根据上月员工出勤及考核情况核算服务费用，经科室相关负责人审批确认后，按照实际费用提供全额发票，定额支付，达到付款条件起10个工作日内，支付合同总金额的8.33%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进度款，次月10日之前，根据上月员工出勤及考核情况核算服务费用，经科室相关负责人审批确认后，按照实际费用提供全额发票，定额支付，达到付款条件起10个工作日内，支付合同总金额的8.33%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进度款，次月10日之前，根据上月员工出勤及考核情况核算服务费用，经科室相关负责人审批确认后，按照实际费用提供全额发票，定额支付，达到付款条件起10个工作日内，支付合同总金额的8.33%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进度款，次月10日之前，根据上月员工出勤及考核情况核算服务费用，经科室相关负责人审批确认后，按照实际费用提供全额发票，定额支付，达到付款条件起10个工作日内，支付合同总金额的8.33%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进度款，次月10日之前，根据上月员工出勤及考核情况核算服务费用，经科室相关负责人审批确认后，按照实际费用提供全额发票，定额支付，达到付款条件起10个工作日内，支付合同总金额的8.33%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进度款，次月10日之前，根据上月员工出勤及考核情况核算服务费用，经科室相关负责人审批确认后，按照实际费用提供全额发票，定额支付，达到付款条件起10个工作日内，支付合同总金额的8.33%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进度款，次月10日之前，根据上月员工出勤及考核情况核算服务费用，经科室相关负责人审批确认后，按照实际费用提供全额发票，定额支付，达到付款条件起10个工作日内，支付合同总金额的8.33%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进度款，次月10日之前，根据上月员工出勤及考核情况核算服务费用，经科室相关负责人审批确认后，按照实际费用提供全额发票，定额支付，达到付款条件起10个工作日内，支付合同总金额的8.33%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进度款，次月10日之前，根据上月员工出勤及考核情况核算服务费用，经科室相关负责人审批确认后，按照实际费用提供全额发票，定额支付，达到付款条件起10个工作日内，支付合同总金额的8.33%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进度款，次月10日之前，根据上月员工出勤及考核情况核算服务费用，经科室相关负责人审批确认后，按照实际费用提供全额发票，定额支付，达到付款条件起10个工作日内，支付合同总金额的8.37%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按照采购文件和合同约定执行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财务审计报告（至少包括资产负债表、利润表、现金流量表及财务报表附注）或开标前三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一般资格审查证明材料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2025年12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自2025年12月01日以来已缴存的至少一个月的纳税证明或完税证明，纳税证明或完税证明上应有代收机构或税务机关的公章或业务专用章。依法免税的投标人应提供相关文件证明；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未被列入“信用中国”网站（www.creditchina.gov.cn）失信被执行人和重大税收违法失信主体，不得为“中国政府采购网”（www.ccgp.gov.cn）政府采购严重违法失信行为记录名单中禁止参加政府采购活动的投标人；</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法定代表人参加磋商的，须提供法定代表人身份证明书；法定代表人授权他人参加磋商的，须提供法定代表人委托授权书；</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参加政府采购活动前三年内在经营活动中没有重大违法记录的声明函；</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提供合格有效的食品经营许可证（主体业态为集中用餐单位食堂或者餐饮服务经营者）。</w:t>
            </w:r>
          </w:p>
        </w:tc>
        <w:tc>
          <w:tcPr>
            <w:tcW w:type="dxa" w:w="1661"/>
          </w:tcPr>
          <w:p>
            <w:pPr>
              <w:pStyle w:val="null3"/>
            </w:pPr>
            <w:r>
              <w:rPr>
                <w:rFonts w:ascii="仿宋_GB2312" w:hAnsi="仿宋_GB2312" w:cs="仿宋_GB2312" w:eastAsia="仿宋_GB2312"/>
              </w:rPr>
              <w:t>特殊资格审查证明材料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磋商小组认为供应商的报价明显低于其他实质性响应的供应商报价，有可能影响产品质量或者不能诚信履约的，按照《关于推动解决政府采购异常低价问题的通知》财库〔2026〕2号文件的要求，可启动政府采购异常低价审查，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符合磋商文件中“磋商响应文件格式”要求</w:t>
            </w:r>
          </w:p>
        </w:tc>
        <w:tc>
          <w:tcPr>
            <w:tcW w:type="dxa" w:w="1661"/>
          </w:tcPr>
          <w:p>
            <w:pPr>
              <w:pStyle w:val="null3"/>
            </w:pPr>
            <w:r>
              <w:rPr>
                <w:rFonts w:ascii="仿宋_GB2312" w:hAnsi="仿宋_GB2312" w:cs="仿宋_GB2312" w:eastAsia="仿宋_GB2312"/>
              </w:rPr>
              <w:t>响应文件封面 中小企业声明函 一般资格审查证明材料 服务方案 标的清单 报价表 供应商类似项目业绩一览表 响应函 特殊资格审查证明材料 服务内容及服务要求响应偏离表 商务及其他要求响应偏离表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文件应逐页盖章，有法定代表人或被授权人签字或盖章须按要求签字或盖章；</w:t>
            </w:r>
          </w:p>
        </w:tc>
        <w:tc>
          <w:tcPr>
            <w:tcW w:type="dxa" w:w="1661"/>
          </w:tcPr>
          <w:p>
            <w:pPr>
              <w:pStyle w:val="null3"/>
            </w:pPr>
            <w:r>
              <w:rPr>
                <w:rFonts w:ascii="仿宋_GB2312" w:hAnsi="仿宋_GB2312" w:cs="仿宋_GB2312" w:eastAsia="仿宋_GB2312"/>
              </w:rPr>
              <w:t>中小企业声明函 报价表 特殊资格审查证明材料 响应文件封面 残疾人福利性单位声明函 一般资格审查证明材料 服务方案 标的清单 供应商类似项目业绩一览表 响应函 服务内容及服务要求响应偏离表 监狱企业的证明文件 商务及其他要求响应偏离表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首次报价唯一</w:t>
            </w:r>
          </w:p>
        </w:tc>
        <w:tc>
          <w:tcPr>
            <w:tcW w:type="dxa" w:w="3322"/>
          </w:tcPr>
          <w:p>
            <w:pPr>
              <w:pStyle w:val="null3"/>
            </w:pPr>
            <w:r>
              <w:rPr>
                <w:rFonts w:ascii="仿宋_GB2312" w:hAnsi="仿宋_GB2312" w:cs="仿宋_GB2312" w:eastAsia="仿宋_GB2312"/>
              </w:rPr>
              <w:t>首次只能有一个有效报价，且不能超过本项目最高限价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应符合磋商文件规定</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一般资格审查证明材料 服务方案 供应商类似项目业绩一览表 服务内容及服务要求响应偏离表 特殊资格审查证明材料 商务及其他要求响应偏离表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一般资格审查证明材料 中小企业声明函 服务方案 供应商类似项目业绩一览表 特殊资格审查证明材料 服务内容及服务要求响应偏离表 商务及其他要求响应偏离表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1、评审内容：包含但不限于： ①餐厅人员录用标准； ②人员日常管理制度； ③人员培训、考核等方面进行评审。 评审标准： （1）评审内容每项满分为4分，共12分；（2）评审内容每缺失一项扣4分，每项内容有下列任意一项瑕疵的扣0.4分（单项评审内容相同瑕疵不重复扣分），扣完为止；瑕疵是指：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原材料采购</w:t>
            </w:r>
          </w:p>
        </w:tc>
        <w:tc>
          <w:tcPr>
            <w:tcW w:type="dxa" w:w="2492"/>
          </w:tcPr>
          <w:p>
            <w:pPr>
              <w:pStyle w:val="null3"/>
            </w:pPr>
            <w:r>
              <w:rPr>
                <w:rFonts w:ascii="仿宋_GB2312" w:hAnsi="仿宋_GB2312" w:cs="仿宋_GB2312" w:eastAsia="仿宋_GB2312"/>
              </w:rPr>
              <w:t>1、评审内容：包含但不限于： ①原材料采购标准； ②原材料储存保障； ③原材料使用管理等内容进行评审。 2、评审标准： （1）评审内容每项满分为4分，共12分；（2）评审内容每缺失一项扣4分，每项内容有下列任意一项瑕疵的扣0.4分（单项评审内容相同瑕疵不重复扣分），扣完为止；瑕疵是指：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食品安全管理</w:t>
            </w:r>
          </w:p>
        </w:tc>
        <w:tc>
          <w:tcPr>
            <w:tcW w:type="dxa" w:w="2492"/>
          </w:tcPr>
          <w:p>
            <w:pPr>
              <w:pStyle w:val="null3"/>
            </w:pPr>
            <w:r>
              <w:rPr>
                <w:rFonts w:ascii="仿宋_GB2312" w:hAnsi="仿宋_GB2312" w:cs="仿宋_GB2312" w:eastAsia="仿宋_GB2312"/>
              </w:rPr>
              <w:t>1、评审内容：包含但不限于： ①食品安全管理制度； ②日常食品安全控制措施； ③食品留样制度； ④人员食品安全专项培训、考核等方面进行评审。 2、评审标准： （1）评审内容每项满分为3分，共12分； （2）评审内容每缺失一项扣3分，每项内容有下列任意瑕疵的扣0.3分（单项评审内容中有相同瑕疵不重复扣分），扣完为止；瑕疵是指：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卫生管理</w:t>
            </w:r>
          </w:p>
        </w:tc>
        <w:tc>
          <w:tcPr>
            <w:tcW w:type="dxa" w:w="2492"/>
          </w:tcPr>
          <w:p>
            <w:pPr>
              <w:pStyle w:val="null3"/>
            </w:pPr>
            <w:r>
              <w:rPr>
                <w:rFonts w:ascii="仿宋_GB2312" w:hAnsi="仿宋_GB2312" w:cs="仿宋_GB2312" w:eastAsia="仿宋_GB2312"/>
              </w:rPr>
              <w:t>1、评审内容：包含但不限于： ①卫生管理制度； ②日常卫生管控措施； ③厨余垃圾的处理； ④虫、鼠等害虫消杀等方面进行评审。 2、评审标准： （1）评审内容每项满分为3分，共12分； （2）评审内容每缺失一项扣3分，每项内容有下列任意瑕疵的扣0.3分（单项评审内容中有相同瑕疵不重复扣分），扣完为止；瑕疵是指：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日常管理</w:t>
            </w:r>
          </w:p>
        </w:tc>
        <w:tc>
          <w:tcPr>
            <w:tcW w:type="dxa" w:w="2492"/>
          </w:tcPr>
          <w:p>
            <w:pPr>
              <w:pStyle w:val="null3"/>
            </w:pPr>
            <w:r>
              <w:rPr>
                <w:rFonts w:ascii="仿宋_GB2312" w:hAnsi="仿宋_GB2312" w:cs="仿宋_GB2312" w:eastAsia="仿宋_GB2312"/>
              </w:rPr>
              <w:t>1、评审内容：包含但不限于： ①日常防火、防盗管理； ②日常用电、气管理； ③日常设备、炊具维护管理等方面进行评审。 2、评审标准： （1）评审内容每项满分为4分，共12分； （2）评审内容每缺失一项扣4分，每项内容有下列任意瑕疵的扣0.4分（单项评审内容中有相同瑕疵不重复扣分），扣完为止；瑕疵是指：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餐食搭配</w:t>
            </w:r>
          </w:p>
        </w:tc>
        <w:tc>
          <w:tcPr>
            <w:tcW w:type="dxa" w:w="2492"/>
          </w:tcPr>
          <w:p>
            <w:pPr>
              <w:pStyle w:val="null3"/>
            </w:pPr>
            <w:r>
              <w:rPr>
                <w:rFonts w:ascii="仿宋_GB2312" w:hAnsi="仿宋_GB2312" w:cs="仿宋_GB2312" w:eastAsia="仿宋_GB2312"/>
              </w:rPr>
              <w:t>1、评审内容：包含但不限于： ①日常餐食的搭配 ②节假日餐食搭配 ③餐食意见反馈、改进措施等方面进行评审。 2、评审标准： （1）评审内容每项满分为4分，共12分； （2）评审内容每缺失一项扣4分，每项内容有下列任意瑕疵的扣0.4分（单项评审内容中有相同瑕疵不重复扣分），扣完为止；瑕疵是指：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1、评审内容：包含但不限于： ①停水、停电、停气等应急预案； ②临时接待服务的应急预案； ③就餐人数临时增加的应急预案； 2、评审标准： （1）评审内容每项满分为4分，共12分； （2）评审内容每缺失一项扣4分，每项内容有下列任意瑕疵的扣0.4分（单项评审内容中有相同瑕疵不重复扣分），扣完为止；瑕疵是指：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提供2023年1月1日起至今完成项目类似业绩，每有1项得2分，最高得6分； 注：业绩以签订时间为准，须提供合同复印件，并加盖公章，未提供或不清晰导致无法识别的不予认可。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满足磋商文件要求且最终报价最低的供应商的价格为磋商基准价得10分，其他各供应商的最终报价得分按下列公式计算：（磋商基准价/最终磋商报价）×10％×100。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详见附件：一般资格审查证明材料</w:t>
      </w:r>
    </w:p>
    <w:p>
      <w:pPr>
        <w:pStyle w:val="null3"/>
        <w:ind w:firstLine="960"/>
      </w:pPr>
      <w:r>
        <w:rPr>
          <w:rFonts w:ascii="仿宋_GB2312" w:hAnsi="仿宋_GB2312" w:cs="仿宋_GB2312" w:eastAsia="仿宋_GB2312"/>
        </w:rPr>
        <w:t>详见附件：特殊资格审查证明材料</w:t>
      </w:r>
    </w:p>
    <w:p>
      <w:pPr>
        <w:pStyle w:val="null3"/>
        <w:ind w:firstLine="960"/>
      </w:pPr>
      <w:r>
        <w:rPr>
          <w:rFonts w:ascii="仿宋_GB2312" w:hAnsi="仿宋_GB2312" w:cs="仿宋_GB2312" w:eastAsia="仿宋_GB2312"/>
        </w:rPr>
        <w:t>详见附件：服务内容及服务要求响应偏离表</w:t>
      </w:r>
    </w:p>
    <w:p>
      <w:pPr>
        <w:pStyle w:val="null3"/>
        <w:ind w:firstLine="960"/>
      </w:pPr>
      <w:r>
        <w:rPr>
          <w:rFonts w:ascii="仿宋_GB2312" w:hAnsi="仿宋_GB2312" w:cs="仿宋_GB2312" w:eastAsia="仿宋_GB2312"/>
        </w:rPr>
        <w:t>详见附件：商务及其他要求响应偏离表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