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版本号：SXCFY2026060120260613001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富平县2025年基层农技推广体系改革与建设项目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SXCFY20260601</w:t>
      </w:r>
      <w:r>
        <w:br/>
      </w:r>
      <w:r>
        <w:br/>
      </w:r>
      <w:r>
        <w:br/>
      </w:r>
    </w:p>
    <w:p>
      <w:pPr>
        <w:pStyle w:val="null3"/>
        <w:jc w:val="center"/>
        <w:outlineLvl w:val="2"/>
      </w:pPr>
      <w:r>
        <w:rPr>
          <w:rFonts w:ascii="仿宋_GB2312" w:hAnsi="仿宋_GB2312" w:cs="仿宋_GB2312" w:eastAsia="仿宋_GB2312"/>
          <w:sz w:val="28"/>
          <w:b/>
        </w:rPr>
        <w:t>富平县农业技术推广中心</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富平县农业技术推广中心</w:t>
      </w:r>
      <w:r>
        <w:rPr>
          <w:rFonts w:ascii="仿宋_GB2312" w:hAnsi="仿宋_GB2312" w:cs="仿宋_GB2312" w:eastAsia="仿宋_GB2312"/>
        </w:rPr>
        <w:t>委托，拟对</w:t>
      </w:r>
      <w:r>
        <w:rPr>
          <w:rFonts w:ascii="仿宋_GB2312" w:hAnsi="仿宋_GB2312" w:cs="仿宋_GB2312" w:eastAsia="仿宋_GB2312"/>
        </w:rPr>
        <w:t>富平县2025年基层农技推广体系改革与建设项目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富平县2025年基层农技推广体系改革与建设项目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富平县2025年基层农技推广体系改革与建设项目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2、农药资质：投标产品属于农药的，投标人为制造商须具备《农药登记证》、《农药生产许可证》、《产品执行标准》；投标人为代理商须具备《农药经营许可证》、同时需要提供制造厂家的《农药登记证》、《农药生产许可证》、《产品执行标准》。</w:t>
      </w:r>
    </w:p>
    <w:p>
      <w:pPr>
        <w:pStyle w:val="null3"/>
      </w:pPr>
      <w:r>
        <w:rPr>
          <w:rFonts w:ascii="仿宋_GB2312" w:hAnsi="仿宋_GB2312" w:cs="仿宋_GB2312" w:eastAsia="仿宋_GB2312"/>
        </w:rPr>
        <w:t>3、化肥资质：投标产品属于肥料的，投标人为生产企业的需提供有效期内的《肥料登记证》或《农业农村部登记备案证明》，为代理商的提供生产厂家的《肥料登记证》或《农业农村部登记备案证明》材料。</w:t>
      </w:r>
    </w:p>
    <w:p>
      <w:pPr>
        <w:pStyle w:val="null3"/>
      </w:pPr>
      <w:r>
        <w:rPr>
          <w:rFonts w:ascii="仿宋_GB2312" w:hAnsi="仿宋_GB2312" w:cs="仿宋_GB2312" w:eastAsia="仿宋_GB2312"/>
        </w:rPr>
        <w:t>4、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0913-8203048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开户名称：陕西诚方源项目管理有限公司（缴纳保证金时请备注SXCFY20260601磋商保证金）</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向陕西诚方源项目管理有限公司交纳招标代理服务费。代理服务费参照国家计委2002年颁发的《招标代理服务收费管理暂行办法》(计价格〔2002〕1980号)和国家发改委办公厅颁发的《关于招标代理服务收费有关问题的通知》（发改办价格【2003】857号）的标准收取。代理服务费账户 ：户名：陕西诚方源项目管理有限公司 开户银行：中信银行股份有限公司西安咸宁路支行 账 号：8111701011600592875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富平县农业技术推广中心</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所有产品质量符合国家相关现行验收规范“合格”标准。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富平县2025年基层农技推广体系改革与建设项目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富平县2025年基层农技推广体系改革与建设项目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标的名称：富平县2025年基层农技推广体系改革与建设项目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448"/>
              <w:gridCol w:w="686"/>
              <w:gridCol w:w="1283"/>
              <w:gridCol w:w="597"/>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货物种类</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技术指标</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小麦拌种剂</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按农业部登记药剂的推荐剂量，计</w:t>
                  </w:r>
                  <w:r>
                    <w:rPr>
                      <w:rFonts w:ascii="仿宋_GB2312" w:hAnsi="仿宋_GB2312" w:cs="仿宋_GB2312" w:eastAsia="仿宋_GB2312"/>
                      <w:sz w:val="20"/>
                      <w:color w:val="000000"/>
                    </w:rPr>
                    <w:t>2.3</w:t>
                  </w:r>
                  <w:r>
                    <w:rPr>
                      <w:rFonts w:ascii="仿宋_GB2312" w:hAnsi="仿宋_GB2312" w:cs="仿宋_GB2312" w:eastAsia="仿宋_GB2312"/>
                      <w:sz w:val="20"/>
                      <w:color w:val="000000"/>
                    </w:rPr>
                    <w:t>万亩。</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在小麦上登记，杀虫剂、杀菌剂复配，具有防虫、防病、促根壮苗的作用，总有效成分</w:t>
                  </w:r>
                  <w:r>
                    <w:rPr>
                      <w:rFonts w:ascii="仿宋_GB2312" w:hAnsi="仿宋_GB2312" w:cs="仿宋_GB2312" w:eastAsia="仿宋_GB2312"/>
                      <w:sz w:val="20"/>
                      <w:color w:val="000000"/>
                    </w:rPr>
                    <w:t>≥27%。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460000.00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除草剂</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按农业部登记药剂的推荐剂量，计</w:t>
                  </w:r>
                  <w:r>
                    <w:rPr>
                      <w:rFonts w:ascii="仿宋_GB2312" w:hAnsi="仿宋_GB2312" w:cs="仿宋_GB2312" w:eastAsia="仿宋_GB2312"/>
                      <w:sz w:val="20"/>
                      <w:color w:val="000000"/>
                    </w:rPr>
                    <w:t>1.2</w:t>
                  </w:r>
                  <w:r>
                    <w:rPr>
                      <w:rFonts w:ascii="仿宋_GB2312" w:hAnsi="仿宋_GB2312" w:cs="仿宋_GB2312" w:eastAsia="仿宋_GB2312"/>
                      <w:sz w:val="20"/>
                      <w:color w:val="000000"/>
                    </w:rPr>
                    <w:t>万亩。</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在小麦上应用安全，</w:t>
                  </w:r>
                  <w:r>
                    <w:rPr>
                      <w:rFonts w:ascii="仿宋_GB2312" w:hAnsi="仿宋_GB2312" w:cs="仿宋_GB2312" w:eastAsia="仿宋_GB2312"/>
                      <w:sz w:val="20"/>
                      <w:color w:val="000000"/>
                    </w:rPr>
                    <w:t>防治节节麦、野燕麦、多花黑麦草及阔叶杂草。</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300000.00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复合肥</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1500袋（40公斤/袋）</w:t>
                  </w:r>
                </w:p>
              </w:tc>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符合国家执行标准</w:t>
                  </w:r>
                  <w:r>
                    <w:rPr>
                      <w:rFonts w:ascii="仿宋_GB2312" w:hAnsi="仿宋_GB2312" w:cs="仿宋_GB2312" w:eastAsia="仿宋_GB2312"/>
                      <w:sz w:val="20"/>
                      <w:color w:val="000000"/>
                    </w:rPr>
                    <w:t>GB/T 15063-2020，总养分含量≥45%，适合小麦或玉米底肥与追肥。</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自合同签订之日起10日历天内完成供货并交付验收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富平县内，采购人指定地点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进度款，项目最终验收合格，且项目资金下达后，经采购人确认，达到付款条件起30个工作日内，支付合同总金额的100.0%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所有货物以验收之日为质保起始日期，质保期1年，质保期内免费换货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署生效后双方应严格履行。若双方任一方存在违约行为的，违约方应当向守约方承担违约责任，并赔偿守约方遭受的经济损失（包括但不限于实现债权所产生的律师费、诉讼费等，具体以双方签署合同相关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不允许进口产品投标，根据陕西省财政厅《关于在政府采购活动中实施本国产品标准及相关政策的通知》（陕财办采〔2026〕2 号））的规定，投标人提供的本国产品应符合《国务院办公厅关于在政府采购中实施本国产品标准及相关政策的通知》（国办发〔2025〕34号）、《财政部、工信部发布关于贯彻落实《国务院办公厅关于在政府采购中实施本国产品标准及相关政策的通知》的意见》（财库〔2025〕30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投标函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农药资质</w:t>
            </w:r>
          </w:p>
        </w:tc>
        <w:tc>
          <w:tcPr>
            <w:tcW w:type="dxa" w:w="3322"/>
          </w:tcPr>
          <w:p>
            <w:pPr>
              <w:pStyle w:val="null3"/>
            </w:pPr>
            <w:r>
              <w:rPr>
                <w:rFonts w:ascii="仿宋_GB2312" w:hAnsi="仿宋_GB2312" w:cs="仿宋_GB2312" w:eastAsia="仿宋_GB2312"/>
              </w:rPr>
              <w:t>投标产品属于农药的，投标人为制造商须具备《农药登记证》、《农药生产许可证》、《产品执行标准》；投标人为代理商须具备《农药经营许可证》、同时需要提供制造厂家的《农药登记证》、《农药生产许可证》、《产品执行标准》。</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化肥资质</w:t>
            </w:r>
          </w:p>
        </w:tc>
        <w:tc>
          <w:tcPr>
            <w:tcW w:type="dxa" w:w="3322"/>
          </w:tcPr>
          <w:p>
            <w:pPr>
              <w:pStyle w:val="null3"/>
            </w:pPr>
            <w:r>
              <w:rPr>
                <w:rFonts w:ascii="仿宋_GB2312" w:hAnsi="仿宋_GB2312" w:cs="仿宋_GB2312" w:eastAsia="仿宋_GB2312"/>
              </w:rPr>
              <w:t>投标产品属于肥料的，投标人为生产企业的需提供有效期内的《肥料登记证》或《农业农村部登记备案证明》，为代理商的提供生产厂家的《肥料登记证》或《农业农村部登记备案证明》材料。</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招标文件技术要求响应情况，若加★号负偏离， 投标无效。</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供应商的投标报价超过采购预算、超过各种类最高限价或未按招标文件要求提供分项报价表，投标无效。</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一、评审内容：①项目进度安排；②货物运输措施；③货物调控组织措施； 评审标准： 每一条评审内容不存在缺陷得7分；每有一条评审内容出现一处缺陷扣1.4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提供所投产品的合法来源渠道证明文件（不限于产品厂家授权、销售协议、代理协议等）每提供一个产品的计1分，满分3分，未提供或资料模糊导致无法辨别的不得分。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2、产品来源渠道.docx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一、评审内容：①质量目标②质量保证措施③质量保证承诺。 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一、评审内容：①在作业过程中出现突发问题的应急处置方案；②应急响应时间；③出现突发状况应急人员安排； 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4、应急处理措施.docx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一、评审内容：①培训时间；②培训内容及培训方式； 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5、培训计划.docx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①售后服务方案完整可行，有明确的售后服务标准、售后服务承诺②；质保期内产品发生质量问题所产生的换货修补服务具体响应时限、补救措施；③售后服务机构组成，人员从业经历，服务人员培训计划情况；④售后服务响应（电话支持、到场服务）；二、评审标准： 每一条评审内容不存在缺陷得3分；每有一条评审内容出现一处缺陷扣0.6分，扣完为止；未提供得0分。(缺陷是指：①编制内容与项目不吻合、层次未细化；②阐述未从实际出发，不切合项目背景及需求；③存在抄袭或套用其他地区或项目内容；④前后逻辑错误、存在歧义、科学原理或常识错误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近三年（2023年6月至今）的类似项目业绩，每提供一个有效业绩得1分，最高得5分。注：每个有效业绩须包含以下内容：中标（成交）通知书或合同复印件（提供复印件并加盖公章）。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项目组人员中每具有一个农业方面专业技术人员得1分，本项最高得5分。提供人员专业技术能力证明材料，未提供或资料不清导致无法辨别不得分。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详见附件：2、产品来源渠道.docx</w:t>
      </w:r>
    </w:p>
    <w:p>
      <w:pPr>
        <w:pStyle w:val="null3"/>
        <w:ind w:firstLine="960"/>
      </w:pPr>
      <w:r>
        <w:rPr>
          <w:rFonts w:ascii="仿宋_GB2312" w:hAnsi="仿宋_GB2312" w:cs="仿宋_GB2312" w:eastAsia="仿宋_GB2312"/>
        </w:rPr>
        <w:t>详见附件：3、质量保证.docx</w:t>
      </w:r>
    </w:p>
    <w:p>
      <w:pPr>
        <w:pStyle w:val="null3"/>
        <w:ind w:firstLine="960"/>
      </w:pPr>
      <w:r>
        <w:rPr>
          <w:rFonts w:ascii="仿宋_GB2312" w:hAnsi="仿宋_GB2312" w:cs="仿宋_GB2312" w:eastAsia="仿宋_GB2312"/>
        </w:rPr>
        <w:t>详见附件：4、应急处理措施.docx</w:t>
      </w:r>
    </w:p>
    <w:p>
      <w:pPr>
        <w:pStyle w:val="null3"/>
        <w:ind w:firstLine="960"/>
      </w:pPr>
      <w:r>
        <w:rPr>
          <w:rFonts w:ascii="仿宋_GB2312" w:hAnsi="仿宋_GB2312" w:cs="仿宋_GB2312" w:eastAsia="仿宋_GB2312"/>
        </w:rPr>
        <w:t>详见附件：5、培训计划.docx</w:t>
      </w:r>
    </w:p>
    <w:p>
      <w:pPr>
        <w:pStyle w:val="null3"/>
        <w:ind w:firstLine="960"/>
      </w:pPr>
      <w:r>
        <w:rPr>
          <w:rFonts w:ascii="仿宋_GB2312" w:hAnsi="仿宋_GB2312" w:cs="仿宋_GB2312" w:eastAsia="仿宋_GB2312"/>
        </w:rPr>
        <w:t>详见附件：6、售后服务.docx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详见附件：8、人员配备.docx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