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版本号：慧科ZX-CF01237BF20260703001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慧科ZX-CF01237BF</w:t>
      </w:r>
      <w:r>
        <w:br/>
      </w:r>
      <w:r>
        <w:br/>
      </w:r>
      <w:r>
        <w:br/>
      </w:r>
    </w:p>
    <w:p>
      <w:pPr>
        <w:pStyle w:val="null3"/>
        <w:jc w:val="center"/>
        <w:outlineLvl w:val="2"/>
      </w:pPr>
      <w:r>
        <w:rPr>
          <w:rFonts w:ascii="仿宋_GB2312" w:hAnsi="仿宋_GB2312" w:cs="仿宋_GB2312" w:eastAsia="仿宋_GB2312"/>
          <w:sz w:val="28"/>
          <w:b/>
        </w:rPr>
        <w:t>西安市高陵区残疾人联合会</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西安市高陵区残疾人联合会</w:t>
      </w:r>
      <w:r>
        <w:rPr>
          <w:rFonts w:ascii="仿宋_GB2312" w:hAnsi="仿宋_GB2312" w:cs="仿宋_GB2312" w:eastAsia="仿宋_GB2312"/>
        </w:rPr>
        <w:t>委托，拟对</w:t>
      </w:r>
      <w:r>
        <w:rPr>
          <w:rFonts w:ascii="仿宋_GB2312" w:hAnsi="仿宋_GB2312" w:cs="仿宋_GB2312" w:eastAsia="仿宋_GB2312"/>
        </w:rPr>
        <w:t>2026年残疾人职业技能和实用技术培训项目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慧科ZX-CF01237BF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2026年残疾人职业技能和实用技术培训项目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残疾人劳动就业服务中心关于印发&lt;西安市残疾人职业技能和实用技术培训项目实施方案&gt;的通知》(西残就发〔2026〕16号)组织实施，结合市场主体的承接能力及残疾人职业技能培训需求，不断提升残疾人职业素质和就业创业能力，促进残疾人就业增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采购包1（2026年残疾人职业技能和实用技术培训项目）：属于专门面向中小企业采购。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2、财务状况报告（任选其一）：供应商2025年度经审计的财务报告或磋商截止时间前三个月内其基本开户银行出具的资信证明及账户开户许可证明材料或财政部门认可的政府采购专业担保机构开具的投标担保函。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定代表人授权书：法定代表人参加投标的，须提供法人身份证明及本人身份证复印件；法定代表人授权他人参加投标的，须提供法定代表人授权委托书。采购文件中凡是需要法定代表人盖章之处，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陕西省西安市高陵区县门街29号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029-86916925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陕西省西安市雁塔区曲江⽂创中⼼双⼦座7号楼1单元17楼1702室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张⼀鸣、徐⽴科、宋霜晨、樊军辉、刘明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执行。 2.成交单位在领取成交通知书时向代理机构支付代理服务费。 3.缴纳账户如下：开户名称：陕西慧科工程管理咨询有限公司，银行账号：3700021619200147184，开户银行：中国工商银行西安小寨支行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西安市高陵区残疾人联合会</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1）国家现行标准。2）验收依据：合同文本、合同附件、磋商文件及响应文件。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联系人：张⼀鸣、宋霜晨</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地址：陕西省西安市雁塔区曲江⽂创中⼼双⼦座7号楼1单元17楼1702室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西安市残疾人劳动就业服务中心关于印发&lt;西安市残疾人职业技能和实用技术培训项目实施方案&gt;的通知》(西残就发〔2026〕16号)组织实施，结合市场主体的承接能力及残疾人职业技能培训需求，不断提升残疾人职业素质和就业创业能力，促进残疾人就业增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2026年残疾人职业技能和实用技术培训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照《西安市残疾人劳动就业服务中心关于印发&lt;西安市残疾人职业技能和实用技术培训项目实施方案&gt;的通知》(西残就发〔2026〕16号)组织实施，结合市场主体的承接能力及残疾人职业技能培训需求，不断提升残疾人职业素质和就业创业能力，促进残疾人就业增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2.1工作目标：立足辖区产业发展实际与残疾人就业需求，科学遴选贴合市场、适配残障群体的技能培训项目。通过开展精准化、专业化职业技能培训，全面提升残疾人职业素养与实操就业能力，帮助参训残疾人掌握就业谋生技能、实现自主劳动增收，切实提升其社会参与能力，保障残疾人平等就业、公平参与市场竞争，充分实现个人劳动价值与社会价值。 2.2培训对象：分为省级培训和市级培训，省级培训面向陕西省户籍人员，市级培训面向西安市户籍人员；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适配残疾人的学习课程与基础实训设施，规范留存培训及考核资料，做好学员信息保密工作。</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须拥有残疾人技能培训相关项目实施经验，具备成熟的教学组织与运营服务能力；线下培训场地需按规范配置无障碍通行通道、无障碍卫生间、防滑地面、低位实训操作台、无障碍指引标识等配套设施，满足各类残疾人参训的无障碍使用需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5.1服务期限：自合同签订之日起3个月内（如遇不可抗力因素，视情况协商而定）。 5.2本次服务人数为500人（省级培训300人，面向陕西省户籍；市级培训200人，面向西安市户籍）。 5.3付款条件说明：按实际服务对象的人数据实结算；服务费用采取转账方式支付（具体以财政局拨付时间为准），达到付款条件起30日内，支付合同总金额的100.00%。 1）、结算方式：银行转账。 2）、结算单位：由甲方负责结算，乙方开具合同总价数的全额发票交甲方。 5.4 验收标准和依据一、验收依据 以项目实施方案、服务合同约定、残疾人职业技能培训相关规范。 二、验收标准 通过系统化教学，保障参训残疾人熟练掌握至少1项职业技能或生活实用技术，职业素养、岗位实操能力得到切实提升，具备就业、灵活务工、自主创业的基础条件，推动参训人员实现就业增收。整体考核合格率不得低于80%；合格率未达标的，视为培训成果不达标，按合同约定执行整改或扣减款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1.供应商需配合主管部门开展项目检查、绩效评估，妥善保管学员档案，做好残疾人信息保密工作。 2.项目全部费用包含在投标报价内，不得转包项目，培训相关资料权属归采购单位。 3.本项目采用固定预算报价，价格不作竞争。各供应商须严格按照采购预算总价（75万元）及单价（每人1500元）进行响应报价，不得高于或低于规定金额。否则按无效标处理。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满足项目实际需求。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自合同签订之日起3个月内（如遇不可抗力因素，视情况协商而定）。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进度款，按实际服务对象的人数据实结算；服务费用采取转账方式支付（具体以财政局拨付时间为准），达到付款条件起30个工作日内，支付合同总金额的100.0%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竞争性磋商响应文件。提交二次报价，二次报价环节须将二次报价表盖章作为附件进行上传。 2.成交通知书发出后，成交供应商须向采购人提交竞争性磋商响应文件纸质版一份（纸质版响应文件与电子版响应文件保持一致）。 3.采购文件2.6.1内容为电子化交易系统采购文件模板，无法修改。根据陕西省财政厅关于持续优化政府采购营商环境有关事项的通知--陕财办采〔2024〕9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法定代表人参加投标的，须提供法人身份证明及本人身份证复印件；法定代表人授权他人参加投标的，须提供法定代表人授权委托书。采购文件中凡是需要法定代表人盖章之处，非法人单位的负责人均参照执行。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单价不得超过单价限价，总价不超过采购预算或最高限价。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商务应答表.docx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培训内容与课程设置方案；②学员管理和培训服务的管理制度及方案；③服务质量管控方案；④培训场地、设施设备方案；⑤安全管理服务方案；⑥工作部署及进度方案；⑦突发事件应急处理方案；⑧考核评估与证书发放；⑨学院档案管理及保密方案；⑩后续支持与就业对接方案。对以上10项内容分别进行评审，评审标准如下： 方案全面、合理、规范，可操作性强得4分； 方案比较合理和规范，有较强的可操作性得3分； 方案基本合理，有一定的可操作性得2分； 方案基本合理，可操作性不强得1分。 未提供相关内容不得分。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师资力量与资源配置方案</w:t>
            </w:r>
          </w:p>
        </w:tc>
        <w:tc>
          <w:tcPr>
            <w:tcW w:type="dxa" w:w="2492"/>
          </w:tcPr>
          <w:p>
            <w:pPr>
              <w:pStyle w:val="null3"/>
            </w:pPr>
            <w:r>
              <w:rPr>
                <w:rFonts w:ascii="仿宋_GB2312" w:hAnsi="仿宋_GB2312" w:cs="仿宋_GB2312" w:eastAsia="仿宋_GB2312"/>
              </w:rPr>
              <w:t>针对本项目提供具体可行的人员配置方案，包括：项目机构设置、组成人员名单，实施人员岗位职责及经验；评审标准：项目组成人员配备5名相关专业人员得基本分10分，在此基础上每增加1名人员加2分，本项最高计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供应商提供2021年1月1体至今（以合同签订日期为准）类似项目业绩。响应文件中附加盖公章的完整的合同或协议复印件，否则不作为评审依据），每提供一份有效业绩得4分，最多得40分。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