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F1B0D">
      <w:pPr>
        <w:spacing w:before="120" w:line="360" w:lineRule="auto"/>
        <w:jc w:val="center"/>
        <w:outlineLvl w:val="0"/>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政 府 采 购 合 同</w:t>
      </w:r>
    </w:p>
    <w:p w14:paraId="5763E3EF">
      <w:pPr>
        <w:spacing w:before="120" w:line="360" w:lineRule="auto"/>
        <w:jc w:val="center"/>
        <w:rPr>
          <w:rFonts w:hint="eastAsia" w:ascii="宋体" w:hAnsi="宋体" w:eastAsia="宋体" w:cs="宋体"/>
          <w:color w:val="auto"/>
          <w:sz w:val="28"/>
          <w:szCs w:val="28"/>
          <w:highlight w:val="none"/>
          <w:lang w:eastAsia="zh-CN"/>
        </w:rPr>
      </w:pPr>
      <w:r>
        <w:rPr>
          <w:rFonts w:hint="eastAsia" w:cs="宋体"/>
          <w:color w:val="auto"/>
          <w:sz w:val="28"/>
          <w:szCs w:val="28"/>
          <w:highlight w:val="none"/>
          <w:lang w:eastAsia="zh-CN"/>
        </w:rPr>
        <w:t>（参考文本）</w:t>
      </w:r>
    </w:p>
    <w:p w14:paraId="737219B8">
      <w:pPr>
        <w:spacing w:before="120" w:line="360" w:lineRule="auto"/>
        <w:ind w:firstLine="3064" w:firstLineChars="1090"/>
        <w:outlineLvl w:val="0"/>
        <w:rPr>
          <w:rFonts w:hint="eastAsia" w:ascii="宋体" w:hAnsi="宋体" w:eastAsia="宋体" w:cs="宋体"/>
          <w:b/>
          <w:bCs/>
          <w:color w:val="auto"/>
          <w:sz w:val="28"/>
          <w:szCs w:val="28"/>
          <w:highlight w:val="none"/>
        </w:rPr>
      </w:pPr>
    </w:p>
    <w:p w14:paraId="1A481F3A">
      <w:pPr>
        <w:spacing w:before="120" w:line="360" w:lineRule="auto"/>
        <w:ind w:firstLine="3064" w:firstLineChars="1090"/>
        <w:outlineLvl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合同编号：</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0DB86307">
      <w:pPr>
        <w:pStyle w:val="2"/>
        <w:spacing w:before="120" w:line="360" w:lineRule="auto"/>
        <w:ind w:firstLine="0"/>
        <w:rPr>
          <w:rFonts w:hint="eastAsia" w:ascii="宋体" w:hAnsi="宋体" w:eastAsia="宋体" w:cs="宋体"/>
          <w:color w:val="auto"/>
          <w:sz w:val="28"/>
          <w:szCs w:val="28"/>
          <w:highlight w:val="none"/>
        </w:rPr>
      </w:pPr>
    </w:p>
    <w:p w14:paraId="02781BC2">
      <w:pPr>
        <w:spacing w:before="120" w:line="360" w:lineRule="auto"/>
        <w:rPr>
          <w:rFonts w:hint="eastAsia" w:ascii="宋体" w:hAnsi="宋体" w:eastAsia="宋体" w:cs="宋体"/>
          <w:b/>
          <w:bCs/>
          <w:color w:val="auto"/>
          <w:sz w:val="28"/>
          <w:szCs w:val="28"/>
          <w:highlight w:val="none"/>
        </w:rPr>
      </w:pPr>
    </w:p>
    <w:p w14:paraId="4A0ED750">
      <w:pPr>
        <w:pStyle w:val="3"/>
        <w:spacing w:line="360" w:lineRule="auto"/>
        <w:rPr>
          <w:rFonts w:hint="eastAsia" w:ascii="宋体" w:hAnsi="宋体" w:eastAsia="宋体" w:cs="宋体"/>
          <w:b/>
          <w:bCs/>
          <w:color w:val="auto"/>
          <w:sz w:val="28"/>
          <w:szCs w:val="28"/>
          <w:highlight w:val="none"/>
        </w:rPr>
      </w:pPr>
    </w:p>
    <w:p w14:paraId="21C1368E">
      <w:pPr>
        <w:spacing w:line="360" w:lineRule="auto"/>
        <w:rPr>
          <w:rFonts w:hint="eastAsia" w:ascii="宋体" w:hAnsi="宋体" w:eastAsia="宋体" w:cs="宋体"/>
          <w:b/>
          <w:bCs/>
          <w:color w:val="auto"/>
          <w:sz w:val="28"/>
          <w:szCs w:val="28"/>
          <w:highlight w:val="none"/>
        </w:rPr>
      </w:pPr>
    </w:p>
    <w:p w14:paraId="2E5733F1">
      <w:pPr>
        <w:pStyle w:val="3"/>
        <w:spacing w:line="360" w:lineRule="auto"/>
        <w:rPr>
          <w:rFonts w:hint="eastAsia" w:ascii="宋体" w:hAnsi="宋体" w:eastAsia="宋体" w:cs="宋体"/>
          <w:color w:val="auto"/>
          <w:highlight w:val="none"/>
        </w:rPr>
      </w:pPr>
    </w:p>
    <w:p w14:paraId="7F54A9C0">
      <w:pPr>
        <w:spacing w:before="120" w:line="360" w:lineRule="auto"/>
        <w:ind w:left="960"/>
        <w:outlineLvl w:val="0"/>
        <w:rPr>
          <w:rFonts w:hint="eastAsia" w:ascii="宋体" w:hAnsi="宋体" w:eastAsia="宋体" w:cs="宋体"/>
          <w:b/>
          <w:bCs/>
          <w:color w:val="auto"/>
          <w:sz w:val="28"/>
          <w:szCs w:val="28"/>
          <w:highlight w:val="none"/>
        </w:rPr>
      </w:pPr>
    </w:p>
    <w:p w14:paraId="446E5DD9">
      <w:pPr>
        <w:spacing w:before="120" w:line="360" w:lineRule="auto"/>
        <w:ind w:left="960"/>
        <w:outlineLvl w:val="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lang w:val="en-US" w:eastAsia="zh-CN"/>
        </w:rPr>
        <w:t xml:space="preserve">                                  </w:t>
      </w:r>
    </w:p>
    <w:p w14:paraId="3463B5EE">
      <w:pPr>
        <w:spacing w:before="120" w:line="360" w:lineRule="auto"/>
        <w:ind w:left="960"/>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采购人</w:t>
      </w:r>
      <w:r>
        <w:rPr>
          <w:rFonts w:hint="eastAsia" w:ascii="宋体" w:hAnsi="宋体" w:eastAsia="宋体" w:cs="宋体"/>
          <w:b/>
          <w:bCs/>
          <w:color w:val="auto"/>
          <w:sz w:val="28"/>
          <w:szCs w:val="28"/>
          <w:highlight w:val="none"/>
          <w:lang w:eastAsia="zh-CN"/>
        </w:rPr>
        <w:t>（甲方）</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5795DA08">
      <w:pPr>
        <w:spacing w:before="120" w:line="360" w:lineRule="auto"/>
        <w:ind w:left="960"/>
        <w:outlineLvl w:val="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lang w:val="en-US" w:eastAsia="zh-CN"/>
        </w:rPr>
        <w:t>成交供应商（</w:t>
      </w:r>
      <w:r>
        <w:rPr>
          <w:rFonts w:hint="eastAsia" w:ascii="宋体" w:hAnsi="宋体" w:eastAsia="宋体" w:cs="宋体"/>
          <w:b/>
          <w:bCs/>
          <w:color w:val="auto"/>
          <w:sz w:val="28"/>
          <w:szCs w:val="28"/>
          <w:highlight w:val="none"/>
          <w:lang w:eastAsia="zh-CN"/>
        </w:rPr>
        <w:t>乙方</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4C749CDF">
      <w:pPr>
        <w:spacing w:before="120" w:line="360" w:lineRule="auto"/>
        <w:ind w:left="960"/>
        <w:outlineLvl w:val="0"/>
        <w:rPr>
          <w:rFonts w:hint="eastAsia"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val="en-US" w:eastAsia="zh-CN"/>
        </w:rPr>
        <w:t>签署地点 ：</w:t>
      </w:r>
      <w:r>
        <w:rPr>
          <w:rFonts w:hint="eastAsia" w:ascii="宋体" w:hAnsi="宋体" w:eastAsia="宋体" w:cs="宋体"/>
          <w:b/>
          <w:bCs/>
          <w:color w:val="auto"/>
          <w:sz w:val="28"/>
          <w:szCs w:val="28"/>
          <w:highlight w:val="none"/>
          <w:u w:val="single"/>
          <w:lang w:val="en-US" w:eastAsia="zh-CN"/>
        </w:rPr>
        <w:t xml:space="preserve">                                     </w:t>
      </w:r>
    </w:p>
    <w:p w14:paraId="6372287D">
      <w:pPr>
        <w:spacing w:line="600" w:lineRule="exact"/>
        <w:jc w:val="both"/>
        <w:rPr>
          <w:rFonts w:hint="eastAsia" w:ascii="方正小标宋简体" w:hAnsi="方正小标宋简体" w:eastAsia="方正小标宋简体"/>
          <w:b w:val="0"/>
          <w:bCs/>
          <w:color w:val="2B2B2B"/>
          <w:sz w:val="44"/>
          <w:szCs w:val="44"/>
          <w:shd w:val="clear" w:color="auto" w:fill="FFFFFF"/>
          <w:lang w:val="en-US" w:eastAsia="zh-CN"/>
        </w:rPr>
        <w:sectPr>
          <w:footerReference r:id="rId3" w:type="default"/>
          <w:pgSz w:w="11906" w:h="16838"/>
          <w:pgMar w:top="1440" w:right="1588" w:bottom="1440" w:left="1474" w:header="851" w:footer="992" w:gutter="0"/>
          <w:cols w:space="720" w:num="1"/>
          <w:docGrid w:type="lines" w:linePitch="498" w:charSpace="0"/>
        </w:sectPr>
      </w:pPr>
    </w:p>
    <w:p w14:paraId="74CA3E50">
      <w:pPr>
        <w:spacing w:line="560" w:lineRule="atLeast"/>
        <w:jc w:val="left"/>
        <w:rPr>
          <w:rFonts w:hint="eastAsia" w:ascii="仿宋" w:hAnsi="仿宋" w:eastAsia="仿宋" w:cs="仿宋"/>
          <w:sz w:val="28"/>
          <w:szCs w:val="28"/>
        </w:rPr>
      </w:pPr>
      <w:r>
        <w:rPr>
          <w:rFonts w:hint="eastAsia" w:ascii="仿宋" w:hAnsi="仿宋" w:eastAsia="仿宋" w:cs="仿宋"/>
          <w:sz w:val="28"/>
          <w:szCs w:val="28"/>
        </w:rPr>
        <w:t>甲  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0985D875">
      <w:pPr>
        <w:spacing w:line="560" w:lineRule="atLeast"/>
        <w:jc w:val="left"/>
        <w:rPr>
          <w:rFonts w:hint="eastAsia" w:ascii="仿宋" w:hAnsi="仿宋" w:eastAsia="仿宋" w:cs="仿宋"/>
          <w:sz w:val="28"/>
          <w:szCs w:val="28"/>
        </w:rPr>
      </w:pPr>
      <w:r>
        <w:rPr>
          <w:rFonts w:hint="eastAsia" w:ascii="仿宋" w:hAnsi="仿宋" w:eastAsia="仿宋" w:cs="仿宋"/>
          <w:sz w:val="28"/>
          <w:szCs w:val="28"/>
        </w:rPr>
        <w:t>乙  方</w:t>
      </w:r>
      <w:r>
        <w:rPr>
          <w:rFonts w:hint="eastAsia" w:ascii="仿宋" w:hAnsi="仿宋" w:eastAsia="仿宋" w:cs="仿宋"/>
          <w:sz w:val="28"/>
          <w:szCs w:val="28"/>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30D18E50">
      <w:pPr>
        <w:pStyle w:val="3"/>
        <w:keepNext w:val="0"/>
        <w:keepLines w:val="0"/>
        <w:pageBreakBefore w:val="0"/>
        <w:widowControl w:val="0"/>
        <w:kinsoku/>
        <w:wordWrap/>
        <w:overflowPunct/>
        <w:topLinePunct w:val="0"/>
        <w:autoSpaceDE/>
        <w:autoSpaceDN/>
        <w:bidi w:val="0"/>
        <w:adjustRightInd/>
        <w:snapToGrid/>
        <w:spacing w:before="500" w:beforeLines="100" w:line="240" w:lineRule="auto"/>
        <w:ind w:firstLine="560" w:firstLineChars="200"/>
        <w:textAlignment w:val="auto"/>
        <w:rPr>
          <w:rFonts w:hint="eastAsia" w:ascii="仿宋" w:hAnsi="仿宋" w:eastAsia="仿宋" w:cs="仿宋"/>
          <w:kern w:val="2"/>
          <w:sz w:val="28"/>
          <w:szCs w:val="28"/>
          <w:lang w:val="zh-CN" w:eastAsia="zh-CN" w:bidi="ar-SA"/>
        </w:rPr>
      </w:pPr>
      <w:r>
        <w:rPr>
          <w:rFonts w:hint="eastAsia" w:ascii="仿宋" w:hAnsi="仿宋" w:eastAsia="仿宋" w:cs="仿宋"/>
          <w:kern w:val="2"/>
          <w:sz w:val="28"/>
          <w:szCs w:val="28"/>
          <w:lang w:val="zh-CN" w:eastAsia="zh-CN" w:bidi="ar-SA"/>
        </w:rPr>
        <w:t>依据《中华人民共和国民法典》和《中华人民共和国政府采购法》等有关要求，甲、乙双方遵循平等、自愿、公平和诚信的原则，经双方协商，现就2026年残疾人职业技能和实用技术培训项目有关事宜签订合同如下：</w:t>
      </w:r>
      <w:bookmarkStart w:id="0" w:name="_GoBack"/>
      <w:bookmarkEnd w:id="0"/>
    </w:p>
    <w:p w14:paraId="241F1026">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rPr>
      </w:pPr>
      <w:r>
        <w:rPr>
          <w:rFonts w:hint="eastAsia" w:ascii="仿宋" w:hAnsi="仿宋" w:eastAsia="仿宋" w:cs="仿宋"/>
          <w:b/>
          <w:bCs w:val="0"/>
          <w:color w:val="000000"/>
          <w:sz w:val="30"/>
          <w:szCs w:val="30"/>
          <w:lang w:val="en-US" w:eastAsia="zh-CN"/>
        </w:rPr>
        <w:t>一</w:t>
      </w:r>
      <w:r>
        <w:rPr>
          <w:rFonts w:hint="eastAsia" w:ascii="仿宋" w:hAnsi="仿宋" w:eastAsia="仿宋" w:cs="仿宋"/>
          <w:b/>
          <w:bCs w:val="0"/>
          <w:color w:val="000000"/>
          <w:sz w:val="30"/>
          <w:szCs w:val="30"/>
          <w:lang w:eastAsia="zh-CN"/>
        </w:rPr>
        <w:t>、</w:t>
      </w:r>
      <w:r>
        <w:rPr>
          <w:rFonts w:hint="eastAsia" w:ascii="仿宋" w:hAnsi="仿宋" w:eastAsia="仿宋" w:cs="仿宋"/>
          <w:b/>
          <w:bCs w:val="0"/>
          <w:color w:val="000000"/>
          <w:sz w:val="30"/>
          <w:szCs w:val="30"/>
        </w:rPr>
        <w:t>合作内容</w:t>
      </w:r>
    </w:p>
    <w:p w14:paraId="561B6035">
      <w:pPr>
        <w:keepNext w:val="0"/>
        <w:keepLines w:val="0"/>
        <w:pageBreakBefore w:val="0"/>
        <w:widowControl w:val="0"/>
        <w:kinsoku/>
        <w:wordWrap/>
        <w:overflowPunct/>
        <w:topLinePunct w:val="0"/>
        <w:autoSpaceDE/>
        <w:autoSpaceDN/>
        <w:bidi w:val="0"/>
        <w:snapToGrid/>
        <w:spacing w:line="24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甲方为</w:t>
      </w:r>
      <w:r>
        <w:rPr>
          <w:rFonts w:hint="eastAsia" w:ascii="仿宋" w:hAnsi="仿宋" w:eastAsia="仿宋" w:cs="仿宋"/>
          <w:color w:val="000000"/>
          <w:sz w:val="28"/>
          <w:szCs w:val="28"/>
          <w:lang w:val="en-US" w:eastAsia="zh-CN"/>
        </w:rPr>
        <w:t>培训</w:t>
      </w:r>
      <w:r>
        <w:rPr>
          <w:rFonts w:hint="eastAsia" w:ascii="仿宋" w:hAnsi="仿宋" w:eastAsia="仿宋" w:cs="仿宋"/>
          <w:color w:val="000000"/>
          <w:sz w:val="28"/>
          <w:szCs w:val="28"/>
        </w:rPr>
        <w:t>主办方，乙方为</w:t>
      </w:r>
      <w:r>
        <w:rPr>
          <w:rFonts w:hint="eastAsia" w:ascii="仿宋" w:hAnsi="仿宋" w:eastAsia="仿宋" w:cs="仿宋"/>
          <w:color w:val="000000"/>
          <w:sz w:val="28"/>
          <w:szCs w:val="28"/>
          <w:lang w:val="en-US" w:eastAsia="zh-CN"/>
        </w:rPr>
        <w:t>培训</w:t>
      </w:r>
      <w:r>
        <w:rPr>
          <w:rFonts w:hint="eastAsia" w:ascii="仿宋" w:hAnsi="仿宋" w:eastAsia="仿宋" w:cs="仿宋"/>
          <w:color w:val="000000"/>
          <w:sz w:val="28"/>
          <w:szCs w:val="28"/>
        </w:rPr>
        <w:t>的具体承办方。</w:t>
      </w:r>
    </w:p>
    <w:p w14:paraId="2924B57B">
      <w:pPr>
        <w:keepNext w:val="0"/>
        <w:keepLines w:val="0"/>
        <w:pageBreakBefore w:val="0"/>
        <w:widowControl w:val="0"/>
        <w:kinsoku/>
        <w:wordWrap/>
        <w:overflowPunct/>
        <w:topLinePunct w:val="0"/>
        <w:autoSpaceDE/>
        <w:autoSpaceDN/>
        <w:bidi w:val="0"/>
        <w:snapToGrid/>
        <w:spacing w:line="24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乙方</w:t>
      </w:r>
      <w:r>
        <w:rPr>
          <w:rFonts w:hint="eastAsia" w:ascii="仿宋" w:hAnsi="仿宋" w:eastAsia="仿宋" w:cs="仿宋"/>
          <w:color w:val="000000"/>
          <w:sz w:val="28"/>
          <w:szCs w:val="28"/>
          <w:lang w:eastAsia="zh-CN"/>
        </w:rPr>
        <w:t>受</w:t>
      </w:r>
      <w:r>
        <w:rPr>
          <w:rFonts w:hint="eastAsia" w:ascii="仿宋" w:hAnsi="仿宋" w:eastAsia="仿宋" w:cs="仿宋"/>
          <w:color w:val="000000"/>
          <w:sz w:val="28"/>
          <w:szCs w:val="28"/>
        </w:rPr>
        <w:t>甲方</w:t>
      </w:r>
      <w:r>
        <w:rPr>
          <w:rFonts w:hint="eastAsia" w:ascii="仿宋" w:hAnsi="仿宋" w:eastAsia="仿宋" w:cs="仿宋"/>
          <w:color w:val="000000"/>
          <w:sz w:val="28"/>
          <w:szCs w:val="28"/>
          <w:lang w:eastAsia="zh-CN"/>
        </w:rPr>
        <w:t>委托</w:t>
      </w:r>
      <w:r>
        <w:rPr>
          <w:rFonts w:hint="eastAsia" w:ascii="仿宋" w:hAnsi="仿宋" w:eastAsia="仿宋" w:cs="仿宋"/>
          <w:color w:val="000000"/>
          <w:sz w:val="28"/>
          <w:szCs w:val="28"/>
        </w:rPr>
        <w:t>举办</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color w:val="000000"/>
          <w:sz w:val="28"/>
          <w:szCs w:val="28"/>
          <w:lang w:val="en-US" w:eastAsia="zh-CN"/>
        </w:rPr>
        <w:t>，培训人数为</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lang w:val="en-US" w:eastAsia="zh-CN"/>
        </w:rPr>
        <w:t>人</w:t>
      </w:r>
      <w:r>
        <w:rPr>
          <w:rFonts w:hint="eastAsia" w:ascii="仿宋" w:hAnsi="仿宋" w:eastAsia="仿宋" w:cs="仿宋"/>
          <w:color w:val="000000"/>
          <w:sz w:val="28"/>
          <w:szCs w:val="28"/>
        </w:rPr>
        <w:t>。</w:t>
      </w:r>
    </w:p>
    <w:p w14:paraId="27118306">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二、服务期限</w:t>
      </w:r>
    </w:p>
    <w:p w14:paraId="1DFBFD0D">
      <w:pPr>
        <w:keepNext w:val="0"/>
        <w:keepLines w:val="0"/>
        <w:pageBreakBefore w:val="0"/>
        <w:kinsoku/>
        <w:overflowPunct/>
        <w:topLinePunct w:val="0"/>
        <w:bidi w:val="0"/>
        <w:spacing w:line="240" w:lineRule="auto"/>
        <w:ind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自合同签订之日起3个月内（如遇不可抗力因素，视情况协商而定）。</w:t>
      </w:r>
    </w:p>
    <w:p w14:paraId="3CC40144">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三、合同价款</w:t>
      </w:r>
    </w:p>
    <w:p w14:paraId="5E649715">
      <w:pPr>
        <w:keepNext w:val="0"/>
        <w:keepLines w:val="0"/>
        <w:pageBreakBefore w:val="0"/>
        <w:widowControl w:val="0"/>
        <w:numPr>
          <w:ilvl w:val="0"/>
          <w:numId w:val="0"/>
        </w:numPr>
        <w:tabs>
          <w:tab w:val="left" w:pos="480"/>
        </w:tabs>
        <w:kinsoku/>
        <w:wordWrap w:val="0"/>
        <w:overflowPunct/>
        <w:topLinePunct w:val="0"/>
        <w:autoSpaceDE/>
        <w:autoSpaceDN/>
        <w:bidi w:val="0"/>
        <w:adjustRightInd/>
        <w:snapToGrid/>
        <w:spacing w:line="240" w:lineRule="auto"/>
        <w:ind w:left="638" w:leftChars="304" w:firstLine="0" w:firstLineChars="0"/>
        <w:jc w:val="left"/>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
        </w:rPr>
        <w:t>1.</w:t>
      </w:r>
      <w:r>
        <w:rPr>
          <w:rFonts w:hint="eastAsia" w:ascii="仿宋" w:hAnsi="仿宋" w:eastAsia="仿宋" w:cs="仿宋"/>
          <w:sz w:val="28"/>
          <w:szCs w:val="28"/>
        </w:rPr>
        <w:t>合同总价款为人民币</w:t>
      </w:r>
      <w:r>
        <w:rPr>
          <w:rFonts w:hint="eastAsia" w:ascii="仿宋" w:hAnsi="仿宋" w:eastAsia="仿宋" w:cs="仿宋"/>
          <w:sz w:val="28"/>
          <w:szCs w:val="28"/>
          <w:lang w:eastAsia="zh-CN"/>
        </w:rPr>
        <w:t>（含税）</w:t>
      </w:r>
      <w:r>
        <w:rPr>
          <w:rFonts w:hint="eastAsia" w:ascii="仿宋" w:hAnsi="仿宋" w:eastAsia="仿宋" w:cs="仿宋"/>
          <w:sz w:val="28"/>
          <w:szCs w:val="28"/>
        </w:rPr>
        <w:t>（大写）</w:t>
      </w:r>
      <w:r>
        <w:rPr>
          <w:rFonts w:hint="eastAsia" w:ascii="仿宋" w:hAnsi="仿宋" w:eastAsia="仿宋" w:cs="仿宋"/>
          <w:sz w:val="28"/>
          <w:szCs w:val="28"/>
          <w:u w:val="single"/>
          <w:lang w:val="en-US" w:eastAsia="zh-CN"/>
        </w:rPr>
        <w:t xml:space="preserve">                </w:t>
      </w:r>
    </w:p>
    <w:p w14:paraId="50845BD1">
      <w:pPr>
        <w:keepNext w:val="0"/>
        <w:keepLines w:val="0"/>
        <w:pageBreakBefore w:val="0"/>
        <w:widowControl w:val="0"/>
        <w:numPr>
          <w:ilvl w:val="0"/>
          <w:numId w:val="0"/>
        </w:numPr>
        <w:tabs>
          <w:tab w:val="left" w:pos="480"/>
        </w:tabs>
        <w:kinsoku/>
        <w:wordWrap w:val="0"/>
        <w:overflowPunct/>
        <w:topLinePunct w:val="0"/>
        <w:autoSpaceDE/>
        <w:autoSpaceDN/>
        <w:bidi w:val="0"/>
        <w:adjustRightInd/>
        <w:snapToGrid/>
        <w:spacing w:line="240" w:lineRule="auto"/>
        <w:jc w:val="left"/>
        <w:textAlignment w:val="auto"/>
        <w:rPr>
          <w:rFonts w:hint="eastAsia" w:ascii="仿宋" w:hAnsi="仿宋" w:eastAsia="仿宋" w:cs="仿宋"/>
          <w:sz w:val="28"/>
          <w:szCs w:val="28"/>
          <w:lang w:val="en"/>
        </w:rPr>
      </w:pPr>
      <w:r>
        <w:rPr>
          <w:rFonts w:hint="eastAsia" w:ascii="仿宋" w:hAnsi="仿宋" w:eastAsia="仿宋" w:cs="仿宋"/>
          <w:sz w:val="28"/>
          <w:szCs w:val="28"/>
        </w:rPr>
        <w:t>（￥</w:t>
      </w:r>
      <w:r>
        <w:rPr>
          <w:rFonts w:hint="eastAsia" w:ascii="仿宋" w:hAnsi="仿宋" w:eastAsia="仿宋" w:cs="仿宋"/>
          <w:i w:val="0"/>
          <w:iCs w:val="0"/>
          <w:color w:val="000000"/>
          <w:kern w:val="0"/>
          <w:sz w:val="28"/>
          <w:szCs w:val="28"/>
          <w:u w:val="single"/>
          <w:lang w:val="en-US" w:eastAsia="zh-CN" w:bidi="ar"/>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，按实际服务对象的人数据实结算</w:t>
      </w:r>
      <w:r>
        <w:rPr>
          <w:rFonts w:hint="eastAsia" w:ascii="仿宋" w:hAnsi="仿宋" w:eastAsia="仿宋" w:cs="仿宋"/>
          <w:sz w:val="28"/>
          <w:szCs w:val="28"/>
        </w:rPr>
        <w:t>。</w:t>
      </w:r>
    </w:p>
    <w:p w14:paraId="5D6A3221">
      <w:pPr>
        <w:keepNext w:val="0"/>
        <w:keepLines w:val="0"/>
        <w:pageBreakBefore w:val="0"/>
        <w:tabs>
          <w:tab w:val="left" w:pos="480"/>
        </w:tabs>
        <w:kinsoku/>
        <w:overflowPunct/>
        <w:topLinePunct w:val="0"/>
        <w:bidi w:val="0"/>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
        </w:rPr>
        <w:t>.</w:t>
      </w:r>
      <w:r>
        <w:rPr>
          <w:rFonts w:hint="eastAsia" w:ascii="仿宋" w:hAnsi="仿宋" w:eastAsia="仿宋" w:cs="仿宋"/>
          <w:sz w:val="28"/>
          <w:szCs w:val="28"/>
        </w:rPr>
        <w:t>合同总价包括：</w:t>
      </w:r>
      <w:r>
        <w:rPr>
          <w:rFonts w:hint="eastAsia" w:ascii="仿宋" w:hAnsi="仿宋" w:eastAsia="仿宋" w:cs="仿宋"/>
          <w:sz w:val="28"/>
          <w:szCs w:val="28"/>
          <w:lang w:val="en-US" w:eastAsia="zh-CN"/>
        </w:rPr>
        <w:t>课时</w:t>
      </w:r>
      <w:r>
        <w:rPr>
          <w:rFonts w:hint="eastAsia" w:ascii="仿宋" w:hAnsi="仿宋" w:eastAsia="仿宋" w:cs="仿宋"/>
          <w:sz w:val="28"/>
          <w:szCs w:val="28"/>
        </w:rPr>
        <w:t>费、</w:t>
      </w:r>
      <w:r>
        <w:rPr>
          <w:rFonts w:hint="eastAsia" w:ascii="仿宋" w:hAnsi="仿宋" w:eastAsia="仿宋" w:cs="仿宋"/>
          <w:sz w:val="28"/>
          <w:szCs w:val="28"/>
          <w:lang w:val="en-US" w:eastAsia="zh-CN"/>
        </w:rPr>
        <w:t>午餐交通补贴</w:t>
      </w:r>
      <w:r>
        <w:rPr>
          <w:rFonts w:hint="eastAsia" w:ascii="仿宋" w:hAnsi="仿宋" w:eastAsia="仿宋" w:cs="仿宋"/>
          <w:sz w:val="28"/>
          <w:szCs w:val="28"/>
        </w:rPr>
        <w:t>、</w:t>
      </w:r>
      <w:r>
        <w:rPr>
          <w:rFonts w:hint="eastAsia" w:ascii="仿宋" w:hAnsi="仿宋" w:eastAsia="仿宋" w:cs="仿宋"/>
          <w:sz w:val="28"/>
          <w:szCs w:val="28"/>
          <w:lang w:val="en-US" w:eastAsia="zh-CN"/>
        </w:rPr>
        <w:t>保险费、教辅材料费、培训资料、教材费、教学工具、材料费、结业证、场地费</w:t>
      </w:r>
      <w:r>
        <w:rPr>
          <w:rFonts w:hint="eastAsia" w:ascii="仿宋" w:hAnsi="仿宋" w:eastAsia="仿宋" w:cs="仿宋"/>
          <w:sz w:val="28"/>
          <w:szCs w:val="28"/>
        </w:rPr>
        <w:t>等</w:t>
      </w:r>
      <w:r>
        <w:rPr>
          <w:rFonts w:hint="eastAsia" w:ascii="仿宋" w:hAnsi="仿宋" w:eastAsia="仿宋" w:cs="仿宋"/>
          <w:sz w:val="28"/>
          <w:szCs w:val="28"/>
          <w:lang w:eastAsia="zh-CN"/>
        </w:rPr>
        <w:t>全部费用</w:t>
      </w:r>
      <w:r>
        <w:rPr>
          <w:rFonts w:hint="eastAsia" w:ascii="仿宋" w:hAnsi="仿宋" w:eastAsia="仿宋" w:cs="仿宋"/>
          <w:sz w:val="28"/>
          <w:szCs w:val="28"/>
        </w:rPr>
        <w:t>。</w:t>
      </w:r>
      <w:r>
        <w:rPr>
          <w:rFonts w:hint="eastAsia" w:ascii="仿宋" w:hAnsi="仿宋" w:eastAsia="仿宋" w:cs="仿宋"/>
          <w:sz w:val="28"/>
          <w:szCs w:val="28"/>
          <w:lang w:eastAsia="zh-CN"/>
        </w:rPr>
        <w:t>乙方提供培训服务所发生的一切税费及乙方完成本合同约定全部工作内容所需费用等都已包含于上述合同总价款中，该价款不受市场价格增长而增加，乙方不得提出费用增加要求。</w:t>
      </w:r>
    </w:p>
    <w:p w14:paraId="704F46F5">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四、款项结算</w:t>
      </w:r>
    </w:p>
    <w:p w14:paraId="279B9AD0">
      <w:pPr>
        <w:pStyle w:val="3"/>
        <w:keepNext w:val="0"/>
        <w:keepLines w:val="0"/>
        <w:pageBreakBefore w:val="0"/>
        <w:tabs>
          <w:tab w:val="left" w:pos="3822"/>
        </w:tabs>
        <w:kinsoku/>
        <w:overflowPunct/>
        <w:topLinePunct w:val="0"/>
        <w:bidi w:val="0"/>
        <w:spacing w:before="140" w:line="240" w:lineRule="auto"/>
        <w:ind w:firstLine="560" w:firstLineChars="200"/>
        <w:textAlignment w:val="auto"/>
        <w:rPr>
          <w:rFonts w:hint="eastAsia" w:ascii="仿宋" w:hAnsi="仿宋" w:eastAsia="仿宋" w:cs="仿宋"/>
          <w:sz w:val="28"/>
          <w:szCs w:val="28"/>
          <w:u w:val="none"/>
          <w:lang w:val="en-US"/>
        </w:rPr>
      </w:pPr>
      <w:r>
        <w:rPr>
          <w:rFonts w:hint="eastAsia" w:ascii="仿宋" w:hAnsi="仿宋" w:eastAsia="仿宋" w:cs="仿宋"/>
          <w:sz w:val="28"/>
          <w:szCs w:val="28"/>
          <w:lang w:val="en-US" w:eastAsia="zh-CN"/>
        </w:rPr>
        <w:t>1.付款方式：</w:t>
      </w:r>
      <w:r>
        <w:rPr>
          <w:rFonts w:hint="eastAsia" w:ascii="仿宋" w:hAnsi="仿宋" w:eastAsia="仿宋" w:cs="仿宋"/>
          <w:kern w:val="2"/>
          <w:sz w:val="28"/>
          <w:szCs w:val="28"/>
          <w:lang w:val="en-US" w:eastAsia="zh-CN"/>
        </w:rPr>
        <w:t>按实际服务对象的人数据实结算；服务费用采取转账方式支付（具体以财政局拨付时间为准），达到付款条件起30日内，支付合同总金额的100.00%。</w:t>
      </w:r>
    </w:p>
    <w:p w14:paraId="186CFF2D">
      <w:pPr>
        <w:pStyle w:val="3"/>
        <w:keepNext w:val="0"/>
        <w:keepLines w:val="0"/>
        <w:pageBreakBefore w:val="0"/>
        <w:tabs>
          <w:tab w:val="left" w:pos="3822"/>
        </w:tabs>
        <w:kinsoku/>
        <w:overflowPunct/>
        <w:topLinePunct w:val="0"/>
        <w:bidi w:val="0"/>
        <w:spacing w:before="140"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2.乙方账户信息：</w:t>
      </w:r>
    </w:p>
    <w:p w14:paraId="19DCEE00">
      <w:pPr>
        <w:pStyle w:val="3"/>
        <w:keepNext w:val="0"/>
        <w:keepLines w:val="0"/>
        <w:pageBreakBefore w:val="0"/>
        <w:tabs>
          <w:tab w:val="left" w:pos="3822"/>
        </w:tabs>
        <w:kinsoku/>
        <w:overflowPunct/>
        <w:topLinePunct w:val="0"/>
        <w:bidi w:val="0"/>
        <w:spacing w:before="140" w:line="24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单位名称：</w:t>
      </w:r>
    </w:p>
    <w:p w14:paraId="53CF7822">
      <w:pPr>
        <w:keepNext w:val="0"/>
        <w:keepLines w:val="0"/>
        <w:pageBreakBefore w:val="0"/>
        <w:widowControl w:val="0"/>
        <w:tabs>
          <w:tab w:val="left" w:pos="480"/>
        </w:tabs>
        <w:kinsoku/>
        <w:wordWrap/>
        <w:overflowPunct/>
        <w:topLinePunct w:val="0"/>
        <w:autoSpaceDE/>
        <w:autoSpaceDN/>
        <w:bidi w:val="0"/>
        <w:snapToGrid/>
        <w:spacing w:line="24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开户银行：</w:t>
      </w:r>
    </w:p>
    <w:p w14:paraId="0B3A3214">
      <w:pPr>
        <w:keepNext w:val="0"/>
        <w:keepLines w:val="0"/>
        <w:pageBreakBefore w:val="0"/>
        <w:widowControl w:val="0"/>
        <w:tabs>
          <w:tab w:val="left" w:pos="480"/>
        </w:tabs>
        <w:kinsoku/>
        <w:wordWrap/>
        <w:overflowPunct/>
        <w:topLinePunct w:val="0"/>
        <w:autoSpaceDE/>
        <w:autoSpaceDN/>
        <w:bidi w:val="0"/>
        <w:snapToGrid/>
        <w:spacing w:line="24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账    号：</w:t>
      </w:r>
    </w:p>
    <w:p w14:paraId="144A8FEA">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五、质量保证</w:t>
      </w:r>
    </w:p>
    <w:p w14:paraId="4DB1EB31">
      <w:pPr>
        <w:keepNext w:val="0"/>
        <w:keepLines w:val="0"/>
        <w:pageBreakBefore w:val="0"/>
        <w:kinsoku/>
        <w:overflowPunct/>
        <w:topLinePunct w:val="0"/>
        <w:bidi w:val="0"/>
        <w:spacing w:beforeLines="0" w:afterLines="0" w:line="240" w:lineRule="auto"/>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w:t>
      </w:r>
      <w:r>
        <w:rPr>
          <w:rFonts w:hint="eastAsia" w:ascii="仿宋" w:hAnsi="仿宋" w:eastAsia="仿宋" w:cs="仿宋"/>
          <w:color w:val="auto"/>
          <w:sz w:val="28"/>
          <w:szCs w:val="28"/>
          <w:highlight w:val="none"/>
          <w:u w:val="none"/>
          <w:lang w:val="en-US" w:eastAsia="zh-CN"/>
        </w:rPr>
        <w:t>.</w:t>
      </w:r>
      <w:r>
        <w:rPr>
          <w:rFonts w:hint="eastAsia" w:ascii="仿宋" w:hAnsi="仿宋" w:eastAsia="仿宋" w:cs="仿宋"/>
          <w:color w:val="auto"/>
          <w:sz w:val="28"/>
          <w:szCs w:val="28"/>
          <w:highlight w:val="none"/>
          <w:u w:val="none"/>
        </w:rPr>
        <w:t>乙方提供的</w:t>
      </w:r>
      <w:r>
        <w:rPr>
          <w:rFonts w:hint="eastAsia" w:ascii="仿宋" w:hAnsi="仿宋" w:eastAsia="仿宋" w:cs="仿宋"/>
          <w:color w:val="auto"/>
          <w:sz w:val="28"/>
          <w:szCs w:val="28"/>
          <w:highlight w:val="none"/>
          <w:u w:val="none"/>
          <w:lang w:val="en-US" w:eastAsia="zh-CN"/>
        </w:rPr>
        <w:t>服务</w:t>
      </w:r>
      <w:r>
        <w:rPr>
          <w:rFonts w:hint="eastAsia" w:ascii="仿宋" w:hAnsi="仿宋" w:eastAsia="仿宋" w:cs="仿宋"/>
          <w:color w:val="auto"/>
          <w:sz w:val="28"/>
          <w:szCs w:val="28"/>
          <w:highlight w:val="none"/>
          <w:u w:val="none"/>
        </w:rPr>
        <w:t>必须保证符合国家</w:t>
      </w:r>
      <w:r>
        <w:rPr>
          <w:rFonts w:hint="eastAsia" w:ascii="仿宋" w:hAnsi="仿宋" w:eastAsia="仿宋" w:cs="仿宋"/>
          <w:color w:val="auto"/>
          <w:sz w:val="28"/>
          <w:szCs w:val="28"/>
          <w:highlight w:val="none"/>
          <w:u w:val="none"/>
          <w:lang w:val="en-US" w:eastAsia="zh-CN"/>
        </w:rPr>
        <w:t>及行业相关</w:t>
      </w:r>
      <w:r>
        <w:rPr>
          <w:rFonts w:hint="eastAsia" w:ascii="仿宋" w:hAnsi="仿宋" w:eastAsia="仿宋" w:cs="仿宋"/>
          <w:color w:val="auto"/>
          <w:sz w:val="28"/>
          <w:szCs w:val="28"/>
          <w:highlight w:val="none"/>
          <w:u w:val="none"/>
        </w:rPr>
        <w:t>标准和规定。</w:t>
      </w:r>
    </w:p>
    <w:p w14:paraId="1E89590F">
      <w:pPr>
        <w:keepNext w:val="0"/>
        <w:keepLines w:val="0"/>
        <w:pageBreakBefore w:val="0"/>
        <w:kinsoku/>
        <w:overflowPunct/>
        <w:topLinePunct w:val="0"/>
        <w:bidi w:val="0"/>
        <w:spacing w:beforeLines="0" w:afterLines="0" w:line="240" w:lineRule="auto"/>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w:t>
      </w:r>
      <w:r>
        <w:rPr>
          <w:rFonts w:hint="eastAsia" w:ascii="仿宋" w:hAnsi="仿宋" w:eastAsia="仿宋" w:cs="仿宋"/>
          <w:color w:val="auto"/>
          <w:sz w:val="28"/>
          <w:szCs w:val="28"/>
          <w:highlight w:val="none"/>
          <w:u w:val="none"/>
          <w:lang w:val="en-US" w:eastAsia="zh-CN"/>
        </w:rPr>
        <w:t>.</w:t>
      </w:r>
      <w:r>
        <w:rPr>
          <w:rFonts w:hint="eastAsia" w:ascii="仿宋" w:hAnsi="仿宋" w:eastAsia="仿宋" w:cs="仿宋"/>
          <w:color w:val="auto"/>
          <w:sz w:val="28"/>
          <w:szCs w:val="28"/>
          <w:highlight w:val="none"/>
          <w:u w:val="none"/>
        </w:rPr>
        <w:t>乙方提供</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sz w:val="28"/>
          <w:szCs w:val="28"/>
          <w:highlight w:val="none"/>
          <w:u w:val="none"/>
        </w:rPr>
        <w:t>服务必须满足</w:t>
      </w:r>
      <w:r>
        <w:rPr>
          <w:rFonts w:hint="eastAsia" w:ascii="仿宋" w:hAnsi="仿宋" w:eastAsia="仿宋" w:cs="仿宋"/>
          <w:color w:val="auto"/>
          <w:sz w:val="28"/>
          <w:szCs w:val="28"/>
          <w:highlight w:val="none"/>
          <w:u w:val="none"/>
          <w:lang w:eastAsia="zh-CN"/>
        </w:rPr>
        <w:t>竞争性磋商</w:t>
      </w:r>
      <w:r>
        <w:rPr>
          <w:rFonts w:hint="eastAsia" w:ascii="仿宋" w:hAnsi="仿宋" w:eastAsia="仿宋" w:cs="仿宋"/>
          <w:color w:val="auto"/>
          <w:sz w:val="28"/>
          <w:szCs w:val="28"/>
          <w:highlight w:val="none"/>
          <w:u w:val="none"/>
        </w:rPr>
        <w:t>文件要求及响应文件中相关内容。</w:t>
      </w:r>
    </w:p>
    <w:p w14:paraId="3211F9AD">
      <w:pPr>
        <w:keepNext w:val="0"/>
        <w:keepLines w:val="0"/>
        <w:pageBreakBefore w:val="0"/>
        <w:tabs>
          <w:tab w:val="center" w:pos="4498"/>
        </w:tabs>
        <w:kinsoku/>
        <w:overflowPunct/>
        <w:topLinePunct w:val="0"/>
        <w:autoSpaceDE w:val="0"/>
        <w:autoSpaceDN w:val="0"/>
        <w:bidi w:val="0"/>
        <w:adjustRightInd w:val="0"/>
        <w:spacing w:beforeLines="0" w:afterLines="0" w:line="240" w:lineRule="auto"/>
        <w:ind w:firstLine="560" w:firstLineChars="200"/>
        <w:textAlignment w:val="auto"/>
        <w:rPr>
          <w:rFonts w:hint="eastAsia" w:ascii="仿宋" w:hAnsi="仿宋" w:eastAsia="仿宋" w:cs="仿宋"/>
          <w:color w:val="auto"/>
          <w:kern w:val="2"/>
          <w:sz w:val="28"/>
          <w:szCs w:val="28"/>
          <w:highlight w:val="none"/>
          <w:u w:val="none"/>
          <w:lang w:val="en-US" w:eastAsia="zh-CN"/>
        </w:rPr>
      </w:pPr>
      <w:r>
        <w:rPr>
          <w:rFonts w:hint="eastAsia" w:ascii="仿宋" w:hAnsi="仿宋" w:eastAsia="仿宋" w:cs="仿宋"/>
          <w:color w:val="auto"/>
          <w:kern w:val="2"/>
          <w:sz w:val="28"/>
          <w:szCs w:val="28"/>
          <w:highlight w:val="none"/>
          <w:u w:val="none"/>
          <w:lang w:val="en-US" w:eastAsia="zh-CN"/>
        </w:rPr>
        <w:t>3.</w:t>
      </w:r>
      <w:r>
        <w:rPr>
          <w:rFonts w:hint="eastAsia" w:ascii="仿宋" w:hAnsi="仿宋" w:eastAsia="仿宋" w:cs="仿宋"/>
          <w:sz w:val="28"/>
          <w:szCs w:val="28"/>
          <w:lang w:val="en-US" w:eastAsia="zh-CN"/>
        </w:rPr>
        <w:t>培训开始前，乙方应为全体参训人员购买人身意外伤害保险，并向甲方提交参训人员名单及身份证明材料，经甲方审核确认后作为培训人数依据；每期培训每日实行实名签到制度，签到表须与参训人员身份信息一致，并由甲乙双方指定人员共同核对确认。甲方有权在培训开始前及过程中对实际培训人数进行核实，如实际参训人数与合同约定不符，双方应协商调整培训人数及相应费用。</w:t>
      </w:r>
    </w:p>
    <w:p w14:paraId="4F0B4D37">
      <w:pPr>
        <w:keepNext w:val="0"/>
        <w:keepLines w:val="0"/>
        <w:pageBreakBefore w:val="0"/>
        <w:kinsoku/>
        <w:overflowPunct/>
        <w:topLinePunct w:val="0"/>
        <w:autoSpaceDE w:val="0"/>
        <w:autoSpaceDN w:val="0"/>
        <w:bidi w:val="0"/>
        <w:adjustRightInd w:val="0"/>
        <w:spacing w:beforeLines="0" w:afterLines="0" w:line="240" w:lineRule="auto"/>
        <w:ind w:firstLine="560" w:firstLineChars="200"/>
        <w:textAlignment w:val="auto"/>
        <w:rPr>
          <w:rFonts w:hint="eastAsia" w:ascii="仿宋" w:hAnsi="仿宋" w:eastAsia="仿宋" w:cs="仿宋"/>
          <w:color w:val="auto"/>
          <w:kern w:val="2"/>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4.培训结束后，乙方应在10个工作日内向甲方提交实际培训人数的详细报告及相应证明材料（包括但不限于每日实名签到表、参训人员身份证复印件、培训现场影像资料等，须经双方签字确认）。如乙方虚报培训人数，甲方有权拒绝支付虚报部分费用，并要求乙方退还已支付的相应款项，同时乙方应向甲方支付合同总价款的20%作为违约金，并赔偿甲方因此造成的全部损失。</w:t>
      </w:r>
    </w:p>
    <w:p w14:paraId="2E4DE382">
      <w:pPr>
        <w:pStyle w:val="7"/>
        <w:keepNext w:val="0"/>
        <w:keepLines w:val="0"/>
        <w:pageBreakBefore w:val="0"/>
        <w:kinsoku/>
        <w:overflowPunct/>
        <w:topLinePunct w:val="0"/>
        <w:bidi w:val="0"/>
        <w:spacing w:beforeLines="0" w:afterLines="0" w:line="240" w:lineRule="auto"/>
        <w:textAlignment w:val="auto"/>
        <w:rPr>
          <w:rFonts w:hint="eastAsia" w:ascii="仿宋" w:hAnsi="仿宋" w:eastAsia="仿宋" w:cs="仿宋"/>
          <w:color w:val="auto"/>
          <w:sz w:val="28"/>
          <w:szCs w:val="28"/>
          <w:highlight w:val="none"/>
          <w:u w:val="none"/>
          <w:lang w:val="en-US"/>
        </w:rPr>
      </w:pPr>
      <w:r>
        <w:rPr>
          <w:rFonts w:hint="eastAsia" w:ascii="仿宋" w:hAnsi="仿宋" w:eastAsia="仿宋" w:cs="仿宋"/>
          <w:color w:val="auto"/>
          <w:kern w:val="2"/>
          <w:sz w:val="28"/>
          <w:szCs w:val="28"/>
          <w:highlight w:val="none"/>
          <w:u w:val="none"/>
          <w:lang w:val="en-US" w:eastAsia="zh-CN"/>
        </w:rPr>
        <w:t>5.培训结束后，甲方有权对培训成果进行验收，验收内容包括但不限于学员考核成绩、实操作品质量、培训过程资料完成性、课程满意度等，验收不合格的，乙方应在5个工作日内整改并重新提交验收，逾期未通过验收的，甲方有权扣减相应费用或解除合同。</w:t>
      </w:r>
    </w:p>
    <w:p w14:paraId="7B2927AF">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六、违约责任</w:t>
      </w:r>
    </w:p>
    <w:p w14:paraId="35AD7009">
      <w:pPr>
        <w:keepNext w:val="0"/>
        <w:keepLines w:val="0"/>
        <w:pageBreakBefore w:val="0"/>
        <w:widowControl/>
        <w:kinsoku/>
        <w:wordWrap/>
        <w:overflowPunct/>
        <w:topLinePunct w:val="0"/>
        <w:autoSpaceDE/>
        <w:autoSpaceDN/>
        <w:bidi w:val="0"/>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sz w:val="28"/>
          <w:szCs w:val="28"/>
          <w:lang w:val="en-US" w:eastAsia="zh-CN"/>
        </w:rPr>
        <w:t>1.</w:t>
      </w:r>
      <w:r>
        <w:rPr>
          <w:rFonts w:hint="eastAsia" w:ascii="仿宋" w:hAnsi="仿宋" w:eastAsia="仿宋" w:cs="仿宋"/>
          <w:bCs/>
          <w:color w:val="auto"/>
          <w:sz w:val="28"/>
          <w:szCs w:val="28"/>
          <w:highlight w:val="none"/>
          <w:u w:val="none"/>
        </w:rPr>
        <w:t>按《中华人民共和国民法典》中的相关条款执行。</w:t>
      </w:r>
      <w:r>
        <w:rPr>
          <w:rFonts w:hint="eastAsia" w:ascii="仿宋" w:hAnsi="仿宋" w:eastAsia="仿宋" w:cs="仿宋"/>
          <w:bCs/>
          <w:color w:val="auto"/>
          <w:sz w:val="28"/>
          <w:szCs w:val="28"/>
          <w:highlight w:val="none"/>
          <w:u w:val="none"/>
          <w:lang w:val="en-US" w:eastAsia="zh-CN"/>
        </w:rPr>
        <w:t>若乙方未在合同约定的服务期完成全部培训服务，每逾期一日，应按合同总金额的0.5%向甲方支付违约金；逾期超过15日，甲方有权单方解除合同，并要求乙方赔偿因此造成的全部损失。</w:t>
      </w:r>
    </w:p>
    <w:p w14:paraId="0CDAB670">
      <w:pPr>
        <w:keepNext w:val="0"/>
        <w:keepLines w:val="0"/>
        <w:pageBreakBefore w:val="0"/>
        <w:widowControl/>
        <w:kinsoku/>
        <w:wordWrap/>
        <w:overflowPunct/>
        <w:topLinePunct w:val="0"/>
        <w:autoSpaceDE/>
        <w:autoSpaceDN/>
        <w:bidi w:val="0"/>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bCs/>
          <w:color w:val="auto"/>
          <w:sz w:val="28"/>
          <w:szCs w:val="28"/>
          <w:highlight w:val="none"/>
          <w:u w:val="none"/>
          <w:lang w:val="en-US" w:eastAsia="zh-CN"/>
        </w:rPr>
        <w:t>乙方</w:t>
      </w:r>
      <w:r>
        <w:rPr>
          <w:rFonts w:hint="eastAsia" w:ascii="仿宋" w:hAnsi="仿宋" w:eastAsia="仿宋" w:cs="仿宋"/>
          <w:bCs/>
          <w:color w:val="auto"/>
          <w:sz w:val="28"/>
          <w:szCs w:val="28"/>
          <w:highlight w:val="none"/>
          <w:u w:val="none"/>
        </w:rPr>
        <w:t>未按合同要求提供服务或服务质量不能满足本次招标要求，甲方有权</w:t>
      </w:r>
      <w:r>
        <w:rPr>
          <w:rFonts w:hint="eastAsia" w:ascii="仿宋" w:hAnsi="仿宋" w:eastAsia="仿宋" w:cs="仿宋"/>
          <w:bCs/>
          <w:color w:val="auto"/>
          <w:sz w:val="28"/>
          <w:szCs w:val="28"/>
          <w:highlight w:val="none"/>
          <w:u w:val="none"/>
          <w:lang w:val="en-US" w:eastAsia="zh-CN"/>
        </w:rPr>
        <w:t>采取以下措施：（1）要求乙方在限期内改正；（2）扣减相应服务费用；（3）</w:t>
      </w:r>
      <w:r>
        <w:rPr>
          <w:rFonts w:hint="eastAsia" w:ascii="仿宋" w:hAnsi="仿宋" w:eastAsia="仿宋" w:cs="仿宋"/>
          <w:bCs/>
          <w:color w:val="auto"/>
          <w:sz w:val="28"/>
          <w:szCs w:val="28"/>
          <w:highlight w:val="none"/>
          <w:u w:val="none"/>
        </w:rPr>
        <w:t>终止合同</w:t>
      </w:r>
      <w:r>
        <w:rPr>
          <w:rFonts w:hint="eastAsia" w:ascii="仿宋" w:hAnsi="仿宋" w:eastAsia="仿宋" w:cs="仿宋"/>
          <w:bCs/>
          <w:color w:val="auto"/>
          <w:sz w:val="28"/>
          <w:szCs w:val="28"/>
          <w:highlight w:val="none"/>
          <w:u w:val="none"/>
          <w:lang w:val="en-US" w:eastAsia="zh-CN"/>
        </w:rPr>
        <w:t>并</w:t>
      </w:r>
      <w:r>
        <w:rPr>
          <w:rFonts w:hint="eastAsia" w:ascii="仿宋" w:hAnsi="仿宋" w:eastAsia="仿宋" w:cs="仿宋"/>
          <w:bCs/>
          <w:color w:val="auto"/>
          <w:sz w:val="28"/>
          <w:szCs w:val="28"/>
          <w:highlight w:val="none"/>
          <w:u w:val="none"/>
        </w:rPr>
        <w:t>对乙方违约行为进行追责。</w:t>
      </w:r>
    </w:p>
    <w:p w14:paraId="04CACFD9">
      <w:pPr>
        <w:keepNext w:val="0"/>
        <w:keepLines w:val="0"/>
        <w:pageBreakBefore w:val="0"/>
        <w:widowControl/>
        <w:kinsoku/>
        <w:wordWrap/>
        <w:overflowPunct/>
        <w:topLinePunct w:val="0"/>
        <w:autoSpaceDE/>
        <w:autoSpaceDN/>
        <w:bidi w:val="0"/>
        <w:snapToGrid/>
        <w:spacing w:line="240" w:lineRule="auto"/>
        <w:ind w:firstLine="560" w:firstLineChars="200"/>
        <w:jc w:val="left"/>
        <w:textAlignment w:val="auto"/>
        <w:rPr>
          <w:rFonts w:hint="eastAsia" w:ascii="仿宋" w:hAnsi="仿宋" w:eastAsia="仿宋" w:cs="仿宋"/>
          <w:color w:val="auto"/>
          <w:sz w:val="28"/>
          <w:szCs w:val="28"/>
          <w:highlight w:val="none"/>
          <w:u w:val="none"/>
        </w:rPr>
      </w:pPr>
      <w:r>
        <w:rPr>
          <w:rFonts w:hint="eastAsia" w:ascii="仿宋" w:hAnsi="仿宋" w:eastAsia="仿宋" w:cs="仿宋"/>
          <w:b w:val="0"/>
          <w:bCs w:val="0"/>
          <w:color w:val="000000"/>
          <w:sz w:val="28"/>
          <w:szCs w:val="28"/>
          <w:lang w:val="en-US" w:eastAsia="zh-CN"/>
        </w:rPr>
        <w:t>3.</w:t>
      </w:r>
      <w:r>
        <w:rPr>
          <w:rFonts w:hint="eastAsia" w:ascii="仿宋" w:hAnsi="仿宋" w:eastAsia="仿宋" w:cs="仿宋"/>
          <w:color w:val="auto"/>
          <w:sz w:val="28"/>
          <w:szCs w:val="28"/>
          <w:highlight w:val="none"/>
          <w:u w:val="none"/>
        </w:rPr>
        <w:t>乙方</w:t>
      </w:r>
      <w:r>
        <w:rPr>
          <w:rFonts w:hint="eastAsia" w:ascii="仿宋" w:hAnsi="仿宋" w:eastAsia="仿宋" w:cs="仿宋"/>
          <w:color w:val="auto"/>
          <w:sz w:val="28"/>
          <w:szCs w:val="28"/>
          <w:highlight w:val="none"/>
          <w:u w:val="none"/>
          <w:lang w:eastAsia="zh-CN"/>
        </w:rPr>
        <w:t>因履行本合同或在本合同期间知悉或收到的甲方资料或其他标明保密的文件或信息，特别是残疾人相关</w:t>
      </w:r>
      <w:r>
        <w:rPr>
          <w:rFonts w:hint="eastAsia" w:ascii="仿宋" w:hAnsi="仿宋" w:eastAsia="仿宋" w:cs="仿宋"/>
          <w:color w:val="auto"/>
          <w:sz w:val="28"/>
          <w:szCs w:val="28"/>
          <w:highlight w:val="none"/>
          <w:u w:val="none"/>
        </w:rPr>
        <w:t>信息及资料，</w:t>
      </w:r>
      <w:r>
        <w:rPr>
          <w:rFonts w:hint="eastAsia" w:ascii="仿宋" w:hAnsi="仿宋" w:eastAsia="仿宋" w:cs="仿宋"/>
          <w:color w:val="auto"/>
          <w:sz w:val="28"/>
          <w:szCs w:val="28"/>
          <w:highlight w:val="none"/>
          <w:u w:val="none"/>
          <w:lang w:eastAsia="zh-CN"/>
        </w:rPr>
        <w:t>未经甲方同意，不得向本合同以外的任何第三方披露。本合同结束或终止后，乙方仍需遵守本条约定的保密义务。如乙方违反保密义务，应向甲方支付合同总价款的</w:t>
      </w:r>
      <w:r>
        <w:rPr>
          <w:rFonts w:hint="eastAsia" w:ascii="仿宋" w:hAnsi="仿宋" w:eastAsia="仿宋" w:cs="仿宋"/>
          <w:color w:val="auto"/>
          <w:sz w:val="28"/>
          <w:szCs w:val="28"/>
          <w:highlight w:val="none"/>
          <w:u w:val="none"/>
          <w:lang w:val="en-US" w:eastAsia="zh-CN"/>
        </w:rPr>
        <w:t>10%作为违约金，</w:t>
      </w:r>
      <w:r>
        <w:rPr>
          <w:rFonts w:hint="eastAsia" w:ascii="仿宋" w:hAnsi="仿宋" w:eastAsia="仿宋" w:cs="仿宋"/>
          <w:color w:val="auto"/>
          <w:sz w:val="28"/>
          <w:szCs w:val="28"/>
          <w:highlight w:val="none"/>
          <w:u w:val="none"/>
        </w:rPr>
        <w:t>赔偿给</w:t>
      </w:r>
      <w:r>
        <w:rPr>
          <w:rFonts w:hint="eastAsia" w:ascii="仿宋" w:hAnsi="仿宋" w:eastAsia="仿宋" w:cs="仿宋"/>
          <w:color w:val="auto"/>
          <w:sz w:val="28"/>
          <w:szCs w:val="28"/>
          <w:highlight w:val="none"/>
          <w:u w:val="none"/>
          <w:lang w:eastAsia="zh-CN"/>
        </w:rPr>
        <w:t>甲</w:t>
      </w:r>
      <w:r>
        <w:rPr>
          <w:rFonts w:hint="eastAsia" w:ascii="仿宋" w:hAnsi="仿宋" w:eastAsia="仿宋" w:cs="仿宋"/>
          <w:color w:val="auto"/>
          <w:sz w:val="28"/>
          <w:szCs w:val="28"/>
          <w:highlight w:val="none"/>
          <w:u w:val="none"/>
        </w:rPr>
        <w:t>方造成的一切损失并承担相应的法律责任（包括刑事责任）。</w:t>
      </w:r>
    </w:p>
    <w:p w14:paraId="72562BAD">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七、合同争议解决的方式</w:t>
      </w:r>
    </w:p>
    <w:p w14:paraId="5ACDACAE">
      <w:pPr>
        <w:keepNext w:val="0"/>
        <w:keepLines w:val="0"/>
        <w:pageBreakBefore w:val="0"/>
        <w:kinsoku/>
        <w:overflowPunct/>
        <w:topLinePunct w:val="0"/>
        <w:autoSpaceDE w:val="0"/>
        <w:autoSpaceDN w:val="0"/>
        <w:bidi w:val="0"/>
        <w:adjustRightInd w:val="0"/>
        <w:spacing w:beforeLines="0" w:afterLines="0" w:line="240" w:lineRule="auto"/>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本合同适用于中华人民共和国的法律。在执行本合同过程中所发生的，与本合同有关的一切争议，甲乙双方应通过友好协商解决；协商达不成一致的，依法向甲方所在地人民法院起诉。</w:t>
      </w:r>
    </w:p>
    <w:p w14:paraId="1FAE8D21">
      <w:pPr>
        <w:keepNext w:val="0"/>
        <w:keepLines w:val="0"/>
        <w:pageBreakBefore w:val="0"/>
        <w:widowControl w:val="0"/>
        <w:kinsoku/>
        <w:wordWrap/>
        <w:overflowPunct/>
        <w:topLinePunct w:val="0"/>
        <w:autoSpaceDE/>
        <w:autoSpaceDN/>
        <w:bidi w:val="0"/>
        <w:adjustRightInd/>
        <w:snapToGrid/>
        <w:spacing w:before="251" w:beforeLines="50" w:after="251" w:afterLines="50" w:line="240" w:lineRule="auto"/>
        <w:ind w:firstLine="602" w:firstLineChars="200"/>
        <w:textAlignment w:val="auto"/>
        <w:rPr>
          <w:rFonts w:hint="eastAsia" w:ascii="仿宋" w:hAnsi="仿宋" w:eastAsia="仿宋" w:cs="仿宋"/>
          <w:b/>
          <w:bCs w:val="0"/>
          <w:color w:val="000000"/>
          <w:sz w:val="30"/>
          <w:szCs w:val="30"/>
          <w:lang w:val="en-US" w:eastAsia="zh-CN"/>
        </w:rPr>
      </w:pPr>
      <w:r>
        <w:rPr>
          <w:rFonts w:hint="eastAsia" w:ascii="仿宋" w:hAnsi="仿宋" w:eastAsia="仿宋" w:cs="仿宋"/>
          <w:b/>
          <w:bCs w:val="0"/>
          <w:color w:val="000000"/>
          <w:sz w:val="30"/>
          <w:szCs w:val="30"/>
          <w:lang w:val="en-US" w:eastAsia="zh-CN"/>
        </w:rPr>
        <w:t>八、其他事项</w:t>
      </w:r>
    </w:p>
    <w:p w14:paraId="64C9A774">
      <w:pPr>
        <w:keepNext w:val="0"/>
        <w:keepLines w:val="0"/>
        <w:pageBreakBefore w:val="0"/>
        <w:kinsoku/>
        <w:overflowPunct/>
        <w:topLinePunct w:val="0"/>
        <w:bidi w:val="0"/>
        <w:adjustRightInd w:val="0"/>
        <w:snapToGrid w:val="0"/>
        <w:spacing w:beforeLines="0" w:afterLines="0" w:line="360" w:lineRule="auto"/>
        <w:ind w:firstLine="560" w:firstLineChars="200"/>
        <w:textAlignment w:val="auto"/>
        <w:rPr>
          <w:rFonts w:hint="eastAsia" w:ascii="仿宋" w:hAnsi="仿宋" w:eastAsia="仿宋" w:cs="仿宋"/>
          <w:color w:val="auto"/>
          <w:sz w:val="28"/>
          <w:szCs w:val="28"/>
          <w:highlight w:val="none"/>
          <w:u w:val="none"/>
          <w:lang w:val="zh-CN" w:eastAsia="zh-CN"/>
        </w:rPr>
      </w:pPr>
      <w:r>
        <w:rPr>
          <w:rFonts w:hint="eastAsia" w:ascii="仿宋" w:hAnsi="仿宋" w:eastAsia="仿宋" w:cs="仿宋"/>
          <w:kern w:val="2"/>
          <w:sz w:val="28"/>
          <w:szCs w:val="28"/>
          <w:lang w:val="zh-CN" w:eastAsia="zh-CN" w:bidi="ar-SA"/>
        </w:rPr>
        <w:t>1</w:t>
      </w:r>
      <w:r>
        <w:rPr>
          <w:rFonts w:hint="eastAsia" w:ascii="仿宋" w:hAnsi="仿宋" w:eastAsia="仿宋" w:cs="仿宋"/>
          <w:kern w:val="2"/>
          <w:sz w:val="28"/>
          <w:szCs w:val="28"/>
          <w:lang w:val="en-US" w:eastAsia="zh-CN" w:bidi="ar-SA"/>
        </w:rPr>
        <w:t>.</w:t>
      </w:r>
      <w:r>
        <w:rPr>
          <w:rFonts w:hint="eastAsia" w:ascii="仿宋" w:hAnsi="仿宋" w:eastAsia="仿宋" w:cs="仿宋"/>
          <w:color w:val="auto"/>
          <w:sz w:val="28"/>
          <w:szCs w:val="28"/>
          <w:highlight w:val="none"/>
          <w:u w:val="none"/>
          <w:lang w:val="zh-CN" w:eastAsia="zh-CN"/>
        </w:rPr>
        <w:t>甲方有权对已签订的合同根据具体执行情况及实际需要（</w:t>
      </w:r>
      <w:r>
        <w:rPr>
          <w:rFonts w:hint="eastAsia" w:ascii="仿宋" w:hAnsi="仿宋" w:eastAsia="仿宋" w:cs="仿宋"/>
          <w:color w:val="auto"/>
          <w:sz w:val="28"/>
          <w:szCs w:val="28"/>
          <w:highlight w:val="none"/>
          <w:u w:val="none"/>
          <w:lang w:val="en-US" w:eastAsia="zh-CN"/>
        </w:rPr>
        <w:t>如政策变化、培训需求调整等</w:t>
      </w:r>
      <w:r>
        <w:rPr>
          <w:rFonts w:hint="eastAsia" w:ascii="仿宋" w:hAnsi="仿宋" w:eastAsia="仿宋" w:cs="仿宋"/>
          <w:color w:val="auto"/>
          <w:sz w:val="28"/>
          <w:szCs w:val="28"/>
          <w:highlight w:val="none"/>
          <w:u w:val="none"/>
          <w:lang w:val="zh-CN" w:eastAsia="zh-CN"/>
        </w:rPr>
        <w:t>），在合同有效期内，</w:t>
      </w:r>
      <w:r>
        <w:rPr>
          <w:rFonts w:hint="eastAsia" w:ascii="仿宋" w:hAnsi="仿宋" w:eastAsia="仿宋" w:cs="仿宋"/>
          <w:color w:val="auto"/>
          <w:sz w:val="28"/>
          <w:szCs w:val="28"/>
          <w:highlight w:val="none"/>
          <w:u w:val="none"/>
          <w:lang w:val="en-US" w:eastAsia="zh-CN"/>
        </w:rPr>
        <w:t>以书面形式通知乙方</w:t>
      </w:r>
      <w:r>
        <w:rPr>
          <w:rFonts w:hint="eastAsia" w:ascii="仿宋" w:hAnsi="仿宋" w:eastAsia="仿宋" w:cs="仿宋"/>
          <w:color w:val="auto"/>
          <w:sz w:val="28"/>
          <w:szCs w:val="28"/>
          <w:highlight w:val="none"/>
          <w:u w:val="none"/>
          <w:lang w:val="zh-CN" w:eastAsia="zh-CN"/>
        </w:rPr>
        <w:t>调整、变更服务的相关内容。</w:t>
      </w:r>
    </w:p>
    <w:p w14:paraId="2A88EA7E">
      <w:pPr>
        <w:keepNext w:val="0"/>
        <w:keepLines w:val="0"/>
        <w:pageBreakBefore w:val="0"/>
        <w:kinsoku/>
        <w:overflowPunct/>
        <w:topLinePunct w:val="0"/>
        <w:bidi w:val="0"/>
        <w:adjustRightInd w:val="0"/>
        <w:snapToGrid w:val="0"/>
        <w:spacing w:beforeLines="0" w:afterLines="0" w:line="360" w:lineRule="auto"/>
        <w:ind w:firstLine="560" w:firstLineChars="200"/>
        <w:textAlignment w:val="auto"/>
        <w:rPr>
          <w:rFonts w:hint="eastAsia" w:ascii="仿宋" w:hAnsi="仿宋" w:eastAsia="仿宋" w:cs="仿宋"/>
          <w:kern w:val="2"/>
          <w:sz w:val="28"/>
          <w:szCs w:val="28"/>
          <w:lang w:val="zh-CN" w:eastAsia="zh-CN" w:bidi="ar-SA"/>
        </w:rPr>
      </w:pPr>
      <w:r>
        <w:rPr>
          <w:rFonts w:hint="eastAsia" w:ascii="仿宋" w:hAnsi="仿宋" w:eastAsia="仿宋" w:cs="仿宋"/>
          <w:kern w:val="2"/>
          <w:sz w:val="28"/>
          <w:szCs w:val="28"/>
          <w:lang w:val="zh-CN" w:eastAsia="zh-CN" w:bidi="ar-SA"/>
        </w:rPr>
        <w:t>2</w:t>
      </w:r>
      <w:r>
        <w:rPr>
          <w:rFonts w:hint="eastAsia" w:ascii="仿宋" w:hAnsi="仿宋" w:eastAsia="仿宋" w:cs="仿宋"/>
          <w:kern w:val="2"/>
          <w:sz w:val="28"/>
          <w:szCs w:val="28"/>
          <w:lang w:val="en-US" w:eastAsia="zh-CN" w:bidi="ar-SA"/>
        </w:rPr>
        <w:t>.</w:t>
      </w:r>
      <w:r>
        <w:rPr>
          <w:rFonts w:hint="eastAsia" w:ascii="仿宋" w:hAnsi="仿宋" w:eastAsia="仿宋" w:cs="仿宋"/>
          <w:kern w:val="2"/>
          <w:sz w:val="28"/>
          <w:szCs w:val="28"/>
          <w:lang w:val="zh-CN" w:eastAsia="zh-CN" w:bidi="ar-SA"/>
        </w:rPr>
        <w:t>本合同经甲乙双方代表签字，共同盖章后正式生效。本合同一式肆份，甲</w:t>
      </w:r>
      <w:r>
        <w:rPr>
          <w:rFonts w:hint="eastAsia" w:ascii="仿宋" w:hAnsi="仿宋" w:eastAsia="仿宋" w:cs="仿宋"/>
          <w:kern w:val="2"/>
          <w:sz w:val="28"/>
          <w:szCs w:val="28"/>
          <w:lang w:val="en-US" w:eastAsia="zh-CN" w:bidi="ar-SA"/>
        </w:rPr>
        <w:t>方执贰份，</w:t>
      </w:r>
      <w:r>
        <w:rPr>
          <w:rFonts w:hint="eastAsia" w:ascii="仿宋" w:hAnsi="仿宋" w:eastAsia="仿宋" w:cs="仿宋"/>
          <w:kern w:val="2"/>
          <w:sz w:val="28"/>
          <w:szCs w:val="28"/>
          <w:lang w:val="zh-CN" w:eastAsia="zh-CN" w:bidi="ar-SA"/>
        </w:rPr>
        <w:t>乙方</w:t>
      </w:r>
      <w:r>
        <w:rPr>
          <w:rFonts w:hint="eastAsia" w:ascii="仿宋" w:hAnsi="仿宋" w:eastAsia="仿宋" w:cs="仿宋"/>
          <w:kern w:val="2"/>
          <w:sz w:val="28"/>
          <w:szCs w:val="28"/>
          <w:lang w:val="en-US" w:eastAsia="zh-CN" w:bidi="ar-SA"/>
        </w:rPr>
        <w:t>执贰</w:t>
      </w:r>
      <w:r>
        <w:rPr>
          <w:rFonts w:hint="eastAsia" w:ascii="仿宋" w:hAnsi="仿宋" w:eastAsia="仿宋" w:cs="仿宋"/>
          <w:kern w:val="2"/>
          <w:sz w:val="28"/>
          <w:szCs w:val="28"/>
          <w:lang w:val="zh-CN" w:eastAsia="zh-CN" w:bidi="ar-SA"/>
        </w:rPr>
        <w:t>份。</w:t>
      </w:r>
    </w:p>
    <w:p w14:paraId="0B8215AC">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kern w:val="2"/>
          <w:sz w:val="28"/>
          <w:szCs w:val="28"/>
          <w:lang w:val="zh-CN" w:eastAsia="zh-CN" w:bidi="ar-SA"/>
        </w:rPr>
      </w:pPr>
      <w:r>
        <w:rPr>
          <w:rFonts w:hint="eastAsia" w:ascii="仿宋" w:hAnsi="仿宋" w:eastAsia="仿宋" w:cs="仿宋"/>
          <w:kern w:val="2"/>
          <w:sz w:val="28"/>
          <w:szCs w:val="28"/>
          <w:lang w:val="zh-CN" w:eastAsia="zh-CN" w:bidi="ar-SA"/>
        </w:rPr>
        <w:t>3</w:t>
      </w:r>
      <w:r>
        <w:rPr>
          <w:rFonts w:hint="eastAsia" w:ascii="仿宋" w:hAnsi="仿宋" w:eastAsia="仿宋" w:cs="仿宋"/>
          <w:kern w:val="2"/>
          <w:sz w:val="28"/>
          <w:szCs w:val="28"/>
          <w:lang w:val="en-US" w:eastAsia="zh-CN" w:bidi="ar-SA"/>
        </w:rPr>
        <w:t>.</w:t>
      </w:r>
      <w:r>
        <w:rPr>
          <w:rFonts w:hint="eastAsia" w:ascii="仿宋" w:hAnsi="仿宋" w:eastAsia="仿宋" w:cs="仿宋"/>
          <w:kern w:val="2"/>
          <w:sz w:val="28"/>
          <w:szCs w:val="28"/>
          <w:lang w:val="zh-CN" w:eastAsia="zh-CN" w:bidi="ar-SA"/>
        </w:rPr>
        <w:t>合同未尽事宜，经双方协商后签订补充协议，补充协议为本合同的组成部分，具有同等法律效力。</w:t>
      </w:r>
    </w:p>
    <w:p w14:paraId="50680CBC">
      <w:pPr>
        <w:keepNext w:val="0"/>
        <w:keepLines w:val="0"/>
        <w:pageBreakBefore w:val="0"/>
        <w:tabs>
          <w:tab w:val="left" w:pos="480"/>
        </w:tabs>
        <w:kinsoku/>
        <w:wordWrap/>
        <w:overflowPunct/>
        <w:topLinePunct w:val="0"/>
        <w:autoSpaceDE/>
        <w:autoSpaceDN/>
        <w:bidi w:val="0"/>
        <w:snapToGrid/>
        <w:spacing w:line="240" w:lineRule="auto"/>
        <w:ind w:firstLine="560" w:firstLineChars="200"/>
        <w:textAlignment w:val="auto"/>
        <w:rPr>
          <w:rFonts w:hint="eastAsia" w:ascii="仿宋" w:hAnsi="仿宋" w:eastAsia="仿宋" w:cs="仿宋"/>
          <w:sz w:val="28"/>
          <w:szCs w:val="28"/>
          <w:lang w:val="en-US" w:eastAsia="zh-CN"/>
        </w:rPr>
      </w:pPr>
    </w:p>
    <w:p w14:paraId="25246BC5">
      <w:pPr>
        <w:keepNext w:val="0"/>
        <w:keepLines w:val="0"/>
        <w:pageBreakBefore w:val="0"/>
        <w:tabs>
          <w:tab w:val="left" w:pos="480"/>
        </w:tabs>
        <w:kinsoku/>
        <w:wordWrap/>
        <w:overflowPunct/>
        <w:topLinePunct w:val="0"/>
        <w:autoSpaceDE/>
        <w:autoSpaceDN/>
        <w:bidi w:val="0"/>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（以下无正文）</w:t>
      </w:r>
    </w:p>
    <w:p w14:paraId="67BA449D">
      <w:pPr>
        <w:keepNext w:val="0"/>
        <w:keepLines w:val="0"/>
        <w:pageBreakBefore w:val="0"/>
        <w:tabs>
          <w:tab w:val="left" w:pos="480"/>
        </w:tabs>
        <w:kinsoku/>
        <w:wordWrap/>
        <w:overflowPunct/>
        <w:topLinePunct w:val="0"/>
        <w:autoSpaceDE/>
        <w:autoSpaceDN/>
        <w:bidi w:val="0"/>
        <w:snapToGrid/>
        <w:spacing w:line="560" w:lineRule="exact"/>
        <w:rPr>
          <w:rFonts w:hint="eastAsia" w:ascii="仿宋" w:hAnsi="仿宋" w:eastAsia="仿宋" w:cs="仿宋"/>
          <w:sz w:val="28"/>
          <w:szCs w:val="28"/>
        </w:rPr>
      </w:pPr>
    </w:p>
    <w:p w14:paraId="3D1FD357">
      <w:pPr>
        <w:keepNext w:val="0"/>
        <w:keepLines w:val="0"/>
        <w:pageBreakBefore w:val="0"/>
        <w:tabs>
          <w:tab w:val="left" w:pos="480"/>
        </w:tabs>
        <w:kinsoku/>
        <w:wordWrap/>
        <w:overflowPunct/>
        <w:topLinePunct w:val="0"/>
        <w:autoSpaceDE/>
        <w:autoSpaceDN/>
        <w:bidi w:val="0"/>
        <w:snapToGrid/>
        <w:spacing w:line="560" w:lineRule="exact"/>
        <w:rPr>
          <w:rFonts w:hint="eastAsia" w:ascii="仿宋" w:hAnsi="仿宋" w:eastAsia="仿宋" w:cs="仿宋"/>
          <w:sz w:val="28"/>
          <w:szCs w:val="28"/>
        </w:rPr>
      </w:pPr>
      <w:r>
        <w:rPr>
          <w:rFonts w:hint="eastAsia" w:ascii="仿宋" w:hAnsi="仿宋" w:eastAsia="仿宋" w:cs="仿宋"/>
          <w:sz w:val="28"/>
          <w:szCs w:val="28"/>
        </w:rPr>
        <w:t xml:space="preserve">甲  方（盖章）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  方</w:t>
      </w:r>
      <w:r>
        <w:rPr>
          <w:rFonts w:hint="eastAsia" w:ascii="仿宋" w:hAnsi="仿宋" w:eastAsia="仿宋" w:cs="仿宋"/>
          <w:sz w:val="28"/>
          <w:szCs w:val="28"/>
          <w:lang w:eastAsia="zh-CN"/>
        </w:rPr>
        <w:t>：</w:t>
      </w:r>
      <w:r>
        <w:rPr>
          <w:rFonts w:hint="eastAsia" w:ascii="仿宋" w:hAnsi="仿宋" w:eastAsia="仿宋" w:cs="仿宋"/>
          <w:sz w:val="28"/>
          <w:szCs w:val="28"/>
        </w:rPr>
        <w:t>（盖章）</w:t>
      </w:r>
    </w:p>
    <w:p w14:paraId="49B207C6">
      <w:pPr>
        <w:keepNext w:val="0"/>
        <w:keepLines w:val="0"/>
        <w:pageBreakBefore w:val="0"/>
        <w:tabs>
          <w:tab w:val="left" w:pos="480"/>
        </w:tabs>
        <w:kinsoku/>
        <w:wordWrap/>
        <w:overflowPunct/>
        <w:topLinePunct w:val="0"/>
        <w:autoSpaceDE/>
        <w:autoSpaceDN/>
        <w:bidi w:val="0"/>
        <w:snapToGrid/>
        <w:spacing w:line="560" w:lineRule="exact"/>
        <w:rPr>
          <w:rFonts w:hint="eastAsia" w:ascii="仿宋" w:hAnsi="仿宋" w:eastAsia="仿宋" w:cs="仿宋"/>
          <w:sz w:val="28"/>
          <w:szCs w:val="28"/>
        </w:rPr>
      </w:pPr>
      <w:r>
        <w:rPr>
          <w:rFonts w:hint="eastAsia" w:ascii="仿宋" w:hAnsi="仿宋" w:eastAsia="仿宋" w:cs="仿宋"/>
          <w:sz w:val="28"/>
          <w:szCs w:val="28"/>
        </w:rPr>
        <w:t>代表人：（签字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代表人：（签字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w:t>
      </w:r>
    </w:p>
    <w:p w14:paraId="0D958709">
      <w:pPr>
        <w:keepNext w:val="0"/>
        <w:keepLines w:val="0"/>
        <w:pageBreakBefore w:val="0"/>
        <w:tabs>
          <w:tab w:val="left" w:pos="480"/>
        </w:tabs>
        <w:kinsoku/>
        <w:wordWrap/>
        <w:overflowPunct/>
        <w:topLinePunct w:val="0"/>
        <w:autoSpaceDE/>
        <w:autoSpaceDN/>
        <w:bidi w:val="0"/>
        <w:snapToGrid/>
        <w:spacing w:line="560" w:lineRule="exact"/>
        <w:rPr>
          <w:rFonts w:hint="eastAsia" w:ascii="仿宋" w:hAnsi="仿宋" w:eastAsia="仿宋" w:cs="仿宋"/>
          <w:sz w:val="28"/>
          <w:szCs w:val="28"/>
        </w:rPr>
      </w:pPr>
      <w:r>
        <w:rPr>
          <w:rFonts w:hint="eastAsia" w:ascii="仿宋" w:hAnsi="仿宋" w:eastAsia="仿宋" w:cs="仿宋"/>
          <w:sz w:val="28"/>
          <w:szCs w:val="28"/>
        </w:rPr>
        <w:t xml:space="preserve">联系电话：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联系电话：</w:t>
      </w:r>
    </w:p>
    <w:p w14:paraId="0F2223C4">
      <w:r>
        <w:rPr>
          <w:rFonts w:hint="eastAsia" w:ascii="仿宋" w:hAnsi="仿宋" w:eastAsia="仿宋" w:cs="仿宋"/>
          <w:sz w:val="28"/>
          <w:szCs w:val="28"/>
        </w:rPr>
        <w:t>签字日期：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年  月  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签字日期：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DE39604-BFA7-4293-88B7-FED5397E3E0D}"/>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54A74355-EB24-49AB-B395-82C0F81F9AB8}"/>
  </w:font>
  <w:font w:name="仿宋">
    <w:panose1 w:val="02010609060101010101"/>
    <w:charset w:val="86"/>
    <w:family w:val="auto"/>
    <w:pitch w:val="default"/>
    <w:sig w:usb0="800002BF" w:usb1="38CF7CFA" w:usb2="00000016" w:usb3="00000000" w:csb0="00040001" w:csb1="00000000"/>
    <w:embedRegular r:id="rId3" w:fontKey="{1171867C-7BDE-4B3B-8671-86ED1F8F4AC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4624C">
    <w:pPr>
      <w:pStyle w:val="10"/>
      <w:framePr w:wrap="around" w:vAnchor="text" w:hAnchor="margin" w:xAlign="center" w:y="1"/>
      <w:tabs>
        <w:tab w:val="clear" w:pos="4153"/>
        <w:tab w:val="clear" w:pos="8306"/>
      </w:tabs>
    </w:pPr>
    <w:r>
      <w:fldChar w:fldCharType="begin"/>
    </w:r>
    <w:r>
      <w:rPr>
        <w:rStyle w:val="11"/>
      </w:rPr>
      <w:instrText xml:space="preserve">PAGE  </w:instrText>
    </w:r>
    <w:r>
      <w:fldChar w:fldCharType="separate"/>
    </w:r>
    <w:r>
      <w:rPr>
        <w:rStyle w:val="11"/>
      </w:rPr>
      <w:t>6</w:t>
    </w:r>
    <w:r>
      <w:fldChar w:fldCharType="end"/>
    </w:r>
  </w:p>
  <w:p w14:paraId="74699C20">
    <w:pPr>
      <w:pStyle w:val="10"/>
      <w:tabs>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3D93FD"/>
    <w:multiLevelType w:val="singleLevel"/>
    <w:tmpl w:val="7F3D93FD"/>
    <w:lvl w:ilvl="0" w:tentative="0">
      <w:start w:val="1"/>
      <w:numFmt w:val="decimal"/>
      <w:pStyle w:val="6"/>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BB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1"/>
    <w:qFormat/>
    <w:uiPriority w:val="0"/>
    <w:pPr>
      <w:spacing w:line="640" w:lineRule="exact"/>
      <w:ind w:firstLine="585"/>
    </w:pPr>
    <w:rPr>
      <w:rFonts w:ascii="楷体_GB2312" w:eastAsia="楷体_GB2312"/>
      <w:sz w:val="32"/>
    </w:rPr>
  </w:style>
  <w:style w:type="paragraph" w:styleId="5">
    <w:name w:val="Plain Text"/>
    <w:basedOn w:val="1"/>
    <w:next w:val="6"/>
    <w:qFormat/>
    <w:uiPriority w:val="0"/>
    <w:rPr>
      <w:rFonts w:ascii="宋体" w:hAnsi="Courier New"/>
    </w:rPr>
  </w:style>
  <w:style w:type="paragraph" w:styleId="6">
    <w:name w:val="List Number 5"/>
    <w:basedOn w:val="1"/>
    <w:uiPriority w:val="0"/>
    <w:pPr>
      <w:numPr>
        <w:ilvl w:val="0"/>
        <w:numId w:val="1"/>
      </w:numPr>
    </w:pPr>
  </w:style>
  <w:style w:type="paragraph" w:styleId="7">
    <w:name w:val="Body Text First Indent 2"/>
    <w:basedOn w:val="4"/>
    <w:next w:val="5"/>
    <w:qFormat/>
    <w:uiPriority w:val="0"/>
    <w:pPr>
      <w:ind w:firstLine="420" w:firstLineChars="200"/>
    </w:pPr>
  </w:style>
  <w:style w:type="paragraph" w:customStyle="1" w:styleId="10">
    <w:name w:val="页脚1"/>
    <w:basedOn w:val="1"/>
    <w:qFormat/>
    <w:uiPriority w:val="0"/>
    <w:pPr>
      <w:tabs>
        <w:tab w:val="center" w:pos="4153"/>
        <w:tab w:val="right" w:pos="8306"/>
      </w:tabs>
      <w:snapToGrid w:val="0"/>
      <w:jc w:val="left"/>
    </w:pPr>
    <w:rPr>
      <w:sz w:val="18"/>
      <w:szCs w:val="18"/>
    </w:rPr>
  </w:style>
  <w:style w:type="character" w:customStyle="1" w:styleId="11">
    <w:name w:val="页码1"/>
    <w:basedOn w:val="12"/>
    <w:qFormat/>
    <w:uiPriority w:val="0"/>
    <w:rPr>
      <w:rFonts w:ascii="Times New Roman" w:hAnsi="Times New Roman" w:eastAsia="宋体" w:cs="Times New Roman"/>
      <w:kern w:val="2"/>
      <w:sz w:val="21"/>
      <w:szCs w:val="24"/>
      <w:lang w:val="en-US" w:eastAsia="zh-CN" w:bidi="ar-SA"/>
    </w:rPr>
  </w:style>
  <w:style w:type="character" w:customStyle="1" w:styleId="12">
    <w:name w:val="默认段落字体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2026-07-03T05:35:10Z</dcterms:created>
  <dc:creator>pc</dc:creator>
  <cp:lastModifiedBy>向风而行</cp:lastModifiedBy>
  <dcterms:modified xsi:type="dcterms:W3CDTF">2026-07-03T05:35:49Z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eyJoZGlkIjoiMWQyYWRiNTUyZWUyNGUzY2JhOTg0NzhkOGM3YjczYWEiLCJ1c2VySWQiOiIzNzk1NzM3ODkifQ==</vt:lpwstr>
  </property>
  <property fmtid="{D5CDD505-2E9C-101B-9397-08002B2CF9AE}" pid="4" name="ICV">
    <vt:lpwstr>D3CDBA6415DC413BB3120B7F104F2058_12</vt:lpwstr>
  </property>
</Properties>
</file>