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081EF">
      <w:pPr>
        <w:spacing w:line="360" w:lineRule="auto"/>
        <w:ind w:firstLine="723" w:firstLineChars="200"/>
        <w:jc w:val="center"/>
        <w:rPr>
          <w:rFonts w:hint="eastAsia" w:asciiTheme="minorEastAsia" w:hAnsiTheme="minorEastAsia" w:eastAsiaTheme="minorEastAsia" w:cstheme="minorEastAsia"/>
          <w:sz w:val="24"/>
          <w:u w:val="single"/>
        </w:rPr>
      </w:pPr>
      <w:r>
        <w:rPr>
          <w:rFonts w:ascii="仿宋_GB2312" w:hAnsi="仿宋_GB2312" w:eastAsia="仿宋_GB2312" w:cs="仿宋_GB2312"/>
          <w:b/>
          <w:sz w:val="36"/>
        </w:rPr>
        <w:t>拟签订采购合同文本</w:t>
      </w:r>
    </w:p>
    <w:p w14:paraId="2B2A5BE0">
      <w:pPr>
        <w:spacing w:line="360" w:lineRule="auto"/>
        <w:ind w:firstLine="480" w:firstLineChars="200"/>
        <w:rPr>
          <w:rFonts w:hint="eastAsia" w:asciiTheme="minorEastAsia" w:hAnsiTheme="minorEastAsia" w:eastAsiaTheme="minorEastAsia" w:cstheme="minorEastAsia"/>
          <w:sz w:val="24"/>
          <w:u w:val="single"/>
        </w:rPr>
      </w:pPr>
    </w:p>
    <w:p w14:paraId="4417D96D">
      <w:pPr>
        <w:spacing w:line="360" w:lineRule="auto"/>
        <w:ind w:firstLine="480" w:firstLineChars="200"/>
        <w:rPr>
          <w:rFonts w:hint="eastAsia" w:asciiTheme="minorEastAsia" w:hAnsiTheme="minorEastAsia" w:eastAsiaTheme="minorEastAsia" w:cstheme="minorEastAsia"/>
          <w:sz w:val="24"/>
        </w:rPr>
      </w:pPr>
      <w:bookmarkStart w:id="1" w:name="_GoBack"/>
      <w:bookmarkEnd w:id="1"/>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（以下简称甲方）</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采购，在西安市粮油质量检验中心的监督管理下，由</w:t>
      </w:r>
      <w:r>
        <w:rPr>
          <w:rFonts w:hint="eastAsia" w:asciiTheme="minorEastAsia" w:hAnsiTheme="minorEastAsia" w:eastAsiaTheme="minorEastAsia" w:cstheme="minorEastAsia"/>
          <w:sz w:val="24"/>
          <w:u w:val="single"/>
        </w:rPr>
        <w:t>陕西开源招标有限公司</w:t>
      </w:r>
      <w:r>
        <w:rPr>
          <w:rFonts w:hint="eastAsia" w:asciiTheme="minorEastAsia" w:hAnsiTheme="minorEastAsia" w:eastAsiaTheme="minorEastAsia" w:cstheme="minorEastAsia"/>
          <w:sz w:val="24"/>
        </w:rPr>
        <w:t>组织采购，选定</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(以下简称乙方）为该项目中标人。依据《中华人民共和国民法典》和《中华人民共和国政府采购法》，经甲、乙双方共同协商，按下述条款和条件签署本合同。</w:t>
      </w:r>
    </w:p>
    <w:p w14:paraId="040AAB5D">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一、合同内容</w:t>
      </w:r>
    </w:p>
    <w:p w14:paraId="32A89F46">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乙方负责按照合同确定的试剂耗材名称、规格型号、数量、产地、配置内容及技术标准组织供货（具体采购项目见附件1），按时运到甲方指定的交货地点；负责操作和管理人员的培训工作，保证甲方能够正常操作和维护，同时乙方根据试剂耗材的使用特性做好售后服务。</w:t>
      </w:r>
    </w:p>
    <w:p w14:paraId="700EADCF">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二、合同价格</w:t>
      </w:r>
    </w:p>
    <w:p w14:paraId="13E19A9F">
      <w:pPr>
        <w:spacing w:line="360" w:lineRule="auto"/>
        <w:ind w:left="420" w:left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合同总价：</w:t>
      </w:r>
      <w:r>
        <w:rPr>
          <w:rFonts w:hint="eastAsia" w:asciiTheme="minorEastAsia" w:hAnsiTheme="minorEastAsia" w:eastAsiaTheme="minorEastAsia" w:cstheme="minorEastAsia"/>
          <w:sz w:val="24"/>
          <w:u w:val="single"/>
        </w:rPr>
        <w:t xml:space="preserve">人民币       元整（¥         元） </w:t>
      </w:r>
    </w:p>
    <w:p w14:paraId="3161BDE2">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说明：</w:t>
      </w:r>
    </w:p>
    <w:p w14:paraId="13767827">
      <w:pPr>
        <w:numPr>
          <w:ilvl w:val="0"/>
          <w:numId w:val="0"/>
        </w:num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2"/>
          <w:sz w:val="24"/>
          <w:szCs w:val="24"/>
          <w:lang w:val="en-US" w:eastAsia="zh-CN" w:bidi="ar-SA"/>
        </w:rPr>
        <w:t>（一）</w:t>
      </w:r>
      <w:r>
        <w:rPr>
          <w:rFonts w:hint="eastAsia" w:asciiTheme="minorEastAsia" w:hAnsiTheme="minorEastAsia" w:eastAsiaTheme="minorEastAsia" w:cstheme="minorEastAsia"/>
          <w:sz w:val="24"/>
        </w:rPr>
        <w:t>合同总价包含</w:t>
      </w:r>
      <w:r>
        <w:rPr>
          <w:rFonts w:hint="eastAsia" w:asciiTheme="minorEastAsia" w:hAnsiTheme="minorEastAsia" w:eastAsiaTheme="minorEastAsia" w:cstheme="minorEastAsia"/>
          <w:sz w:val="24"/>
          <w:lang w:eastAsia="zh-CN"/>
        </w:rPr>
        <w:t>试剂耗材</w:t>
      </w:r>
      <w:r>
        <w:rPr>
          <w:rFonts w:hint="eastAsia" w:asciiTheme="minorEastAsia" w:hAnsiTheme="minorEastAsia" w:eastAsiaTheme="minorEastAsia" w:cstheme="minorEastAsia"/>
          <w:sz w:val="24"/>
        </w:rPr>
        <w:t>费、</w:t>
      </w:r>
      <w:r>
        <w:rPr>
          <w:rFonts w:hint="eastAsia" w:asciiTheme="minorEastAsia" w:hAnsiTheme="minorEastAsia" w:eastAsiaTheme="minorEastAsia" w:cstheme="minorEastAsia"/>
          <w:sz w:val="24"/>
          <w:lang w:eastAsia="zh-CN"/>
        </w:rPr>
        <w:t>试剂耗材</w:t>
      </w:r>
      <w:r>
        <w:rPr>
          <w:rFonts w:hint="eastAsia" w:asciiTheme="minorEastAsia" w:hAnsiTheme="minorEastAsia" w:eastAsiaTheme="minorEastAsia" w:cstheme="minorEastAsia"/>
          <w:sz w:val="24"/>
        </w:rPr>
        <w:t>到达</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交货地点的运杂费（含保险）及应缴纳的全部税款等费用。</w:t>
      </w:r>
    </w:p>
    <w:p w14:paraId="4C5FDE05">
      <w:pPr>
        <w:numPr>
          <w:ilvl w:val="0"/>
          <w:numId w:val="0"/>
        </w:num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2"/>
          <w:sz w:val="24"/>
          <w:szCs w:val="24"/>
          <w:lang w:val="en-US" w:eastAsia="zh-CN" w:bidi="ar-SA"/>
        </w:rPr>
        <w:t>（二）</w:t>
      </w:r>
      <w:r>
        <w:rPr>
          <w:rFonts w:hint="eastAsia" w:asciiTheme="minorEastAsia" w:hAnsiTheme="minorEastAsia" w:eastAsiaTheme="minorEastAsia" w:cstheme="minorEastAsia"/>
          <w:sz w:val="24"/>
        </w:rPr>
        <w:t>合同总价一次包死，不受市场价格变化的影响，并作为结算的唯一依据。</w:t>
      </w:r>
    </w:p>
    <w:p w14:paraId="4BAB8748">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三、合同款项支付</w:t>
      </w:r>
    </w:p>
    <w:p w14:paraId="0577E4BA">
      <w:pPr>
        <w:spacing w:line="360" w:lineRule="auto"/>
        <w:ind w:firstLine="360" w:firstLineChars="1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1、结算单位：采购人结算，在付款前，必</w:t>
      </w:r>
      <w:r>
        <w:rPr>
          <w:rFonts w:hint="eastAsia" w:asciiTheme="minorEastAsia" w:hAnsiTheme="minorEastAsia" w:eastAsiaTheme="minorEastAsia" w:cstheme="minorEastAsia"/>
          <w:color w:val="auto"/>
          <w:sz w:val="24"/>
        </w:rPr>
        <w:t>须开具全额发票</w:t>
      </w:r>
      <w:r>
        <w:rPr>
          <w:rFonts w:hint="eastAsia" w:asciiTheme="minorEastAsia" w:hAnsiTheme="minorEastAsia" w:eastAsiaTheme="minorEastAsia" w:cstheme="minorEastAsia"/>
          <w:sz w:val="24"/>
        </w:rPr>
        <w:t>给采购人。</w:t>
      </w:r>
    </w:p>
    <w:p w14:paraId="6FF345C5">
      <w:pPr>
        <w:spacing w:line="360" w:lineRule="auto"/>
        <w:ind w:firstLine="360" w:firstLineChars="15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2、付款方式：</w:t>
      </w:r>
      <w:r>
        <w:rPr>
          <w:rFonts w:hint="eastAsia" w:asciiTheme="minorEastAsia" w:hAnsiTheme="minorEastAsia" w:eastAsiaTheme="minorEastAsia" w:cstheme="minorEastAsia"/>
          <w:bCs/>
          <w:color w:val="auto"/>
          <w:sz w:val="24"/>
        </w:rPr>
        <w:t>（此处填写内容应与</w:t>
      </w:r>
      <w:r>
        <w:rPr>
          <w:rFonts w:hint="eastAsia" w:asciiTheme="minorEastAsia" w:hAnsiTheme="minorEastAsia" w:eastAsiaTheme="minorEastAsia" w:cstheme="minorEastAsia"/>
          <w:bCs/>
          <w:color w:val="auto"/>
          <w:sz w:val="24"/>
          <w:lang w:eastAsia="zh-CN"/>
        </w:rPr>
        <w:t>响应文件</w:t>
      </w:r>
      <w:r>
        <w:rPr>
          <w:rFonts w:hint="eastAsia" w:asciiTheme="minorEastAsia" w:hAnsiTheme="minorEastAsia" w:eastAsiaTheme="minorEastAsia" w:cstheme="minorEastAsia"/>
          <w:bCs/>
          <w:color w:val="auto"/>
          <w:sz w:val="24"/>
        </w:rPr>
        <w:t>一致）</w:t>
      </w:r>
    </w:p>
    <w:p w14:paraId="2CE1EBBC">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四、交货条件</w:t>
      </w:r>
    </w:p>
    <w:p w14:paraId="516DB596">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（一）交货地点：采购人指定地点。</w:t>
      </w:r>
    </w:p>
    <w:p w14:paraId="48517AC1">
      <w:pPr>
        <w:spacing w:line="360" w:lineRule="auto"/>
        <w:ind w:firstLine="480" w:firstLineChars="200"/>
        <w:jc w:val="left"/>
        <w:rPr>
          <w:rFonts w:hint="eastAsia" w:asciiTheme="minorEastAsia" w:hAnsiTheme="minorEastAsia" w:eastAsiaTheme="minorEastAsia" w:cstheme="minorEastAsia"/>
          <w:b/>
          <w:bCs/>
          <w:color w:val="FF0000"/>
          <w:sz w:val="24"/>
          <w:highlight w:val="yellow"/>
          <w:lang w:eastAsia="zh-CN"/>
        </w:rPr>
      </w:pPr>
      <w:r>
        <w:rPr>
          <w:rFonts w:hint="eastAsia" w:asciiTheme="minorEastAsia" w:hAnsiTheme="minorEastAsia" w:eastAsiaTheme="minorEastAsia" w:cstheme="minorEastAsia"/>
          <w:sz w:val="24"/>
        </w:rPr>
        <w:t>（二）交货期：</w:t>
      </w:r>
      <w:r>
        <w:rPr>
          <w:rFonts w:hint="eastAsia" w:asciiTheme="minorEastAsia" w:hAnsiTheme="minorEastAsia" w:eastAsiaTheme="minorEastAsia" w:cstheme="minorEastAsia"/>
          <w:bCs/>
          <w:color w:val="auto"/>
          <w:sz w:val="24"/>
        </w:rPr>
        <w:t>（此处填写内容应与</w:t>
      </w:r>
      <w:r>
        <w:rPr>
          <w:rFonts w:hint="eastAsia" w:asciiTheme="minorEastAsia" w:hAnsiTheme="minorEastAsia" w:eastAsiaTheme="minorEastAsia" w:cstheme="minorEastAsia"/>
          <w:bCs/>
          <w:color w:val="auto"/>
          <w:sz w:val="24"/>
          <w:lang w:eastAsia="zh-CN"/>
        </w:rPr>
        <w:t>响应文件</w:t>
      </w:r>
      <w:r>
        <w:rPr>
          <w:rFonts w:hint="eastAsia" w:asciiTheme="minorEastAsia" w:hAnsiTheme="minorEastAsia" w:eastAsiaTheme="minorEastAsia" w:cstheme="minorEastAsia"/>
          <w:bCs/>
          <w:color w:val="auto"/>
          <w:sz w:val="24"/>
        </w:rPr>
        <w:t>一致）</w:t>
      </w:r>
    </w:p>
    <w:p w14:paraId="0C692A15">
      <w:pPr>
        <w:spacing w:line="360" w:lineRule="auto"/>
        <w:ind w:firstLine="480" w:firstLineChars="2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4"/>
        </w:rPr>
        <w:t>（三）</w:t>
      </w:r>
      <w:bookmarkStart w:id="0" w:name="OLE_LINK13"/>
      <w:r>
        <w:rPr>
          <w:rFonts w:hint="eastAsia" w:asciiTheme="minorEastAsia" w:hAnsiTheme="minorEastAsia" w:eastAsiaTheme="minorEastAsia" w:cstheme="minorEastAsia"/>
          <w:sz w:val="24"/>
        </w:rPr>
        <w:t>质保期</w:t>
      </w:r>
      <w:bookmarkEnd w:id="0"/>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bCs/>
          <w:color w:val="auto"/>
          <w:sz w:val="24"/>
        </w:rPr>
        <w:t>（此处填写内容应与</w:t>
      </w:r>
      <w:r>
        <w:rPr>
          <w:rFonts w:hint="eastAsia" w:asciiTheme="minorEastAsia" w:hAnsiTheme="minorEastAsia" w:eastAsiaTheme="minorEastAsia" w:cstheme="minorEastAsia"/>
          <w:bCs/>
          <w:color w:val="auto"/>
          <w:sz w:val="24"/>
          <w:lang w:eastAsia="zh-CN"/>
        </w:rPr>
        <w:t>响应文件</w:t>
      </w:r>
      <w:r>
        <w:rPr>
          <w:rFonts w:hint="eastAsia" w:asciiTheme="minorEastAsia" w:hAnsiTheme="minorEastAsia" w:eastAsiaTheme="minorEastAsia" w:cstheme="minorEastAsia"/>
          <w:bCs/>
          <w:color w:val="auto"/>
          <w:sz w:val="24"/>
        </w:rPr>
        <w:t>一致）</w:t>
      </w:r>
    </w:p>
    <w:p w14:paraId="4B3AAB70">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五、包装运输</w:t>
      </w:r>
    </w:p>
    <w:p w14:paraId="565D46C7">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（一）运杂费：一次包死，已包含在合同总价内，包括从产品供应地点到交货地点所包含的运输费、保险费、搬运费等一切费用。</w:t>
      </w:r>
    </w:p>
    <w:p w14:paraId="231C7778">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（二）运输方式：</w:t>
      </w:r>
      <w:r>
        <w:rPr>
          <w:rFonts w:hint="eastAsia" w:asciiTheme="minorEastAsia" w:hAnsiTheme="minorEastAsia" w:eastAsiaTheme="minorEastAsia" w:cstheme="minorEastAsia"/>
          <w:sz w:val="24"/>
          <w:u w:val="single"/>
        </w:rPr>
        <w:t xml:space="preserve">            </w:t>
      </w:r>
    </w:p>
    <w:p w14:paraId="139F1170">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六、质量保证</w:t>
      </w:r>
    </w:p>
    <w:p w14:paraId="727AA6A7">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（一）乙方提供给甲方的产品必须是设计科学、技术成熟、工艺优良，是用优质材料制造的、先进的、原厂生产的未曾使用过的、全新的合格产品。</w:t>
      </w:r>
    </w:p>
    <w:p w14:paraId="1D5CD244">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（二）设计技术专利、外形专利、应用软件专利等均应符合我国有关法律及行业标准，凡因以上问题与第三方发生的任何纠纷均与甲方无关。</w:t>
      </w:r>
    </w:p>
    <w:p w14:paraId="00189BAE">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（三）安全可靠。在正常使用下不应对操作者造成任何人身伤害，如因产品质量或标示不明确而对操作者造成损失的，甲方将保留依法索赔的权利。</w:t>
      </w:r>
    </w:p>
    <w:p w14:paraId="1F07D501">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（四）有强制性安全标准的产品，乙方应提供该产品的制造许可证证明。</w:t>
      </w:r>
    </w:p>
    <w:p w14:paraId="3E89FC1A">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（五）属于国家计量检测强检的产品，供货时提供本省法定计量检测机构出具的检测证书。</w:t>
      </w:r>
    </w:p>
    <w:p w14:paraId="5BAF20C0">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751AB2ED">
      <w:pPr>
        <w:spacing w:line="360" w:lineRule="auto"/>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（七）</w:t>
      </w:r>
      <w:r>
        <w:rPr>
          <w:rFonts w:hint="eastAsia" w:asciiTheme="minorEastAsia" w:hAnsiTheme="minorEastAsia" w:eastAsiaTheme="minorEastAsia" w:cstheme="minorEastAsia"/>
          <w:bCs/>
          <w:sz w:val="24"/>
        </w:rPr>
        <w:t>乙方所提供</w:t>
      </w:r>
      <w:r>
        <w:rPr>
          <w:rFonts w:hint="eastAsia" w:asciiTheme="minorEastAsia" w:hAnsiTheme="minorEastAsia" w:eastAsiaTheme="minorEastAsia" w:cstheme="minorEastAsia"/>
          <w:bCs/>
          <w:sz w:val="24"/>
          <w:lang w:eastAsia="zh-CN"/>
        </w:rPr>
        <w:t>试剂耗材</w:t>
      </w:r>
      <w:r>
        <w:rPr>
          <w:rFonts w:hint="eastAsia" w:asciiTheme="minorEastAsia" w:hAnsiTheme="minorEastAsia" w:eastAsiaTheme="minorEastAsia" w:cstheme="minorEastAsia"/>
          <w:bCs/>
          <w:sz w:val="24"/>
        </w:rPr>
        <w:t>质保期为_____。</w:t>
      </w:r>
      <w:r>
        <w:rPr>
          <w:rFonts w:hint="eastAsia" w:asciiTheme="minorEastAsia" w:hAnsiTheme="minorEastAsia" w:eastAsiaTheme="minorEastAsia" w:cstheme="minorEastAsia"/>
          <w:bCs/>
          <w:sz w:val="24"/>
          <w:lang w:eastAsia="zh-CN"/>
        </w:rPr>
        <w:t>试剂耗材</w:t>
      </w:r>
      <w:r>
        <w:rPr>
          <w:rFonts w:hint="eastAsia" w:asciiTheme="minorEastAsia" w:hAnsiTheme="minorEastAsia" w:eastAsiaTheme="minorEastAsia" w:cstheme="minorEastAsia"/>
          <w:bCs/>
          <w:sz w:val="24"/>
        </w:rPr>
        <w:t>质保期按</w:t>
      </w:r>
      <w:r>
        <w:rPr>
          <w:rFonts w:hint="eastAsia" w:asciiTheme="minorEastAsia" w:hAnsiTheme="minorEastAsia" w:eastAsiaTheme="minorEastAsia" w:cstheme="minorEastAsia"/>
          <w:bCs/>
          <w:sz w:val="24"/>
          <w:lang w:eastAsia="zh-CN"/>
        </w:rPr>
        <w:t>试剂耗材</w:t>
      </w:r>
      <w:r>
        <w:rPr>
          <w:rFonts w:hint="eastAsia" w:asciiTheme="minorEastAsia" w:hAnsiTheme="minorEastAsia" w:eastAsiaTheme="minorEastAsia" w:cstheme="minorEastAsia"/>
          <w:bCs/>
          <w:sz w:val="24"/>
        </w:rPr>
        <w:t>安装验收合格办理入库之日算起。</w:t>
      </w:r>
    </w:p>
    <w:p w14:paraId="5B5441ED">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七、技术规格及标准。（详见附件2）</w:t>
      </w:r>
    </w:p>
    <w:p w14:paraId="19593AF6">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八、配置清单。（详见附件3）</w:t>
      </w:r>
    </w:p>
    <w:p w14:paraId="2BAF766F">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九、技术服务</w:t>
      </w:r>
    </w:p>
    <w:p w14:paraId="539B9B4E">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（一）技术资料：</w:t>
      </w:r>
    </w:p>
    <w:p w14:paraId="71CB8D40">
      <w:pPr>
        <w:spacing w:line="360" w:lineRule="auto"/>
        <w:ind w:firstLine="600" w:firstLineChars="2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1、产品合格证、商检证明。</w:t>
      </w:r>
    </w:p>
    <w:p w14:paraId="1CCED91B">
      <w:pPr>
        <w:spacing w:line="360" w:lineRule="auto"/>
        <w:ind w:firstLine="600" w:firstLineChars="2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2、产品使用说明书。</w:t>
      </w:r>
    </w:p>
    <w:p w14:paraId="7064BC2E">
      <w:pPr>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sz w:val="24"/>
        </w:rPr>
        <w:t>（二）人员培训：</w:t>
      </w:r>
      <w:r>
        <w:rPr>
          <w:rFonts w:hint="eastAsia" w:asciiTheme="minorEastAsia" w:hAnsiTheme="minorEastAsia" w:eastAsiaTheme="minorEastAsia" w:cstheme="minorEastAsia"/>
          <w:sz w:val="24"/>
        </w:rPr>
        <w:t>免费为使用单位培训操作人员至能达到操作要求。</w:t>
      </w:r>
    </w:p>
    <w:p w14:paraId="19946C78">
      <w:pPr>
        <w:spacing w:line="360" w:lineRule="auto"/>
        <w:ind w:firstLine="482" w:firstLineChars="200"/>
        <w:jc w:val="left"/>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（三）服务承诺：</w:t>
      </w:r>
    </w:p>
    <w:p w14:paraId="3F3377AB">
      <w:pPr>
        <w:spacing w:line="360" w:lineRule="auto"/>
        <w:ind w:firstLine="600" w:firstLineChars="250"/>
        <w:jc w:val="left"/>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Cs/>
          <w:color w:val="auto"/>
          <w:sz w:val="24"/>
        </w:rPr>
        <w:t>（此处填写内容应与</w:t>
      </w:r>
      <w:r>
        <w:rPr>
          <w:rFonts w:hint="eastAsia" w:asciiTheme="minorEastAsia" w:hAnsiTheme="minorEastAsia" w:eastAsiaTheme="minorEastAsia" w:cstheme="minorEastAsia"/>
          <w:bCs/>
          <w:color w:val="auto"/>
          <w:sz w:val="24"/>
          <w:lang w:eastAsia="zh-CN"/>
        </w:rPr>
        <w:t>响应文件</w:t>
      </w:r>
      <w:r>
        <w:rPr>
          <w:rFonts w:hint="eastAsia" w:asciiTheme="minorEastAsia" w:hAnsiTheme="minorEastAsia" w:eastAsiaTheme="minorEastAsia" w:cstheme="minorEastAsia"/>
          <w:bCs/>
          <w:color w:val="auto"/>
          <w:sz w:val="24"/>
        </w:rPr>
        <w:t>一致）</w:t>
      </w:r>
    </w:p>
    <w:p w14:paraId="6682A132">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十、违约责任</w:t>
      </w:r>
    </w:p>
    <w:p w14:paraId="2A22E793">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（一）按《中华人民共和国民法典》中的相关条款执行。</w:t>
      </w:r>
    </w:p>
    <w:p w14:paraId="04D6E552">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（二）未按合同要求的提供产品或</w:t>
      </w:r>
      <w:r>
        <w:rPr>
          <w:rFonts w:hint="eastAsia" w:asciiTheme="minorEastAsia" w:hAnsiTheme="minorEastAsia" w:eastAsiaTheme="minorEastAsia" w:cstheme="minorEastAsia"/>
          <w:sz w:val="24"/>
          <w:lang w:eastAsia="zh-CN"/>
        </w:rPr>
        <w:t>试剂耗材</w:t>
      </w:r>
      <w:r>
        <w:rPr>
          <w:rFonts w:hint="eastAsia" w:asciiTheme="minorEastAsia" w:hAnsiTheme="minorEastAsia" w:eastAsiaTheme="minorEastAsia" w:cstheme="minorEastAsia"/>
          <w:sz w:val="24"/>
        </w:rPr>
        <w:t>质量不能满足技术要求，西安市粮油质量检验中心有权终止合同，甚至对供方违约行为进行追究。</w:t>
      </w:r>
    </w:p>
    <w:p w14:paraId="4DD1B0C9">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（三）如有纠纷，双方友好协商解决，协商不成时可诉讼到甲方所在地人民法院解决。</w:t>
      </w:r>
    </w:p>
    <w:p w14:paraId="6217D45D">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十一、验收</w:t>
      </w:r>
    </w:p>
    <w:p w14:paraId="5F2D5F78">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w:t>
      </w:r>
      <w:r>
        <w:rPr>
          <w:rFonts w:hint="eastAsia" w:asciiTheme="minorEastAsia" w:hAnsiTheme="minorEastAsia" w:eastAsiaTheme="minorEastAsia" w:cstheme="minorEastAsia"/>
          <w:sz w:val="24"/>
          <w:lang w:eastAsia="zh-CN"/>
        </w:rPr>
        <w:t>响应文件</w:t>
      </w:r>
      <w:r>
        <w:rPr>
          <w:rFonts w:hint="eastAsia" w:asciiTheme="minorEastAsia" w:hAnsiTheme="minorEastAsia" w:eastAsiaTheme="minorEastAsia" w:cstheme="minorEastAsia"/>
          <w:sz w:val="24"/>
        </w:rPr>
        <w:t>、澄清、及国家相应的标准、规范等为依据。</w:t>
      </w:r>
    </w:p>
    <w:p w14:paraId="785F8185">
      <w:pPr>
        <w:spacing w:line="360" w:lineRule="auto"/>
        <w:jc w:val="left"/>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sz w:val="24"/>
        </w:rPr>
        <w:t>十二、其他事项</w:t>
      </w:r>
    </w:p>
    <w:p w14:paraId="4C00BB5E">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color w:val="auto"/>
          <w:sz w:val="24"/>
        </w:rPr>
        <w:t>（一）西安市粮油质量检验中心监管部门在合同的履</w:t>
      </w:r>
      <w:r>
        <w:rPr>
          <w:rFonts w:hint="eastAsia" w:asciiTheme="minorEastAsia" w:hAnsiTheme="minorEastAsia" w:eastAsiaTheme="minorEastAsia" w:cstheme="minorEastAsia"/>
          <w:sz w:val="24"/>
        </w:rPr>
        <w:t>行期间以及履行期后，可以随时检查项目的执行情况，对采购标准、采购内容进行调查核实，并对发现的问题进行处理。</w:t>
      </w:r>
    </w:p>
    <w:p w14:paraId="25A87CED">
      <w:pPr>
        <w:spacing w:line="360" w:lineRule="auto"/>
        <w:ind w:left="105" w:leftChars="50" w:firstLine="360" w:firstLineChars="1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（二）本合同一式六份，甲方</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四份，乙方</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一份，采购代理机构一份，甲乙双方签字盖章后生效。</w:t>
      </w:r>
    </w:p>
    <w:p w14:paraId="00CB9D24">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w:t>
      </w:r>
      <w:r>
        <w:rPr>
          <w:rFonts w:hint="eastAsia" w:asciiTheme="minorEastAsia" w:hAnsiTheme="minorEastAsia" w:eastAsiaTheme="minorEastAsia" w:cstheme="minorEastAsia"/>
          <w:bCs/>
          <w:sz w:val="24"/>
          <w:lang w:eastAsia="zh-CN"/>
        </w:rPr>
        <w:t>谈判文件</w:t>
      </w:r>
      <w:r>
        <w:rPr>
          <w:rFonts w:hint="eastAsia" w:asciiTheme="minorEastAsia" w:hAnsiTheme="minorEastAsia" w:eastAsiaTheme="minorEastAsia" w:cstheme="minorEastAsia"/>
          <w:bCs/>
          <w:sz w:val="24"/>
        </w:rPr>
        <w:t>、</w:t>
      </w:r>
      <w:r>
        <w:rPr>
          <w:rFonts w:hint="eastAsia" w:asciiTheme="minorEastAsia" w:hAnsiTheme="minorEastAsia" w:eastAsiaTheme="minorEastAsia" w:cstheme="minorEastAsia"/>
          <w:bCs/>
          <w:sz w:val="24"/>
          <w:lang w:eastAsia="zh-CN"/>
        </w:rPr>
        <w:t>响应文件</w:t>
      </w:r>
      <w:r>
        <w:rPr>
          <w:rFonts w:hint="eastAsia" w:asciiTheme="minorEastAsia" w:hAnsiTheme="minorEastAsia" w:eastAsiaTheme="minorEastAsia" w:cstheme="minorEastAsia"/>
          <w:bCs/>
          <w:sz w:val="24"/>
        </w:rPr>
        <w:t>也是合同的组成部分，合同中未约定的以</w:t>
      </w:r>
      <w:r>
        <w:rPr>
          <w:rFonts w:hint="eastAsia" w:asciiTheme="minorEastAsia" w:hAnsiTheme="minorEastAsia" w:eastAsiaTheme="minorEastAsia" w:cstheme="minorEastAsia"/>
          <w:bCs/>
          <w:sz w:val="24"/>
          <w:lang w:eastAsia="zh-CN"/>
        </w:rPr>
        <w:t>谈判文件</w:t>
      </w:r>
      <w:r>
        <w:rPr>
          <w:rFonts w:hint="eastAsia" w:asciiTheme="minorEastAsia" w:hAnsiTheme="minorEastAsia" w:eastAsiaTheme="minorEastAsia" w:cstheme="minorEastAsia"/>
          <w:bCs/>
          <w:sz w:val="24"/>
        </w:rPr>
        <w:t>、</w:t>
      </w:r>
      <w:r>
        <w:rPr>
          <w:rFonts w:hint="eastAsia" w:asciiTheme="minorEastAsia" w:hAnsiTheme="minorEastAsia" w:eastAsiaTheme="minorEastAsia" w:cstheme="minorEastAsia"/>
          <w:bCs/>
          <w:sz w:val="24"/>
          <w:lang w:eastAsia="zh-CN"/>
        </w:rPr>
        <w:t>响应文件</w:t>
      </w:r>
      <w:r>
        <w:rPr>
          <w:rFonts w:hint="eastAsia" w:asciiTheme="minorEastAsia" w:hAnsiTheme="minorEastAsia" w:eastAsiaTheme="minorEastAsia" w:cstheme="minorEastAsia"/>
          <w:bCs/>
          <w:sz w:val="24"/>
        </w:rPr>
        <w:t>为准。</w:t>
      </w:r>
    </w:p>
    <w:p w14:paraId="4967F1AE">
      <w:pPr>
        <w:spacing w:line="360" w:lineRule="auto"/>
        <w:ind w:firstLine="600" w:firstLineChars="2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合同签订地点：   </w:t>
      </w:r>
    </w:p>
    <w:p w14:paraId="3C428745">
      <w:pPr>
        <w:spacing w:line="360" w:lineRule="auto"/>
        <w:ind w:firstLine="600" w:firstLineChars="2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合同签订时间：    年   月    日</w:t>
      </w:r>
    </w:p>
    <w:p w14:paraId="7B326388">
      <w:pPr>
        <w:spacing w:line="360" w:lineRule="auto"/>
        <w:jc w:val="left"/>
        <w:rPr>
          <w:rFonts w:hint="eastAsia" w:asciiTheme="minorEastAsia" w:hAnsiTheme="minorEastAsia" w:eastAsiaTheme="minorEastAsia" w:cstheme="minorEastAsia"/>
          <w:sz w:val="24"/>
        </w:rPr>
      </w:pPr>
    </w:p>
    <w:p w14:paraId="68EA4103">
      <w:pPr>
        <w:spacing w:line="360" w:lineRule="auto"/>
        <w:jc w:val="left"/>
        <w:rPr>
          <w:rFonts w:hint="eastAsia" w:asciiTheme="minorEastAsia" w:hAnsiTheme="minorEastAsia" w:eastAsiaTheme="minorEastAsia" w:cstheme="minorEastAsia"/>
          <w:sz w:val="24"/>
        </w:rPr>
      </w:pPr>
    </w:p>
    <w:p w14:paraId="52E2D0FA">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甲    方                           乙    方</w:t>
      </w:r>
    </w:p>
    <w:p w14:paraId="40F5EAEC">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单位名称：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单位名称： </w:t>
      </w:r>
    </w:p>
    <w:p w14:paraId="77D9903E">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地   址：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地    址：</w:t>
      </w:r>
    </w:p>
    <w:p w14:paraId="28AD115D">
      <w:pPr>
        <w:spacing w:line="360" w:lineRule="auto"/>
        <w:jc w:val="left"/>
        <w:rPr>
          <w:rFonts w:hint="eastAsia" w:asciiTheme="minorEastAsia" w:hAnsiTheme="minorEastAsia" w:eastAsiaTheme="minorEastAsia" w:cstheme="minorEastAsia"/>
          <w:sz w:val="24"/>
        </w:rPr>
      </w:pPr>
    </w:p>
    <w:p w14:paraId="6E548AD8">
      <w:pPr>
        <w:spacing w:line="360" w:lineRule="auto"/>
        <w:jc w:val="left"/>
        <w:rPr>
          <w:rFonts w:hint="eastAsia" w:asciiTheme="minorEastAsia" w:hAnsiTheme="minorEastAsia" w:eastAsiaTheme="minorEastAsia" w:cstheme="minorEastAsia"/>
          <w:sz w:val="24"/>
        </w:rPr>
      </w:pPr>
    </w:p>
    <w:p w14:paraId="2D020886">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法人代表：                         法人代表： </w:t>
      </w:r>
    </w:p>
    <w:p w14:paraId="0391BC30">
      <w:pPr>
        <w:spacing w:line="360" w:lineRule="auto"/>
        <w:jc w:val="left"/>
        <w:rPr>
          <w:rFonts w:hint="eastAsia" w:asciiTheme="minorEastAsia" w:hAnsiTheme="minorEastAsia" w:eastAsiaTheme="minorEastAsia" w:cstheme="minorEastAsia"/>
          <w:sz w:val="24"/>
        </w:rPr>
      </w:pPr>
    </w:p>
    <w:p w14:paraId="35C128F1">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联系电话：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联系电话： </w:t>
      </w:r>
    </w:p>
    <w:p w14:paraId="2AA47C62">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开 户 行：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开 户 行： </w:t>
      </w:r>
    </w:p>
    <w:p w14:paraId="4048B4FE">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账    号：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账    号：</w:t>
      </w:r>
    </w:p>
    <w:p w14:paraId="362F2AF3">
      <w:pPr>
        <w:spacing w:line="360" w:lineRule="auto"/>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br w:type="page"/>
      </w:r>
      <w:r>
        <w:rPr>
          <w:rFonts w:hint="eastAsia" w:asciiTheme="minorEastAsia" w:hAnsiTheme="minorEastAsia" w:eastAsiaTheme="minorEastAsia" w:cstheme="minorEastAsia"/>
          <w:b/>
          <w:bCs/>
          <w:sz w:val="24"/>
        </w:rPr>
        <w:t>附件1 采购内容</w:t>
      </w:r>
    </w:p>
    <w:tbl>
      <w:tblPr>
        <w:tblStyle w:val="8"/>
        <w:tblpPr w:leftFromText="180" w:rightFromText="180" w:vertAnchor="text" w:horzAnchor="page" w:tblpX="1137" w:tblpY="339"/>
        <w:tblOverlap w:val="never"/>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278"/>
        <w:gridCol w:w="708"/>
        <w:gridCol w:w="752"/>
        <w:gridCol w:w="1243"/>
        <w:gridCol w:w="1148"/>
        <w:gridCol w:w="819"/>
      </w:tblGrid>
      <w:tr w14:paraId="6089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noWrap w:val="0"/>
            <w:vAlign w:val="center"/>
          </w:tcPr>
          <w:p w14:paraId="1B388910">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序号</w:t>
            </w:r>
          </w:p>
        </w:tc>
        <w:tc>
          <w:tcPr>
            <w:tcW w:w="1227" w:type="dxa"/>
            <w:noWrap w:val="0"/>
            <w:vAlign w:val="center"/>
          </w:tcPr>
          <w:p w14:paraId="148E65CF">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产品名称</w:t>
            </w:r>
          </w:p>
        </w:tc>
        <w:tc>
          <w:tcPr>
            <w:tcW w:w="850" w:type="dxa"/>
            <w:noWrap w:val="0"/>
            <w:vAlign w:val="center"/>
          </w:tcPr>
          <w:p w14:paraId="3A407241">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型号</w:t>
            </w:r>
          </w:p>
        </w:tc>
        <w:tc>
          <w:tcPr>
            <w:tcW w:w="849" w:type="dxa"/>
            <w:noWrap w:val="0"/>
            <w:vAlign w:val="center"/>
          </w:tcPr>
          <w:p w14:paraId="5AE5DFEE">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产地</w:t>
            </w:r>
          </w:p>
        </w:tc>
        <w:tc>
          <w:tcPr>
            <w:tcW w:w="1278" w:type="dxa"/>
            <w:noWrap w:val="0"/>
            <w:vAlign w:val="center"/>
          </w:tcPr>
          <w:p w14:paraId="796F990E">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生产厂家</w:t>
            </w:r>
          </w:p>
        </w:tc>
        <w:tc>
          <w:tcPr>
            <w:tcW w:w="708" w:type="dxa"/>
            <w:noWrap w:val="0"/>
            <w:vAlign w:val="center"/>
          </w:tcPr>
          <w:p w14:paraId="7224D90B">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单位</w:t>
            </w:r>
          </w:p>
        </w:tc>
        <w:tc>
          <w:tcPr>
            <w:tcW w:w="752" w:type="dxa"/>
            <w:noWrap w:val="0"/>
            <w:vAlign w:val="center"/>
          </w:tcPr>
          <w:p w14:paraId="2A6D458C">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数量</w:t>
            </w:r>
          </w:p>
        </w:tc>
        <w:tc>
          <w:tcPr>
            <w:tcW w:w="1243" w:type="dxa"/>
            <w:noWrap w:val="0"/>
            <w:vAlign w:val="center"/>
          </w:tcPr>
          <w:p w14:paraId="75B9EB49">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单价</w:t>
            </w:r>
          </w:p>
          <w:p w14:paraId="3820D064">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（元）</w:t>
            </w:r>
          </w:p>
        </w:tc>
        <w:tc>
          <w:tcPr>
            <w:tcW w:w="1148" w:type="dxa"/>
            <w:noWrap w:val="0"/>
            <w:vAlign w:val="center"/>
          </w:tcPr>
          <w:p w14:paraId="07B1BE81">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合计</w:t>
            </w:r>
          </w:p>
          <w:p w14:paraId="0F67B036">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（元）</w:t>
            </w:r>
          </w:p>
        </w:tc>
        <w:tc>
          <w:tcPr>
            <w:tcW w:w="819" w:type="dxa"/>
            <w:noWrap w:val="0"/>
            <w:vAlign w:val="center"/>
          </w:tcPr>
          <w:p w14:paraId="38EBE12E">
            <w:pPr>
              <w:keepNext w:val="0"/>
              <w:keepLines w:val="0"/>
              <w:suppressLineNumbers w:val="0"/>
              <w:tabs>
                <w:tab w:val="left" w:pos="810"/>
              </w:tabs>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备注</w:t>
            </w:r>
          </w:p>
        </w:tc>
      </w:tr>
      <w:tr w14:paraId="09B4B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75961082">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27" w:type="dxa"/>
            <w:noWrap w:val="0"/>
            <w:vAlign w:val="center"/>
          </w:tcPr>
          <w:p w14:paraId="6D33C7D3">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50" w:type="dxa"/>
            <w:noWrap w:val="0"/>
            <w:vAlign w:val="center"/>
          </w:tcPr>
          <w:p w14:paraId="43D37E36">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49" w:type="dxa"/>
            <w:noWrap w:val="0"/>
            <w:vAlign w:val="center"/>
          </w:tcPr>
          <w:p w14:paraId="3307DB11">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78" w:type="dxa"/>
            <w:noWrap w:val="0"/>
            <w:vAlign w:val="center"/>
          </w:tcPr>
          <w:p w14:paraId="274CEEA7">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08" w:type="dxa"/>
            <w:noWrap w:val="0"/>
            <w:vAlign w:val="center"/>
          </w:tcPr>
          <w:p w14:paraId="72B5418F">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52" w:type="dxa"/>
            <w:noWrap w:val="0"/>
            <w:vAlign w:val="center"/>
          </w:tcPr>
          <w:p w14:paraId="12CEACB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43" w:type="dxa"/>
            <w:noWrap w:val="0"/>
            <w:vAlign w:val="center"/>
          </w:tcPr>
          <w:p w14:paraId="6A191C0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148" w:type="dxa"/>
            <w:noWrap w:val="0"/>
            <w:vAlign w:val="center"/>
          </w:tcPr>
          <w:p w14:paraId="4C2D5564">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19" w:type="dxa"/>
            <w:noWrap w:val="0"/>
            <w:vAlign w:val="center"/>
          </w:tcPr>
          <w:p w14:paraId="004F535C">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r>
      <w:tr w14:paraId="58F2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5A8426D6">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27" w:type="dxa"/>
            <w:noWrap w:val="0"/>
            <w:vAlign w:val="center"/>
          </w:tcPr>
          <w:p w14:paraId="0960C74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50" w:type="dxa"/>
            <w:noWrap w:val="0"/>
            <w:vAlign w:val="center"/>
          </w:tcPr>
          <w:p w14:paraId="46A3592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49" w:type="dxa"/>
            <w:noWrap w:val="0"/>
            <w:vAlign w:val="center"/>
          </w:tcPr>
          <w:p w14:paraId="49A8A8A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78" w:type="dxa"/>
            <w:noWrap w:val="0"/>
            <w:vAlign w:val="center"/>
          </w:tcPr>
          <w:p w14:paraId="671907EB">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08" w:type="dxa"/>
            <w:noWrap w:val="0"/>
            <w:vAlign w:val="center"/>
          </w:tcPr>
          <w:p w14:paraId="0A11A7E7">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52" w:type="dxa"/>
            <w:noWrap w:val="0"/>
            <w:vAlign w:val="center"/>
          </w:tcPr>
          <w:p w14:paraId="0D12ECB3">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43" w:type="dxa"/>
            <w:noWrap w:val="0"/>
            <w:vAlign w:val="center"/>
          </w:tcPr>
          <w:p w14:paraId="7BFF9C00">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148" w:type="dxa"/>
            <w:noWrap w:val="0"/>
            <w:vAlign w:val="center"/>
          </w:tcPr>
          <w:p w14:paraId="77EFE390">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19" w:type="dxa"/>
            <w:noWrap w:val="0"/>
            <w:vAlign w:val="center"/>
          </w:tcPr>
          <w:p w14:paraId="6CAC0617">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r>
      <w:tr w14:paraId="12DAD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4E235B3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27" w:type="dxa"/>
            <w:noWrap w:val="0"/>
            <w:vAlign w:val="center"/>
          </w:tcPr>
          <w:p w14:paraId="16D36151">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50" w:type="dxa"/>
            <w:noWrap w:val="0"/>
            <w:vAlign w:val="center"/>
          </w:tcPr>
          <w:p w14:paraId="6AD133F6">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49" w:type="dxa"/>
            <w:noWrap w:val="0"/>
            <w:vAlign w:val="center"/>
          </w:tcPr>
          <w:p w14:paraId="7A6BC8BC">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78" w:type="dxa"/>
            <w:noWrap w:val="0"/>
            <w:vAlign w:val="center"/>
          </w:tcPr>
          <w:p w14:paraId="164B2347">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08" w:type="dxa"/>
            <w:noWrap w:val="0"/>
            <w:vAlign w:val="center"/>
          </w:tcPr>
          <w:p w14:paraId="08003F86">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52" w:type="dxa"/>
            <w:noWrap w:val="0"/>
            <w:vAlign w:val="center"/>
          </w:tcPr>
          <w:p w14:paraId="759F67D4">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43" w:type="dxa"/>
            <w:noWrap w:val="0"/>
            <w:vAlign w:val="center"/>
          </w:tcPr>
          <w:p w14:paraId="7809F8C8">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148" w:type="dxa"/>
            <w:noWrap w:val="0"/>
            <w:vAlign w:val="center"/>
          </w:tcPr>
          <w:p w14:paraId="5937A3D6">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19" w:type="dxa"/>
            <w:noWrap w:val="0"/>
            <w:vAlign w:val="center"/>
          </w:tcPr>
          <w:p w14:paraId="4C3CD256">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r>
      <w:tr w14:paraId="1483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7" w:hRule="atLeast"/>
        </w:trPr>
        <w:tc>
          <w:tcPr>
            <w:tcW w:w="866" w:type="dxa"/>
            <w:noWrap w:val="0"/>
            <w:vAlign w:val="center"/>
          </w:tcPr>
          <w:p w14:paraId="4572D80D">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27" w:type="dxa"/>
            <w:noWrap w:val="0"/>
            <w:vAlign w:val="center"/>
          </w:tcPr>
          <w:p w14:paraId="037F3B6B">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50" w:type="dxa"/>
            <w:noWrap w:val="0"/>
            <w:vAlign w:val="center"/>
          </w:tcPr>
          <w:p w14:paraId="231D572F">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49" w:type="dxa"/>
            <w:noWrap w:val="0"/>
            <w:vAlign w:val="center"/>
          </w:tcPr>
          <w:p w14:paraId="3336EAD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78" w:type="dxa"/>
            <w:noWrap w:val="0"/>
            <w:vAlign w:val="center"/>
          </w:tcPr>
          <w:p w14:paraId="7C001EB3">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08" w:type="dxa"/>
            <w:noWrap w:val="0"/>
            <w:vAlign w:val="center"/>
          </w:tcPr>
          <w:p w14:paraId="17A4E1F9">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52" w:type="dxa"/>
            <w:noWrap w:val="0"/>
            <w:vAlign w:val="center"/>
          </w:tcPr>
          <w:p w14:paraId="5A218062">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43" w:type="dxa"/>
            <w:noWrap w:val="0"/>
            <w:vAlign w:val="center"/>
          </w:tcPr>
          <w:p w14:paraId="58F7F770">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148" w:type="dxa"/>
            <w:noWrap w:val="0"/>
            <w:vAlign w:val="center"/>
          </w:tcPr>
          <w:p w14:paraId="003EC1E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19" w:type="dxa"/>
            <w:noWrap w:val="0"/>
            <w:vAlign w:val="center"/>
          </w:tcPr>
          <w:p w14:paraId="1C83DF8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r>
      <w:tr w14:paraId="0C15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2E3A6A77">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27" w:type="dxa"/>
            <w:noWrap w:val="0"/>
            <w:vAlign w:val="center"/>
          </w:tcPr>
          <w:p w14:paraId="7253B2C0">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50" w:type="dxa"/>
            <w:noWrap w:val="0"/>
            <w:vAlign w:val="center"/>
          </w:tcPr>
          <w:p w14:paraId="58001821">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49" w:type="dxa"/>
            <w:noWrap w:val="0"/>
            <w:vAlign w:val="center"/>
          </w:tcPr>
          <w:p w14:paraId="2515ABCD">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78" w:type="dxa"/>
            <w:noWrap w:val="0"/>
            <w:vAlign w:val="center"/>
          </w:tcPr>
          <w:p w14:paraId="4A5879D2">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08" w:type="dxa"/>
            <w:noWrap w:val="0"/>
            <w:vAlign w:val="center"/>
          </w:tcPr>
          <w:p w14:paraId="01087F29">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52" w:type="dxa"/>
            <w:noWrap w:val="0"/>
            <w:vAlign w:val="center"/>
          </w:tcPr>
          <w:p w14:paraId="689877B9">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43" w:type="dxa"/>
            <w:noWrap w:val="0"/>
            <w:vAlign w:val="center"/>
          </w:tcPr>
          <w:p w14:paraId="1B85B76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148" w:type="dxa"/>
            <w:noWrap w:val="0"/>
            <w:vAlign w:val="center"/>
          </w:tcPr>
          <w:p w14:paraId="7B3A1F87">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19" w:type="dxa"/>
            <w:noWrap w:val="0"/>
            <w:vAlign w:val="center"/>
          </w:tcPr>
          <w:p w14:paraId="6F323032">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r>
      <w:tr w14:paraId="154A6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1A17E5F0">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27" w:type="dxa"/>
            <w:noWrap w:val="0"/>
            <w:vAlign w:val="center"/>
          </w:tcPr>
          <w:p w14:paraId="4785630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50" w:type="dxa"/>
            <w:noWrap w:val="0"/>
            <w:vAlign w:val="center"/>
          </w:tcPr>
          <w:p w14:paraId="295580A1">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49" w:type="dxa"/>
            <w:noWrap w:val="0"/>
            <w:vAlign w:val="center"/>
          </w:tcPr>
          <w:p w14:paraId="61552ED2">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78" w:type="dxa"/>
            <w:noWrap w:val="0"/>
            <w:vAlign w:val="center"/>
          </w:tcPr>
          <w:p w14:paraId="210BA1D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08" w:type="dxa"/>
            <w:noWrap w:val="0"/>
            <w:vAlign w:val="center"/>
          </w:tcPr>
          <w:p w14:paraId="44763404">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52" w:type="dxa"/>
            <w:noWrap w:val="0"/>
            <w:vAlign w:val="center"/>
          </w:tcPr>
          <w:p w14:paraId="1F6670A4">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43" w:type="dxa"/>
            <w:noWrap w:val="0"/>
            <w:vAlign w:val="center"/>
          </w:tcPr>
          <w:p w14:paraId="554A8D76">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148" w:type="dxa"/>
            <w:noWrap w:val="0"/>
            <w:vAlign w:val="center"/>
          </w:tcPr>
          <w:p w14:paraId="156360CF">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19" w:type="dxa"/>
            <w:noWrap w:val="0"/>
            <w:vAlign w:val="center"/>
          </w:tcPr>
          <w:p w14:paraId="0B35974A">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r>
      <w:tr w14:paraId="1504C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2CB4FE19">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27" w:type="dxa"/>
            <w:noWrap w:val="0"/>
            <w:vAlign w:val="center"/>
          </w:tcPr>
          <w:p w14:paraId="16D7BA9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50" w:type="dxa"/>
            <w:noWrap w:val="0"/>
            <w:vAlign w:val="center"/>
          </w:tcPr>
          <w:p w14:paraId="22DD013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49" w:type="dxa"/>
            <w:noWrap w:val="0"/>
            <w:vAlign w:val="center"/>
          </w:tcPr>
          <w:p w14:paraId="0AAB04F7">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78" w:type="dxa"/>
            <w:noWrap w:val="0"/>
            <w:vAlign w:val="center"/>
          </w:tcPr>
          <w:p w14:paraId="06564415">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08" w:type="dxa"/>
            <w:noWrap w:val="0"/>
            <w:vAlign w:val="center"/>
          </w:tcPr>
          <w:p w14:paraId="1984E512">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752" w:type="dxa"/>
            <w:noWrap w:val="0"/>
            <w:vAlign w:val="center"/>
          </w:tcPr>
          <w:p w14:paraId="6B84A770">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243" w:type="dxa"/>
            <w:noWrap w:val="0"/>
            <w:vAlign w:val="center"/>
          </w:tcPr>
          <w:p w14:paraId="6D8D53A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1148" w:type="dxa"/>
            <w:noWrap w:val="0"/>
            <w:vAlign w:val="center"/>
          </w:tcPr>
          <w:p w14:paraId="698485CE">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c>
          <w:tcPr>
            <w:tcW w:w="819" w:type="dxa"/>
            <w:noWrap w:val="0"/>
            <w:vAlign w:val="center"/>
          </w:tcPr>
          <w:p w14:paraId="55B2E9C7">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p>
        </w:tc>
      </w:tr>
      <w:tr w14:paraId="00DD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noWrap w:val="0"/>
            <w:vAlign w:val="center"/>
          </w:tcPr>
          <w:p w14:paraId="59AB6386">
            <w:pPr>
              <w:keepNext w:val="0"/>
              <w:keepLines w:val="0"/>
              <w:suppressLineNumbers w:val="0"/>
              <w:spacing w:before="0" w:beforeAutospacing="0" w:after="0" w:afterAutospacing="0" w:line="360" w:lineRule="auto"/>
              <w:ind w:left="420" w:leftChars="200" w:right="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Cs/>
                <w:sz w:val="24"/>
              </w:rPr>
              <w:t>总金额：</w:t>
            </w:r>
            <w:r>
              <w:rPr>
                <w:rFonts w:hint="eastAsia" w:asciiTheme="minorEastAsia" w:hAnsiTheme="minorEastAsia" w:eastAsiaTheme="minorEastAsia" w:cstheme="minorEastAsia"/>
                <w:sz w:val="24"/>
              </w:rPr>
              <w:t>人民币</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元整（¥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元）</w:t>
            </w:r>
          </w:p>
          <w:p w14:paraId="78935864">
            <w:pPr>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sz w:val="24"/>
              </w:rPr>
              <w:t xml:space="preserve">         </w:t>
            </w:r>
          </w:p>
        </w:tc>
      </w:tr>
    </w:tbl>
    <w:p w14:paraId="5251E606">
      <w:pPr>
        <w:spacing w:line="360" w:lineRule="auto"/>
        <w:jc w:val="left"/>
        <w:rPr>
          <w:rFonts w:hint="eastAsia" w:asciiTheme="minorEastAsia" w:hAnsiTheme="minorEastAsia" w:eastAsiaTheme="minorEastAsia" w:cstheme="minorEastAsia"/>
          <w:b/>
          <w:bCs/>
          <w:sz w:val="24"/>
        </w:rPr>
      </w:pPr>
    </w:p>
    <w:p w14:paraId="4B552DF5">
      <w:pPr>
        <w:spacing w:line="360" w:lineRule="auto"/>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附件2 性能参数表</w:t>
      </w:r>
    </w:p>
    <w:p w14:paraId="3AE86B70">
      <w:pPr>
        <w:spacing w:line="360" w:lineRule="auto"/>
        <w:rPr>
          <w:rFonts w:hint="eastAsia" w:asciiTheme="minorEastAsia" w:hAnsiTheme="minorEastAsia" w:eastAsiaTheme="minorEastAsia" w:cstheme="minorEastAsia"/>
          <w:bCs/>
          <w:sz w:val="24"/>
        </w:rPr>
      </w:pPr>
    </w:p>
    <w:p w14:paraId="4264B152">
      <w:pPr>
        <w:spacing w:line="360" w:lineRule="auto"/>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附件3 配置清单</w:t>
      </w:r>
    </w:p>
    <w:p w14:paraId="7AC20C9B">
      <w:pPr>
        <w:spacing w:line="360" w:lineRule="auto"/>
        <w:rPr>
          <w:rFonts w:hint="eastAsia" w:asciiTheme="minorEastAsia" w:hAnsiTheme="minorEastAsia" w:eastAsiaTheme="minorEastAsia" w:cstheme="minorEastAsia"/>
          <w:b/>
          <w:sz w:val="24"/>
          <w:u w:val="single"/>
        </w:rPr>
      </w:pPr>
    </w:p>
    <w:p w14:paraId="32A8AEEE">
      <w:pPr>
        <w:pStyle w:val="2"/>
        <w:rPr>
          <w:rFonts w:hint="eastAsia" w:asciiTheme="minorEastAsia" w:hAnsiTheme="minorEastAsia" w:eastAsiaTheme="minorEastAsia" w:cstheme="minorEastAsia"/>
          <w:color w:val="auto"/>
        </w:rPr>
      </w:pPr>
    </w:p>
    <w:p w14:paraId="60325A76">
      <w:pPr>
        <w:pStyle w:val="16"/>
        <w:rPr>
          <w:rFonts w:hint="eastAsia" w:asciiTheme="minorEastAsia" w:hAnsiTheme="minorEastAsia" w:eastAsiaTheme="minorEastAsia" w:cstheme="minorEastAsia"/>
        </w:rPr>
      </w:pPr>
    </w:p>
    <w:p w14:paraId="19B1D011">
      <w:pPr>
        <w:pStyle w:val="4"/>
        <w:bidi w:val="0"/>
        <w:rPr>
          <w:rFonts w:hint="eastAsia"/>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E944E">
    <w:pPr>
      <w:pStyle w:val="6"/>
      <w:jc w:val="center"/>
      <w:rPr>
        <w:rFonts w:hint="eastAsia"/>
      </w:rPr>
    </w:pPr>
    <w:r>
      <w:fldChar w:fldCharType="begin"/>
    </w:r>
    <w:r>
      <w:instrText xml:space="preserve">PAGE   \* MERGEFORMAT</w:instrText>
    </w:r>
    <w:r>
      <w:fldChar w:fldCharType="separate"/>
    </w:r>
    <w:r>
      <w:rPr>
        <w:lang w:val="zh-CN"/>
      </w:rPr>
      <w:t>2</w:t>
    </w:r>
    <w:r>
      <w:fldChar w:fldCharType="end"/>
    </w:r>
  </w:p>
  <w:p w14:paraId="53FAE67B">
    <w:pPr>
      <w:pStyle w:val="6"/>
      <w:tabs>
        <w:tab w:val="center" w:pos="6979"/>
        <w:tab w:val="clear" w:pos="4153"/>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kMTg3ZGFiNzI1YWVkODRkMDU5ZDY1MTk3ODAwMGYifQ=="/>
  </w:docVars>
  <w:rsids>
    <w:rsidRoot w:val="00557FB6"/>
    <w:rsid w:val="00142EA8"/>
    <w:rsid w:val="001A15CA"/>
    <w:rsid w:val="00263520"/>
    <w:rsid w:val="002B3606"/>
    <w:rsid w:val="002C2299"/>
    <w:rsid w:val="00364DE4"/>
    <w:rsid w:val="003905EB"/>
    <w:rsid w:val="003A5407"/>
    <w:rsid w:val="003D716C"/>
    <w:rsid w:val="00482B40"/>
    <w:rsid w:val="004C08DC"/>
    <w:rsid w:val="004D47E3"/>
    <w:rsid w:val="00540032"/>
    <w:rsid w:val="00557FB6"/>
    <w:rsid w:val="00603266"/>
    <w:rsid w:val="0064619E"/>
    <w:rsid w:val="006E0C10"/>
    <w:rsid w:val="007C006D"/>
    <w:rsid w:val="007D4B86"/>
    <w:rsid w:val="008332E1"/>
    <w:rsid w:val="00842182"/>
    <w:rsid w:val="00860A81"/>
    <w:rsid w:val="008903DD"/>
    <w:rsid w:val="008B74BC"/>
    <w:rsid w:val="008D330C"/>
    <w:rsid w:val="00903678"/>
    <w:rsid w:val="00911137"/>
    <w:rsid w:val="00936F22"/>
    <w:rsid w:val="009817F0"/>
    <w:rsid w:val="00986681"/>
    <w:rsid w:val="00A8471A"/>
    <w:rsid w:val="00AA4B3E"/>
    <w:rsid w:val="00AB501A"/>
    <w:rsid w:val="00B057A4"/>
    <w:rsid w:val="00B16F31"/>
    <w:rsid w:val="00B95912"/>
    <w:rsid w:val="00BB236D"/>
    <w:rsid w:val="00BF1F87"/>
    <w:rsid w:val="00CC21B6"/>
    <w:rsid w:val="00CE3B5E"/>
    <w:rsid w:val="00E24583"/>
    <w:rsid w:val="00E2508E"/>
    <w:rsid w:val="00E4611D"/>
    <w:rsid w:val="00EA2D56"/>
    <w:rsid w:val="00EB18EF"/>
    <w:rsid w:val="00F22D4C"/>
    <w:rsid w:val="00F5358B"/>
    <w:rsid w:val="00F735E2"/>
    <w:rsid w:val="00FA7C9B"/>
    <w:rsid w:val="00FB1DF6"/>
    <w:rsid w:val="01DB4184"/>
    <w:rsid w:val="03EE2187"/>
    <w:rsid w:val="044D6184"/>
    <w:rsid w:val="050D27B1"/>
    <w:rsid w:val="057F0F29"/>
    <w:rsid w:val="068E0F51"/>
    <w:rsid w:val="0747037F"/>
    <w:rsid w:val="079B3902"/>
    <w:rsid w:val="07CD454F"/>
    <w:rsid w:val="07ED4390"/>
    <w:rsid w:val="09AF5665"/>
    <w:rsid w:val="0A3E03DD"/>
    <w:rsid w:val="0A6D2DFC"/>
    <w:rsid w:val="0B352B71"/>
    <w:rsid w:val="0B4759F5"/>
    <w:rsid w:val="0BB71511"/>
    <w:rsid w:val="0E931CB2"/>
    <w:rsid w:val="10771DD5"/>
    <w:rsid w:val="10CC1BE6"/>
    <w:rsid w:val="10FD29EF"/>
    <w:rsid w:val="116B71B2"/>
    <w:rsid w:val="11840705"/>
    <w:rsid w:val="11A44FA9"/>
    <w:rsid w:val="11EE77B0"/>
    <w:rsid w:val="124D0E2E"/>
    <w:rsid w:val="130B6967"/>
    <w:rsid w:val="13740E79"/>
    <w:rsid w:val="1403656A"/>
    <w:rsid w:val="15DD7FEE"/>
    <w:rsid w:val="15E2587E"/>
    <w:rsid w:val="17D86095"/>
    <w:rsid w:val="18A04499"/>
    <w:rsid w:val="191967D4"/>
    <w:rsid w:val="19501B94"/>
    <w:rsid w:val="1AD40D65"/>
    <w:rsid w:val="1B1E1106"/>
    <w:rsid w:val="1BED6A38"/>
    <w:rsid w:val="1C4F78D4"/>
    <w:rsid w:val="1DA44B3A"/>
    <w:rsid w:val="1DB755FB"/>
    <w:rsid w:val="1DEF6D8A"/>
    <w:rsid w:val="1E356518"/>
    <w:rsid w:val="1EAA6E5D"/>
    <w:rsid w:val="1F080FF5"/>
    <w:rsid w:val="1F7134B1"/>
    <w:rsid w:val="1F8D685B"/>
    <w:rsid w:val="1FBF278C"/>
    <w:rsid w:val="1FD20033"/>
    <w:rsid w:val="1FF173EA"/>
    <w:rsid w:val="2013228D"/>
    <w:rsid w:val="20A63420"/>
    <w:rsid w:val="219D08AB"/>
    <w:rsid w:val="21E423FD"/>
    <w:rsid w:val="22A5545B"/>
    <w:rsid w:val="238A16FC"/>
    <w:rsid w:val="23B9752B"/>
    <w:rsid w:val="245100E0"/>
    <w:rsid w:val="248A0515"/>
    <w:rsid w:val="24BF75D6"/>
    <w:rsid w:val="269A5795"/>
    <w:rsid w:val="275C67C5"/>
    <w:rsid w:val="276C704F"/>
    <w:rsid w:val="27741719"/>
    <w:rsid w:val="282D7ABC"/>
    <w:rsid w:val="2916144A"/>
    <w:rsid w:val="2944082C"/>
    <w:rsid w:val="297B7724"/>
    <w:rsid w:val="29EB2AFB"/>
    <w:rsid w:val="2A273408"/>
    <w:rsid w:val="2B8925CC"/>
    <w:rsid w:val="2BC5112A"/>
    <w:rsid w:val="2C1102F5"/>
    <w:rsid w:val="2C744E6E"/>
    <w:rsid w:val="2D3C71CA"/>
    <w:rsid w:val="2D7E5596"/>
    <w:rsid w:val="2D902BB8"/>
    <w:rsid w:val="2DC17160"/>
    <w:rsid w:val="2EC71203"/>
    <w:rsid w:val="2FB75931"/>
    <w:rsid w:val="2FBB7693"/>
    <w:rsid w:val="2FC1234A"/>
    <w:rsid w:val="30002781"/>
    <w:rsid w:val="300138F8"/>
    <w:rsid w:val="30923899"/>
    <w:rsid w:val="30FD671B"/>
    <w:rsid w:val="32333292"/>
    <w:rsid w:val="32A82563"/>
    <w:rsid w:val="33070B6A"/>
    <w:rsid w:val="3379183D"/>
    <w:rsid w:val="379053A7"/>
    <w:rsid w:val="38037DB4"/>
    <w:rsid w:val="39176FA0"/>
    <w:rsid w:val="3959662F"/>
    <w:rsid w:val="3A183D65"/>
    <w:rsid w:val="3A1D652D"/>
    <w:rsid w:val="3A1E06A3"/>
    <w:rsid w:val="3AB84BC9"/>
    <w:rsid w:val="3B3C3FBF"/>
    <w:rsid w:val="3B8D538C"/>
    <w:rsid w:val="3DCB1DD7"/>
    <w:rsid w:val="3F32613E"/>
    <w:rsid w:val="3F426918"/>
    <w:rsid w:val="3FED67DA"/>
    <w:rsid w:val="411624A0"/>
    <w:rsid w:val="430A3F59"/>
    <w:rsid w:val="43AF03B2"/>
    <w:rsid w:val="43B50CFA"/>
    <w:rsid w:val="44CA47E8"/>
    <w:rsid w:val="450F5B41"/>
    <w:rsid w:val="45812010"/>
    <w:rsid w:val="460D16C7"/>
    <w:rsid w:val="46BD6B9F"/>
    <w:rsid w:val="46D917F1"/>
    <w:rsid w:val="474A55DE"/>
    <w:rsid w:val="47673F93"/>
    <w:rsid w:val="480E5284"/>
    <w:rsid w:val="484848CC"/>
    <w:rsid w:val="4C694C5C"/>
    <w:rsid w:val="4CDC5486"/>
    <w:rsid w:val="4E287FC5"/>
    <w:rsid w:val="4E8F0C6E"/>
    <w:rsid w:val="4ED676B8"/>
    <w:rsid w:val="4F0E2841"/>
    <w:rsid w:val="4F2139B2"/>
    <w:rsid w:val="4F785112"/>
    <w:rsid w:val="502E6DC6"/>
    <w:rsid w:val="50800D5C"/>
    <w:rsid w:val="50E0273C"/>
    <w:rsid w:val="520B29A4"/>
    <w:rsid w:val="528125D9"/>
    <w:rsid w:val="53A90B96"/>
    <w:rsid w:val="54040192"/>
    <w:rsid w:val="54482775"/>
    <w:rsid w:val="54CB7294"/>
    <w:rsid w:val="54E43C53"/>
    <w:rsid w:val="56113377"/>
    <w:rsid w:val="57573004"/>
    <w:rsid w:val="57667B85"/>
    <w:rsid w:val="58DC348C"/>
    <w:rsid w:val="5903307B"/>
    <w:rsid w:val="59345076"/>
    <w:rsid w:val="5A0554BD"/>
    <w:rsid w:val="5A4E2480"/>
    <w:rsid w:val="5A95234C"/>
    <w:rsid w:val="5AB913E2"/>
    <w:rsid w:val="5ABA15AB"/>
    <w:rsid w:val="5AC710BD"/>
    <w:rsid w:val="5AE52C6F"/>
    <w:rsid w:val="5B9C5BD2"/>
    <w:rsid w:val="5C6F4617"/>
    <w:rsid w:val="5CE76EFF"/>
    <w:rsid w:val="5EB55AE8"/>
    <w:rsid w:val="5EC355F3"/>
    <w:rsid w:val="5F416CE0"/>
    <w:rsid w:val="5FC4468B"/>
    <w:rsid w:val="5FF67E19"/>
    <w:rsid w:val="620829A2"/>
    <w:rsid w:val="627E32B1"/>
    <w:rsid w:val="62C5789B"/>
    <w:rsid w:val="636A4566"/>
    <w:rsid w:val="6495109C"/>
    <w:rsid w:val="64FA6873"/>
    <w:rsid w:val="65EA2C08"/>
    <w:rsid w:val="669E6224"/>
    <w:rsid w:val="688A410D"/>
    <w:rsid w:val="68E75B04"/>
    <w:rsid w:val="69BB6FFA"/>
    <w:rsid w:val="6A0D0DF4"/>
    <w:rsid w:val="6B12045D"/>
    <w:rsid w:val="6BF665EC"/>
    <w:rsid w:val="6C0D23CB"/>
    <w:rsid w:val="6C1F6CCA"/>
    <w:rsid w:val="6C7133B4"/>
    <w:rsid w:val="6D7B0DFE"/>
    <w:rsid w:val="6D8D74BE"/>
    <w:rsid w:val="6F4D11D0"/>
    <w:rsid w:val="704862A6"/>
    <w:rsid w:val="716F3763"/>
    <w:rsid w:val="72DA4C29"/>
    <w:rsid w:val="73F1491F"/>
    <w:rsid w:val="76376A2F"/>
    <w:rsid w:val="766D7882"/>
    <w:rsid w:val="771D1D7B"/>
    <w:rsid w:val="77B933E5"/>
    <w:rsid w:val="78201ABD"/>
    <w:rsid w:val="78E356DE"/>
    <w:rsid w:val="7909208F"/>
    <w:rsid w:val="790F4D60"/>
    <w:rsid w:val="79283BD2"/>
    <w:rsid w:val="7D3354C1"/>
    <w:rsid w:val="7DC634AD"/>
    <w:rsid w:val="7EA63CED"/>
    <w:rsid w:val="7F8262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Plain Text"/>
    <w:basedOn w:val="1"/>
    <w:link w:val="11"/>
    <w:unhideWhenUsed/>
    <w:qFormat/>
    <w:uiPriority w:val="99"/>
    <w:rPr>
      <w:rFonts w:ascii="宋体" w:hAnsi="Courier New"/>
      <w:szCs w:val="21"/>
    </w:rPr>
  </w:style>
  <w:style w:type="paragraph" w:styleId="5">
    <w:name w:val="Body Text Indent 2"/>
    <w:basedOn w:val="1"/>
    <w:qFormat/>
    <w:uiPriority w:val="0"/>
    <w:pPr>
      <w:ind w:left="555"/>
    </w:pPr>
    <w:rPr>
      <w:sz w:val="28"/>
      <w:szCs w:val="20"/>
    </w:rPr>
  </w:style>
  <w:style w:type="paragraph" w:styleId="6">
    <w:name w:val="footer"/>
    <w:basedOn w:val="1"/>
    <w:link w:val="12"/>
    <w:qFormat/>
    <w:uiPriority w:val="99"/>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纯文本 字符"/>
    <w:link w:val="4"/>
    <w:qFormat/>
    <w:uiPriority w:val="99"/>
    <w:rPr>
      <w:rFonts w:ascii="宋体" w:hAnsi="Courier New"/>
      <w:kern w:val="2"/>
      <w:sz w:val="21"/>
      <w:szCs w:val="21"/>
    </w:rPr>
  </w:style>
  <w:style w:type="character" w:customStyle="1" w:styleId="12">
    <w:name w:val="页脚 字符"/>
    <w:link w:val="6"/>
    <w:qFormat/>
    <w:uiPriority w:val="99"/>
    <w:rPr>
      <w:kern w:val="2"/>
      <w:sz w:val="18"/>
      <w:szCs w:val="18"/>
    </w:rPr>
  </w:style>
  <w:style w:type="character" w:customStyle="1" w:styleId="13">
    <w:name w:val="页眉 字符"/>
    <w:link w:val="7"/>
    <w:qFormat/>
    <w:uiPriority w:val="0"/>
    <w:rPr>
      <w:kern w:val="2"/>
      <w:sz w:val="18"/>
      <w:szCs w:val="18"/>
    </w:rPr>
  </w:style>
  <w:style w:type="table" w:customStyle="1" w:styleId="14">
    <w:name w:val="Table Normal"/>
    <w:unhideWhenUsed/>
    <w:qFormat/>
    <w:uiPriority w:val="0"/>
    <w:rPr>
      <w:lang w:val="en-US" w:eastAsia="zh-CN" w:bidi="ar-SA"/>
    </w:rPr>
    <w:tblPr>
      <w:tblCellMar>
        <w:top w:w="0" w:type="dxa"/>
        <w:left w:w="0" w:type="dxa"/>
        <w:bottom w:w="0" w:type="dxa"/>
        <w:right w:w="0" w:type="dxa"/>
      </w:tblCellMar>
    </w:tblPr>
  </w:style>
  <w:style w:type="paragraph" w:customStyle="1" w:styleId="15">
    <w:name w:val="Table Text"/>
    <w:basedOn w:val="1"/>
    <w:semiHidden/>
    <w:qFormat/>
    <w:uiPriority w:val="0"/>
    <w:rPr>
      <w:rFonts w:ascii="仿宋" w:hAnsi="仿宋" w:eastAsia="仿宋" w:cs="仿宋"/>
      <w:sz w:val="24"/>
      <w:szCs w:val="24"/>
      <w:lang w:val="en-US" w:eastAsia="en-US" w:bidi="ar-SA"/>
    </w:rPr>
  </w:style>
  <w:style w:type="paragraph" w:customStyle="1" w:styleId="1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3048</Words>
  <Characters>3107</Characters>
  <Lines>26</Lines>
  <Paragraphs>7</Paragraphs>
  <TotalTime>0</TotalTime>
  <ScaleCrop>false</ScaleCrop>
  <LinksUpToDate>false</LinksUpToDate>
  <CharactersWithSpaces>3241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2022-10-11T06:22:00Z</dcterms:created>
  <dc:creator>Billgates</dc:creator>
  <cp:lastModifiedBy>徐闫靖双</cp:lastModifiedBy>
  <cp:lastPrinted>2023-09-19T01:02:00Z</cp:lastPrinted>
  <dcterms:modified xsi:type="dcterms:W3CDTF">2026-06-30T05:49:17Z</dcterms:modified>
  <dc:title>西北大学购货合同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1DF5DE4F4876431EA3AA1ACBA2BAA32F_13</vt:lpwstr>
  </property>
  <property fmtid="{D5CDD505-2E9C-101B-9397-08002B2CF9AE}" pid="4" name="KSOTemplateDocerSaveRecord">
    <vt:lpwstr>eyJoZGlkIjoiYzA1MTFjMGE5NjMwY2U1ODU1MGFhN2UxMjk1NDdlZjEiLCJ1c2VySWQiOiI0NTE5NDQwNTQifQ==</vt:lpwstr>
  </property>
</Properties>
</file>