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版本号：SZT2026-SN-QC-ZC-HW-028720260507001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图书及教学仪器设备采购项目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SZT2026-SN-QC-ZC-HW-0287</w:t>
      </w:r>
      <w:r>
        <w:br/>
      </w:r>
      <w:r>
        <w:br/>
      </w:r>
      <w:r>
        <w:br/>
      </w:r>
    </w:p>
    <w:p>
      <w:pPr>
        <w:pStyle w:val="null3"/>
        <w:jc w:val="center"/>
        <w:outlineLvl w:val="2"/>
      </w:pPr>
      <w:r>
        <w:rPr>
          <w:rFonts w:ascii="仿宋_GB2312" w:hAnsi="仿宋_GB2312" w:cs="仿宋_GB2312" w:eastAsia="仿宋_GB2312"/>
          <w:sz w:val="28"/>
          <w:b/>
        </w:rPr>
        <w:t>西安市第八十九中学分校</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西安市第八十九中学分校</w:t>
      </w:r>
      <w:r>
        <w:rPr>
          <w:rFonts w:ascii="仿宋_GB2312" w:hAnsi="仿宋_GB2312" w:cs="仿宋_GB2312" w:eastAsia="仿宋_GB2312"/>
        </w:rPr>
        <w:t>委托，拟对</w:t>
      </w:r>
      <w:r>
        <w:rPr>
          <w:rFonts w:ascii="仿宋_GB2312" w:hAnsi="仿宋_GB2312" w:cs="仿宋_GB2312" w:eastAsia="仿宋_GB2312"/>
        </w:rPr>
        <w:t>图书及教学仪器设备采购项目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SZT2026-SN-QC-ZC-HW-0287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图书及教学仪器设备采购项目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图书及教学仪器设备采购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1、供应商要求：供应商须具备合法有效的《出版物经营许可证》。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西安市第八十九中学分校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西安市新城区大华一坊158号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代理服务费收费标准：招标代理服务费的收取参见国家计委颁布的《招标代理服务收费管理暂行办法》（计价格[2002]1980号）和（发改办价格[2003]857号）中货物类收费标准收取。开户名称：陕西中技招标有限公司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西安市第八十九中学分校</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西安市第八十九中学分校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图书及教学仪器设备采购项目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西安市第八十九中学分校教学仪器设备采购项目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西安市第八十九中学分校图书采购项目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标的名称：西安市第八十九中学分校教学仪器设备采购项目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b/>
                <w:color w:val="000000"/>
              </w:rPr>
              <w:t>高中教学仪器配置明细</w:t>
            </w:r>
          </w:p>
          <w:p>
            <w:pPr>
              <w:pStyle w:val="null3"/>
              <w:spacing w:before="255" w:after="255"/>
              <w:jc w:val="both"/>
              <w:outlineLvl w:val="1"/>
            </w:pPr>
            <w:r>
              <w:rPr>
                <w:rFonts w:ascii="仿宋_GB2312" w:hAnsi="仿宋_GB2312" w:cs="仿宋_GB2312" w:eastAsia="仿宋_GB2312"/>
                <w:sz w:val="21"/>
                <w:b/>
                <w:color w:val="000000"/>
              </w:rPr>
              <w:t>核心产品：光的折射全反射实验器</w:t>
            </w:r>
          </w:p>
          <w:tbl>
            <w:tblPr>
              <w:tblInd w:type="dxa" w:w="120"/>
              <w:tblBorders>
                <w:top w:val="none" w:color="000000" w:sz="4"/>
                <w:left w:val="none" w:color="000000" w:sz="4"/>
                <w:bottom w:val="none" w:color="000000" w:sz="4"/>
                <w:right w:val="none" w:color="000000" w:sz="4"/>
                <w:insideH w:val="none"/>
                <w:insideV w:val="none"/>
              </w:tblBorders>
            </w:tblPr>
            <w:tblGrid>
              <w:gridCol w:w="219"/>
              <w:gridCol w:w="557"/>
              <w:gridCol w:w="1523"/>
              <w:gridCol w:w="115"/>
              <w:gridCol w:w="137"/>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称</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规格及技术参数</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物理教学仪器</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感应圈</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电子开关型。</w:t>
                  </w:r>
                  <w:r>
                    <w:rPr>
                      <w:rFonts w:ascii="仿宋_GB2312" w:hAnsi="仿宋_GB2312" w:cs="仿宋_GB2312" w:eastAsia="仿宋_GB2312"/>
                      <w:sz w:val="21"/>
                      <w:color w:val="000000"/>
                    </w:rPr>
                    <w:t>1、低压直流电源：输出直流10—12V。2、高压感应圈：火花距离50—80mm。3、调压变压器：交流220V±10V。4、直流高压电流：开口50—70mm，输入电压交流220V，输出5KV～100KV。</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电子起电机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≥270*150*260mm；1、工作电压：DC 6V，并有数字电压表指示输出电压及电流的大小。2、输出电压：：-17.5 kV～+17.5 kV，最大放电距离30-40MM。3、短路电流不大于500µA。</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数字测温计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台式双路数字显示。</w:t>
                  </w:r>
                  <w:r>
                    <w:rPr>
                      <w:rFonts w:ascii="仿宋_GB2312" w:hAnsi="仿宋_GB2312" w:cs="仿宋_GB2312" w:eastAsia="仿宋_GB2312"/>
                      <w:sz w:val="21"/>
                      <w:color w:val="000000"/>
                    </w:rPr>
                    <w:t>1、温度显示方式：LED显示；测温范围：-30～+200℃。分辨率：0.1℃。精度≤1%。工作电压：220V±10%。2、可进行两路温度测量，两路测量的转换设有手动及自动切换装置。3、温度测量读数稳定后有指示装置。</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高中动力学实验装置</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一、实验装置包括：</w:t>
                  </w:r>
                  <w:r>
                    <w:rPr>
                      <w:rFonts w:ascii="仿宋_GB2312" w:hAnsi="仿宋_GB2312" w:cs="仿宋_GB2312" w:eastAsia="仿宋_GB2312"/>
                      <w:sz w:val="21"/>
                    </w:rPr>
                    <w:t>▲</w:t>
                  </w:r>
                  <w:r>
                    <w:rPr>
                      <w:rFonts w:ascii="仿宋_GB2312" w:hAnsi="仿宋_GB2312" w:cs="仿宋_GB2312" w:eastAsia="仿宋_GB2312"/>
                      <w:sz w:val="21"/>
                      <w:color w:val="000000"/>
                    </w:rPr>
                    <w:t>1、多功能运动学轨道1套，规格：≥1500×105×25mm,铝合金型材，独立包装。附配件：可调轨道底座2个、可调缓冲架2个、杆夹1个。</w:t>
                  </w:r>
                  <w:r>
                    <w:rPr>
                      <w:rFonts w:ascii="仿宋_GB2312" w:hAnsi="仿宋_GB2312" w:cs="仿宋_GB2312" w:eastAsia="仿宋_GB2312"/>
                      <w:sz w:val="21"/>
                    </w:rPr>
                    <w:t>▲</w:t>
                  </w:r>
                  <w:r>
                    <w:rPr>
                      <w:rFonts w:ascii="仿宋_GB2312" w:hAnsi="仿宋_GB2312" w:cs="仿宋_GB2312" w:eastAsia="仿宋_GB2312"/>
                      <w:sz w:val="21"/>
                      <w:color w:val="000000"/>
                    </w:rPr>
                    <w:t>2、力学小车2套，内嵌低阻轴承车轮，带碰撞配件、纸带夹，可固定光栅板、角度显示器、小车支架、电风扇反冲模块等装置。3、超级滑轮1套（内嵌低阻轴承）。4、小车支架1套。</w:t>
                  </w:r>
                  <w:r>
                    <w:rPr>
                      <w:rFonts w:ascii="仿宋_GB2312" w:hAnsi="仿宋_GB2312" w:cs="仿宋_GB2312" w:eastAsia="仿宋_GB2312"/>
                      <w:sz w:val="21"/>
                    </w:rPr>
                    <w:t>▲</w:t>
                  </w:r>
                  <w:r>
                    <w:rPr>
                      <w:rFonts w:ascii="仿宋_GB2312" w:hAnsi="仿宋_GB2312" w:cs="仿宋_GB2312" w:eastAsia="仿宋_GB2312"/>
                      <w:sz w:val="21"/>
                      <w:color w:val="000000"/>
                    </w:rPr>
                    <w:t>5、磁控开关（12V）1套。6、惯性上抛发射下落发射装置1套。7、单摆小车配件1套（转轴嵌轴承）。8、多功能小车1套。9、反冲模块-气球动力1套。10、测力计3个（透明圆筒型，量程1N、2n、5n各1个）。11、5m盒尺1个。12、电子停表1个。13、电火花打点计时器1套：电火花式，附纸带1卷。14、钩码组1套。15、动量传递演示器1套。</w:t>
                  </w:r>
                  <w:r>
                    <w:rPr>
                      <w:rFonts w:ascii="仿宋_GB2312" w:hAnsi="仿宋_GB2312" w:cs="仿宋_GB2312" w:eastAsia="仿宋_GB2312"/>
                      <w:sz w:val="21"/>
                    </w:rPr>
                    <w:t>▲</w:t>
                  </w:r>
                  <w:r>
                    <w:rPr>
                      <w:rFonts w:ascii="仿宋_GB2312" w:hAnsi="仿宋_GB2312" w:cs="仿宋_GB2312" w:eastAsia="仿宋_GB2312"/>
                      <w:sz w:val="21"/>
                      <w:color w:val="000000"/>
                    </w:rPr>
                    <w:t>16、匀速运动实验器1套。17、实验操作系统及说明书。18、铝合金定位箱1个。二、可完成实验：1、练习使用打点计时器。2、用打点计时器测量运动物体的瞬时速度。3、用打点计时器测量运动物体的平均速度，4、探究匀速直线运动。5、用打点计时器研究运动小车速度随时间变化的规律。6、探究用打点计时器研究自由落体运动的规律。7、测定反应时间。8、探究加速度与力的关系。9、探究加速度与质量的关系。10、用小球探究碰撞中的不变量。11、探究用打点计时器研究碰撞中的不变量。12、用摆球研究对心碰撞与非对心碰撞。13、用运动小车研究弹性碰撞与非弹性碰撞。14、用气球研究反冲小车的运动规律。15、研究反冲小车的运动规律。</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自由落体实验仪（</w:t>
                  </w:r>
                  <w:r>
                    <w:rPr>
                      <w:rFonts w:ascii="仿宋_GB2312" w:hAnsi="仿宋_GB2312" w:cs="仿宋_GB2312" w:eastAsia="仿宋_GB2312"/>
                      <w:sz w:val="21"/>
                      <w:color w:val="000000"/>
                    </w:rPr>
                    <w:t>4个光电门+数字计时器）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仪器总高度≥1.2m，实验有效高度≥1.1m。2、标尺含厘米及英寸双刻度标识。3、电磁铁电源：DC6V；4、钢球直径：19mm；5、接球袋为布制，牢固可靠。6、三角支架均附橡胶套，可平稳放置于地上。7、通过调节螺纹调节每个支架的角度，可方便调节仪器与地面保持垂直。8、实验相对误差：≤2%。仪器由带有标尺的铝合金型材为主体，上端装有电磁铁吸球器，中间装有4个可任意移动的光电门，下端装有接球袋，立柱下端固定在可调节的三角支架上。9、数字计时器1台：四位及以上，数据存贮，显示：10个挡光间隔时间、10周振动、N次振动时间总和、加速度计时三个时间、自由落体时间不少于二个，二路光电门分别计二个挡光时间（对碰、追碰），有光电门接口和电磁铁接口，统一接口。</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动能势能演示器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500×170×490mm，材质：金属面板及底座。仪器包括：1、钢制大刻度板；2、定位圈及滑杆；3、滑块；4、透明圆筒；5、弹簧及释放手柄；6、钢制底座；7、小刻度板；8、大滑块；9、槽板；10、导轨；11、钢球3个。槽板可沿水平方向或垂直方向与刻度板底板相配合，可分别演示物体的动能跟质量和速度的关系；物体的重力势能跟质量和高度的关系以及物体由于发生弹性形变而具有的弹性势能。</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运动频闪观测仪</w:t>
                  </w:r>
                </w:p>
              </w:tc>
              <w:tc>
                <w:tcPr>
                  <w:tcW w:type="dxa" w:w="15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210*170*120mm。1、高精度数码频闪光源0-9999.9Hz连续可调，可实时观测运动物体图像。2、测试量程：1-9999.9Hz；分辨率：0.1Hz；3、闪光频率：0-9999Hz；4、输入电压：AC220V,50Hz；5、功耗：＜15W；6、工作温度：-10℃—40℃ ；7、高速数字合成信号源,由快速调节步进1Hz，按键调节频闪频率，LED长寿命光源。与计算机配合使用，可实时观测运动物体图像，并加以数据分析处理。所有运动学实验均可放在此平台中完成图像的捕捉分析：自由落体、抛体、碰撞实验、冲击摆、动能势能、弹簧振子、以及摆的运动等。</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二维空间</w:t>
                  </w:r>
                  <w:r>
                    <w:rPr>
                      <w:rFonts w:ascii="仿宋_GB2312" w:hAnsi="仿宋_GB2312" w:cs="仿宋_GB2312" w:eastAsia="仿宋_GB2312"/>
                      <w:sz w:val="21"/>
                      <w:color w:val="000000"/>
                    </w:rPr>
                    <w:t>—时间描迹仪</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≥350×125×430mm，由支架、抛体、发射枪，导电玻璃、墨粉纸、后板、磁压条等组成，内置附件盒。可以完成实验;1、研究平抛物体的运动； 2、斜抛物体的运动；3、验证机械能守恒定律；4、完全非弹性碰撞； 5、完全弹性碰撞； 6、验证向心力公式； 7、简谐振支（单摆）规律研究；8、简谐振动的图象；9、自由落体运动。</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凹凸桥演示器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600×230×210mm，材质：钢合金框架。凹、凸桥间隙独立可调，仪器由支架、平行凹凸轨道、轨道间隙调节器、φ20mm钢球等组成。物体所受重力和支持力的合力产生向上的加速度，由N－mg＝mv2/R可知．若v≠0，则N〉mg。速度越大，给支撑面的压力也就越大，凹凸桥的实验中可以演示得更加明显。</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共振音叉（套装含支架）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频率：</w:t>
                  </w:r>
                  <w:r>
                    <w:rPr>
                      <w:rFonts w:ascii="仿宋_GB2312" w:hAnsi="仿宋_GB2312" w:cs="仿宋_GB2312" w:eastAsia="仿宋_GB2312"/>
                      <w:sz w:val="21"/>
                      <w:color w:val="000000"/>
                    </w:rPr>
                    <w:t>440Hz。两支同频率音叉为一组，材质为整块45#钢经锻打而成，棱角整齐，表面镀铬。总长为166mm，叉枝截面为6.5*16mm，频率440以钢印载明。附180*100*60mm共鸣箱两个，橡皮击槌一个，变频箍一个。附钢制支架1套：支架高度≥400mm、包括底座、立杆、铁圈。另附反应球2个、细线1卷、胶带1盘。</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纵横波演示器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≥570×210×270mm。钢制箱体，箱式双面演示,一面为纵波、一面为横波，通过摇把转动16个振子，演示波的纵波和横波的机械变化。</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绳波演示器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规格：仪器主体规格：</w:t>
                  </w:r>
                  <w:r>
                    <w:rPr>
                      <w:rFonts w:ascii="仿宋_GB2312" w:hAnsi="仿宋_GB2312" w:cs="仿宋_GB2312" w:eastAsia="仿宋_GB2312"/>
                      <w:sz w:val="21"/>
                      <w:color w:val="000000"/>
                    </w:rPr>
                    <w:t>≥1200×150mm，计时器规格：≥160×190mm；1、组成：由细绳；带刻度的金属长杆，表面喷塑哑光，亚克力移动支架组成。2、频率，幅度可以连续调节。3、用于研究在线上形成驻波的条件，证实横波在线上传播的速度与线之间的张力、单位线长的质量，以及线上波动频率的关系。</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弹簧振子振动图像描绘器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325*360*135mm；1、气垫为有机玻璃，长220mm高40mm，表面有排布均匀的11个1.2mm小孔；2、走纸装置为60转/秒减速电机。3、产品由铝合框体、走纸装置、描迹纸、火花描迹器、气垫式弹簧振子等组成。4、自动稳定走纸，工作电源:直流12V~16V；频率调节范围：0.6Hz~1.5Hz。5、自动发波、频率可调、图象清楚。</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共振演示器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430*200*360mm；1、产品由铸铁底座、电机、偏心轮、振子、弹簧、摆动片、支架等组成。2、工作电压：DC14V～16V。3、可演示共振现象及产生共振的条件；当策动力的频率跟物体的固有频率相等时，受迫振动的振幅最大。</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油膜实验器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360*360*40mm，ABS大圆盘设计，实验盘ABS材质制成，底盘呈圆形或方形，面成正方形。包括：1、ABS大圆盘1个；2、高清晰透明计数坐标面板1块。3、5ml注射器、1ml注射器各1支。4、油酸1瓶。5、痱子粉1袋。6、记号笔2支。通过用“油馍法”估测油酸分子的大小，测定油酸分子的长度和单分子的排列特点。</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伽尔顿板</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≥410×310×35mm。由有机玻璃板、底座、小球、阵列钉子、V型槽、插板、狭槽等组成。有机玻璃厚度4mm，小球直径6mm.演示实验时可直立放置，便于学生观察，模拟演示气体分子速率的正态分布。</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玻棒</w:t>
                  </w:r>
                  <w:r>
                    <w:rPr>
                      <w:rFonts w:ascii="仿宋_GB2312" w:hAnsi="仿宋_GB2312" w:cs="仿宋_GB2312" w:eastAsia="仿宋_GB2312"/>
                      <w:sz w:val="21"/>
                      <w:color w:val="000000"/>
                    </w:rPr>
                    <w:t>(附丝绸、转台、支杆、底座)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1、产品包括：转台、支杆、底座、有机玻璃棒、丝绸。2、玻棒为有机玻璃棒制成，外形尺寸直径为20±1㎜，长度300㎜，头部为球形半径R4㎜。3、丝绸为桑蚕织品，颜色为本色，尺寸≥360×360mm。</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胶棒</w:t>
                  </w:r>
                  <w:r>
                    <w:rPr>
                      <w:rFonts w:ascii="仿宋_GB2312" w:hAnsi="仿宋_GB2312" w:cs="仿宋_GB2312" w:eastAsia="仿宋_GB2312"/>
                      <w:sz w:val="21"/>
                      <w:color w:val="000000"/>
                    </w:rPr>
                    <w:t>(附毛皮、转台、支杆、底座)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1、产品包括：转台、支杆、底座、有机玻璃棒、丝绸。2、胶棒为聚氯乙烯塑料棒制成，外形尺寸直径为22mm，棒长度300mm，毛皮尺寸不小于100×100mm。3、毛皮为经过鞣制的猫皮或兔皮；尺寸≥360×360mm。</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箔片验电器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规格尺寸：直径</w:t>
                  </w:r>
                  <w:r>
                    <w:rPr>
                      <w:rFonts w:ascii="仿宋_GB2312" w:hAnsi="仿宋_GB2312" w:cs="仿宋_GB2312" w:eastAsia="仿宋_GB2312"/>
                      <w:sz w:val="21"/>
                      <w:color w:val="000000"/>
                    </w:rPr>
                    <w:t>≥175mm，箔片材质：镉制。产品为钢制外壳，钢制底座，由外壳、圆球、导电杆、箔片及中位卡组成，镉制箔片应反应灵敏，动作大。检验物体是否带正负电，应效果明显。2个/对。</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指针验电器（铸铁底座）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直径≥210mm；带法拉第圆筒。1、圆形钢制外壳，铸铁底座，指针应反应灵敏，动作大。指针材质：镉制。2、检验物体是否带正负电，可测量导体的电势和两导体间的电势差，还可演示在导体中形成电流的条件。应效果明显。2个/对。</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感应起电机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1、起电盘采用Φ≥275mm×4mm，有机玻璃制成。2、在温度为20℃、相对湿度为65%的环境中，摇柄转速120转/分时，火花放电距离不小于55mm。3、 在温度为5～30℃范围，相对湿度不小于80%的条件下，仪器应正常工作，火花放电距离不小于30mm。4、底座采用绝缘性能良好的塑料或其他同等性能的材料制成。5、莱顿瓶极板涂敷高度≥135mm，无划伤、脱落。</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枕形导体</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85×70×170mm，1、包括：半球面柱形导体2个、绝缘支杆2支、底座2个等。2、枕形导体用纯铜制成，铜质导体应用镍、锌或铬镀层、表面抛光，铝质导体应做电化学处理。3、缘支柱用有机玻璃制成，底座用绝缘材料制成.</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电阻定律演示器（</w:t>
                  </w:r>
                  <w:r>
                    <w:rPr>
                      <w:rFonts w:ascii="仿宋_GB2312" w:hAnsi="仿宋_GB2312" w:cs="仿宋_GB2312" w:eastAsia="仿宋_GB2312"/>
                      <w:sz w:val="21"/>
                      <w:color w:val="000000"/>
                    </w:rPr>
                    <w:t>5导线钢制支撑架）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≥1060×180×25mm钢制底板，双折叠支撑架，可正面直立，接线旋钮直径≥16mm。</w:t>
                  </w:r>
                  <w:r>
                    <w:rPr>
                      <w:rFonts w:ascii="仿宋_GB2312" w:hAnsi="仿宋_GB2312" w:cs="仿宋_GB2312" w:eastAsia="仿宋_GB2312"/>
                      <w:sz w:val="21"/>
                    </w:rPr>
                    <w:t>▲</w:t>
                  </w:r>
                  <w:r>
                    <w:rPr>
                      <w:rFonts w:ascii="仿宋_GB2312" w:hAnsi="仿宋_GB2312" w:cs="仿宋_GB2312" w:eastAsia="仿宋_GB2312"/>
                      <w:sz w:val="21"/>
                      <w:color w:val="000000"/>
                    </w:rPr>
                    <w:t>1、金属面板上固定：康铜丝、碳钢丝、镍铬丝三种共5根金属导线：康铜（Φ0.5mm）1根1m、碳钢丝（Φ0.5mm）1根1m、镍铬丝（Φ0.5mm）1根1m、镍铬丝（Φ0.5mm）1根0.5m、镍铬丝（Φ0.7mm）1根1m，金属导线精细均匀，在有效长度内不能有弯折、锈蚀现象。2、包括：钢制底板、接线柱、连接片、支撑架等。3、金属导线、接线柱与底板装接应牢固、无松动现象。金属导线在两接线柱间的长度为1000±2mm。4、金属导线的材质、直径在底板上应有明显的标记。5、连接片为1mm厚的黄铜制成，表面镀铬。接线柱为铜质，纯铜旋钮直径≥16mm，与底板绝缘良好。底板后面带支撑架。</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电阻定律实验器（钢制支撑架）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≥565×180×25mm。</w:t>
                  </w:r>
                  <w:r>
                    <w:rPr>
                      <w:rFonts w:ascii="仿宋_GB2312" w:hAnsi="仿宋_GB2312" w:cs="仿宋_GB2312" w:eastAsia="仿宋_GB2312"/>
                      <w:sz w:val="21"/>
                    </w:rPr>
                    <w:t>▲</w:t>
                  </w:r>
                  <w:r>
                    <w:rPr>
                      <w:rFonts w:ascii="仿宋_GB2312" w:hAnsi="仿宋_GB2312" w:cs="仿宋_GB2312" w:eastAsia="仿宋_GB2312"/>
                      <w:sz w:val="21"/>
                      <w:color w:val="000000"/>
                    </w:rPr>
                    <w:t>1、钢制底板，双折叠支撑架，可正面直立，纯铜接线柱旋钮直径≥16mm。2、金属面板上固定：三种金属导线分别为：康铜（Φ0.5mm），碳钢丝（Φ0.5mm）镍铬丝（Φ0.5mm）2条，金属导线精细均匀，在有效长度内不能有弯折、锈蚀现象。3、包括：钢制底板、接线柱、连接片、支撑架等。4、金属导线、接线柱与底板装接应牢固、无松动现象。金属导线在两接线柱间的长度为500±2mm。5、金属导线的材质、直径在底板上应有明显的标记。6、连接片为1mm厚的黄铜制成，表面镀铬。接线柱为铜质，纯铜接线柱旋钮直径≥16mm，与底板绝缘良好。底板后面带支撑架。</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球形导体（铸铁底座）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120mm，高度：210mm；演示静电感应和带电导体的电荷分布。主要组成部分：1、表面镀镍的金属空壳，枕形导体是在园筒的一端装一个半球面，另一端为平面，把两个这样的导体平的的一端对合起来，就成为一个枕形导体。2、三角形铸铁底座。3、插在底座上的有机玻璃棒。</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电荷间作用力演示器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≥460×210×370mm。由支架，刻度，小球2个，大球1个等组成。通过实验直读出在不同距离情况下的电荷间作用力大小，从而推导出电荷间作用力的大小，与电荷所带电量的乘积成正比，与距离的平方成反比的规律。</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库仑定律演示器（全透明结构）</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≥350×Φ180mm。有机玻璃全透明结构。结构包括：1、测微器调节旋钮；2、测微器指针；3、角度盘；4、扭丝；5；透明有机玻璃测微器直筒；6、绝缘盘；7、碰球指针；8、水平绝缘柱重块；9、有机玻璃摩擦棒； 10、绸布； 11、水平绝缘柱；12、水平绝缘柱固定器；13、稳定调节器；14、垫脚；15、手持绝缘棒；16、金属球； 17、稳定调节器轴套；18。稳定调节器轴套杠杆 19、有机玻璃底盘；20、金属球-带电球；21、金属球-碰球； 22、固定绝缘杆 23、透明有机玻璃刻度桶；24、绝缘杆固定塞； 25、导电金属环。可演定量演示研究库仑力与带电体间距、电量的关系实验。</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电场线演示器（</w:t>
                  </w:r>
                  <w:r>
                    <w:rPr>
                      <w:rFonts w:ascii="仿宋_GB2312" w:hAnsi="仿宋_GB2312" w:cs="仿宋_GB2312" w:eastAsia="仿宋_GB2312"/>
                      <w:sz w:val="21"/>
                      <w:color w:val="000000"/>
                    </w:rPr>
                    <w:t>6种/套）</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由六种密封充油电场线谱组成，每种规格：</w:t>
                  </w:r>
                  <w:r>
                    <w:rPr>
                      <w:rFonts w:ascii="仿宋_GB2312" w:hAnsi="仿宋_GB2312" w:cs="仿宋_GB2312" w:eastAsia="仿宋_GB2312"/>
                      <w:sz w:val="21"/>
                      <w:color w:val="000000"/>
                    </w:rPr>
                    <w:t>≥100*100*30mm，材质：透明有机玻璃（内密封显示介质蓖麻油+头发屑）及金属电极。包括：1、单个点电荷电场线（正/负点电荷）；2、等量异种点电荷电场线（电偶极子）；3、等量同种点电荷电场线（正/负）；4、平行板间匀强电场线；5、金属环不接地时电场线（环内外）；6、金属环接地时电场线（静电屏蔽）共6种。可直观显示电场线分布，演示不同电荷与导体周围电场的方向、强弱及静电现象。</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电势演示仪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规格尺寸；直径</w:t>
                  </w:r>
                  <w:r>
                    <w:rPr>
                      <w:rFonts w:ascii="仿宋_GB2312" w:hAnsi="仿宋_GB2312" w:cs="仿宋_GB2312" w:eastAsia="仿宋_GB2312"/>
                      <w:sz w:val="21"/>
                      <w:color w:val="000000"/>
                    </w:rPr>
                    <w:t>≥350mm、直径≥150mm两个金属圆球。演示仪由两个金属圆球及绝缘底座组成，两个金属球体上附着红色丝线。当在相互绝缘两块金属导体板之间加上高压静电后，发现圆球与相比，会发生剧烈火化，发生放电现象，而圆球不会发生。演示实验现象原理;静电平衡时，由于曲率，电荷密度与导体表面曲率有关，曲率越大，电荷面密度越大，在导体表面附近的电场强度与其临近的导体表面电荷面密度成正比。因此导体表面曲率越大地方场强越大，若电场强到一定程度就会击穿空气，就会发生放电 。导体上电荷就不能再累积，导体电势就会再升高了，导体向空气中剧烈放电就不会发生。</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平行板电容器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平行板直径；</w:t>
                  </w:r>
                  <w:r>
                    <w:rPr>
                      <w:rFonts w:ascii="仿宋_GB2312" w:hAnsi="仿宋_GB2312" w:cs="仿宋_GB2312" w:eastAsia="仿宋_GB2312"/>
                      <w:sz w:val="21"/>
                      <w:color w:val="000000"/>
                    </w:rPr>
                    <w:t>≥22mm。材质；纯铝。产品由两件带绝缘柄的铝板（附支座）及一件带绝缘手柄的介质板组成。铝板和介质板均为面积相同的圆板，介质板采用塑料板制作。铝板和介质板的直径均为φ≥220mm，厚度为1mm。铝板绝缘柄直径φ10.5mm，长63mm，介质板绝缘柄直径φ10.5mm，长104mm。铝板支座采用工程塑料制作，底径φ87mm，高15mm。可演示平行板电容器所带的电量与两板间电势差有关系、示平行板电容器的电容与两板间的距离，两板间的相对面积和两板间的电介质有关系。演示匀强电场的电力线的现象。</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立体磁感线演示器（铁粉铰链双页剖面）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260×130×130mm。透明塑料制成的封闭形梯形容器，内装有黑色铁粉。利用铰链，使两页合为一个产品。其中一页剖面装有一个圆柱形强磁块或者二个圆柱形强磁块或者U形强磁块。产品可开启，亦可闭合。开启时，可观察到磁铁聚集铁粉形成的平面磁力线形状；而合上后，再用手抖动，即可看到容器内的铁粉聚集到磁铁两端形成立体的磁感线形状，且磁力线更加明显生动。</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左右手定则演示器</w:t>
                  </w:r>
                  <w:r>
                    <w:rPr>
                      <w:rFonts w:ascii="仿宋_GB2312" w:hAnsi="仿宋_GB2312" w:cs="仿宋_GB2312" w:eastAsia="仿宋_GB2312"/>
                      <w:sz w:val="21"/>
                      <w:color w:val="000000"/>
                    </w:rPr>
                    <w:t>(按键开关型）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底座规格：</w:t>
                  </w:r>
                  <w:r>
                    <w:rPr>
                      <w:rFonts w:ascii="仿宋_GB2312" w:hAnsi="仿宋_GB2312" w:cs="仿宋_GB2312" w:eastAsia="仿宋_GB2312"/>
                      <w:sz w:val="21"/>
                      <w:color w:val="000000"/>
                    </w:rPr>
                    <w:t>≥200×158×18mm，▲1、按键开关型，使用香蕉插连线连接DC3-4.5V的电流。一键式按键开关，方形线圈瞬间通电，在磁铁中前摆或后摆。2、底座上安装有两根金属支杆，支杆顶部有一个透明塑料盖板将两根支杆连接固定。支杆上有两个金属片贴紧塑料板下部延伸，并悬挂一个方形线圈。▲3、方形线圈下部位于一个安装在底板上的蹄形磁铁中心。在底座上另外安装有两个4mm香蕉接线柱和一个按键开关。</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通电平行直导线相互作用演示器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≥550*160*210mm；主要技术性能：1、工作条件：电源电压：AC220V 50Hz  环境湿度：－100C～400C 环境湿度：＜85％RH(400C) 2、通电触点为银触点，两银点之间距离为30±2mm。 3、两平行直导线为铜管，直径为Φ4。 4、电源功率≯25W，可瞬间提供60A以上电流。 5、可靠性：通电动作可连续操作不小于20次。</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电流天平</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240×110×260mm。1、电流天平由激磁线圈、U型导体、刀口及刀承、指针刻度盘、底座、砝码等组成。2、工件条件：激磁电流≤3A；U型导体电流≤3A；环境温度-10~+40℃，相对湿度≤85%。3、激磁线圈内径55mm±1，总长96mm±1,线径1.06mm，匝数85±5。4、U型导体有效长底2×20mm。5、刀口及刀承均用黄铜制造，刀口角度50±3°，刀承为R1.5圆弧形刀槽，刀口长不小于6mm，刀口与刀承工作面接触不小于刀口全长的3/4。两刀口座在同一直线上，两刀承工作面中心线在一直线下，并与线圈轴线垂直，与水面平行。6、指针为铝制，长180mm，涂红色。7、刻度盘刻度间隔为10mm，刻线宽3mm，左右分三格，零位居正中。8、砝码质量为20mg，40mg，60mg三种，误差均不大于2.5%。10、产品应符合JY49－79《电流天平》的要求。</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安培力演示器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180×130×310mm。产品由底座、磁极框架、磁铁、通电线框、接线柱、连接片、刻度盘支架、刻度盘、指针等组成。底座厚度1.5mm的冷轧板制作，尺寸：≥180×130×20mm；磁极框架采用2mm厚的铁板制作，框架高120mm，宽40mm；两组磁铁在框架上安装后两极间距38mm，磁铁红色代表N极，蓝色代表S极；通电线框采用1mm厚的铜板制成，线框外形≥88×63mm，线宽4mm；连接片采用0.5mm厚铜片制作，长35mm，宽8.5mm；刻度盘支架采用φ4mm金属杆制成，支架高度250mm；刻度牌采用2.5mm厚塑料板印制，长刻线宽5mm，长15mm，短刻线宽4mm，长10mm；指针采用0.3mm厚金属板成型，长165mm。</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自感现象演示器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400mm；材质：钢制；产品由面板及底脚构成。面板采用优质钢材制作，长600mm，面板上分“通电自感现象”和“断电自感现象”两部分。表面印制有电原理图并分别标有两部分的工作电压。导线采用暗线布置，内部接线和面板上的原理图一致。灯座、变压器、接线柱、旋钮开关等均安装在面板电路图上所标示位置。底脚高约40mm。主要技术参数：演示通电自感现象时：电源电压：直流或稳压10V，小灯泡：6.3V 0.3A；演示断电自感现象时：电源电压：直流或稳压4V，小灯泡：6.3V 0.3A。</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电磁阻尼演示器（</w:t>
                  </w:r>
                  <w:r>
                    <w:rPr>
                      <w:rFonts w:ascii="仿宋_GB2312" w:hAnsi="仿宋_GB2312" w:cs="仿宋_GB2312" w:eastAsia="仿宋_GB2312"/>
                      <w:sz w:val="21"/>
                      <w:color w:val="000000"/>
                    </w:rPr>
                    <w:t>4管显示）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≥540*400*320mm，铝合金底座，包括：紫铜管1支，开槽紫铜管1支，铝管1支；透明塑料管1支共4支、线圈、铁块、磁块等；4支管通过铁块与磁块的转换,观察其电磁现象实验效果。</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交流电路特性演示器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420*330mm，材质：钢制显示板，包括大电感、小电感，大电容、小电容，电阻。1、基本结构：仪器由电感电阻电容及多谐振荡器组成，面板上带有原理图及显示相位关系的电压表、电流表。2、面板原理图的线条宽度东小于3mm。3、输出频率：f1＜1Hz   f2＜2Hz。4、纯电感电路纯电容电路电压和电流的相位差显示明显。5、通过频率变换，在演示交流电结中频率、容抗、感抗关系时电流表显示明显。6、工作电压：AC220V  50Hz。</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可拆变压器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170*100*290mm，重量不小于4Kg。1、单相芯式结构,铁芯以优质钢矽片冲制并经绝缘处理,U型铁芯及条形铁轭为可拆式。2、线圈骨架采用ABS材质压制。3、可演示远距离输电、变压器效率，还可进行变压器初、次级线圈间电压和电流与匝数关系的定量演示。</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小型变压器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80*80*40mm，重量不小于560g。结构;1.铁芯：通用18型，高硅钢片，斜山字型。每层2～3片对插，交叉迭片。叠厚104～106片。2.线圈：线圈用高强度漆包线按额定工作电压30匝/伏绕制。线圈Ⅰ初级用，线径Ф0.55共120匝±1匝额定工作电压4V。线圈Ⅱ次级用，线径Ф0.51共240±1匝额定工作电压8V。线圈Ⅲ次级用，线径Ф0.8共60±1匝额定工作电压2V。3.用外壳固定铁芯。学习变压器构造（铁芯初级线圈、次级线圈）及初、次级间电压，电流与线圈绕线匝数的关系时使用。</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变压器原理说明器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270*100*190mm,重量不小于4Kg,产品组成：1.线圈2件；2.U型铁芯；3.条形铁轭1件；4.极掌2件；5.压板螺钉2件；6.强阻尼摆1件；7.强阻尼摆1件；8.摆架1件；9.215×155mm示教板1套；10.感应线圈1件；11.铝环1件；12.低压小灯泡（6V 0.15A 4只，1.5V0.2A 1只）。可进行下列几方面的演示实验：1、变压器线圈初、次级间电压与线圈匝数关系的定量演示，证明。2、变压器线圈初、次级间电流与线圈匝数关系的定量演示，证明。3、变压器效率的定量演示。4、远距离输电的演示（用二个仪器）。5、通电自感现象演示。6、断电自感现象演示。7、跳圈现象演示。8、感应灯的演示。9、感抗演示。10、强弱阻尼摆的演示。11、电磁铁的演示。12、电磁感应的演示。</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日光灯原理演示器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520*390*50mm。电感式镇流器，仪器由演示板、2个电流表、灯管、灯泡、启辉器、镇流器、触发开关等组成。根据高中物理新编教材教学需要而设计的,使学生了解自感现象的应用,日光灯各元件的作用。掌握日光灯按装方法。</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电磁波的发送和接收演示器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≥410*410*150mm，一、仪器组成：1、发射机部分：主机1套、甚高频振荡器1套、发射天线1套。2、接收机部分： 调谐接收器：a) 调谐接收板1套，b) 振子天线1套。电表演示接收器：a) 电表指示1套，b) 检波天线1套,。放大接收器：a) 放大接收机1套，b) 检波天线使用电表演示接收器的检波天线。c) 反射天线1套。二、主要技术性能：1、发射机，工作频率：约230MHz。 振荡功率：约2W。内调制信号：1KHz，继续音乐。 外调制信号：≥1V的音频信号。 使用电源：220V±10% 50Hz。2、接收机：2-1、调谐接收器，a) 指示电珠：1.5V100µA。b) 接收距离：≥0.5米。2-2、电表指示接收器：a) 电表灵敏度：&gt;200µA。b) 接收距离：≥3米。2-3、放大接收器：a) 扬声器：8Ω 0.5W。b) 信号灯：5个LED显示。c) 接收距离：≥4米。d) 使用电源：DC6V。</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光的折射全反射实验器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150mm，▲1、整体式结构，优质圆形光学塑料演示刻度盘，直径为φ150mm，可360度旋转观察，光屏转动由手轮控制。2、光屏屏面被平分为四个相同的四分之一圆，每个四分之一圆均有0度到90度的清晰刻线，半导体激光笔光源，电池盒一体化。3、工作电压：DC3V；工作电流：3mA；额定功率：3mW；光源波长：635nm；4、附配件：水槽1个。</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激光光学演示仪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≥430×210×425mm。1、光线经柱面透镜扩束后成扇形光束，在仪器屏上显示出光线经迹，能演示61个几何光学和物理光学实验。操作方便、图像清晰、生动直观。可直接进行实验，不需暗室。 2、光源：氦氖激光；波长：632.8nm；工作电流：5mA。输出功率：大于2.5mW；3、连续工作时间：大于4h。 4、工作电源：额定电压：220V±22V；额定频率：50Hz；5、额定输入功率：小于20W。</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光电效应演示器</w:t>
                  </w:r>
                  <w:r>
                    <w:rPr>
                      <w:rFonts w:ascii="仿宋_GB2312" w:hAnsi="仿宋_GB2312" w:cs="仿宋_GB2312" w:eastAsia="仿宋_GB2312"/>
                      <w:sz w:val="21"/>
                      <w:color w:val="000000"/>
                    </w:rPr>
                    <w:t>锌板演示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带光源和锌板演示，锌板：</w:t>
                  </w:r>
                  <w:r>
                    <w:rPr>
                      <w:rFonts w:ascii="仿宋_GB2312" w:hAnsi="仿宋_GB2312" w:cs="仿宋_GB2312" w:eastAsia="仿宋_GB2312"/>
                      <w:sz w:val="21"/>
                      <w:color w:val="000000"/>
                    </w:rPr>
                    <w:t>≥195*145mm。由仪器主体和光源二部分组成。锌板和铜栅装在主体上部，可以抽出和插入，它们分别与主体盒内的电流放大器和高压电源相连接。光源为双光源，分别为紫外灯和日光灯，由转换开关控制，箱前又插一块阻挡紫外光的玻璃。能演示光电效应现象（哈示瓦克现象）也能演示光电效应与光的频率关系，光电流与光强的关系。</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光电效应演示器</w:t>
                  </w:r>
                  <w:r>
                    <w:rPr>
                      <w:rFonts w:ascii="仿宋_GB2312" w:hAnsi="仿宋_GB2312" w:cs="仿宋_GB2312" w:eastAsia="仿宋_GB2312"/>
                      <w:sz w:val="21"/>
                      <w:color w:val="000000"/>
                    </w:rPr>
                    <w:t>光电管演示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光电管演示。规格尺寸：</w:t>
                  </w:r>
                  <w:r>
                    <w:rPr>
                      <w:rFonts w:ascii="仿宋_GB2312" w:hAnsi="仿宋_GB2312" w:cs="仿宋_GB2312" w:eastAsia="仿宋_GB2312"/>
                      <w:sz w:val="21"/>
                      <w:color w:val="000000"/>
                    </w:rPr>
                    <w:t>≥470×330×140mm。产品主要由机壳、面板、灯座、电流表、电压表、调节旋钮、光源、光源罩、光电管、滤色片、电源线等组成。机壳（也兼作仪器箱）采用优质木材制作，灯座、电流表、电压表及旋钮开关嵌放在面板相应位置，面板上印制有电路原理图；光源罩采用工程塑料制作，尺寸为φ43×85mm；滤色片采用厚度不小于0.2mm的透明塑料片制成，尺寸不小于40×30mm，颜色分别为红色、黑色、绿色、蓝色共四种。仪器主要技术指标：电源电压：AC220V±10%，50Hz；光源功率：15W。</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汽油机模型</w:t>
                  </w:r>
                  <w:r>
                    <w:rPr>
                      <w:rFonts w:ascii="仿宋_GB2312" w:hAnsi="仿宋_GB2312" w:cs="仿宋_GB2312" w:eastAsia="仿宋_GB2312"/>
                      <w:sz w:val="21"/>
                      <w:color w:val="000000"/>
                    </w:rPr>
                    <w:t>(全金属结构）</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160*130*300mm。▲1、金属结构，压缩比1：6模型的正面是沿气缸纵轴剖开的断面，中间圆柱形空腔是气缸，包括缸体底座等部件全部为全金属材质，无毛刺、气孔；气缸两旁的断面部分中间有冷却水套断面。气缸里上下移动的是活塞（制成整体形），气缸顶部中间的是火花塞。模型备有灯光显示装置，电源电压为3伏。2、模型运转时，火花塞闪亮，可以更直观地说明进气、压缩、点火、排气的动作。</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柴油机模型</w:t>
                  </w:r>
                  <w:r>
                    <w:rPr>
                      <w:rFonts w:ascii="仿宋_GB2312" w:hAnsi="仿宋_GB2312" w:cs="仿宋_GB2312" w:eastAsia="仿宋_GB2312"/>
                      <w:sz w:val="21"/>
                      <w:color w:val="000000"/>
                    </w:rPr>
                    <w:t>(全金属结构）</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160*130*300mm。▲1、全金属结构，压缩比1：14模型的正面是沿气缸纵轴剖开的断面，中间圆柱形空腔是气缸，包括缸体底座等部件全部为全金属材质，无毛刺、气孔；气缸两旁的断面部分中间有冷却水套断面。气缸顶部中间的是喷油嘴。2、模型可以直观明了地观察进气、压缩、做功、排气的动作。</w:t>
                  </w:r>
                </w:p>
              </w:tc>
              <w:tc>
                <w:tcPr>
                  <w:tcW w:type="dxa" w:w="1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高压输变电模拟演示器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600*400mm。示教板演示；结构：包括发电厂（手摇三项交流发电机）、升压变压器、电线杆，高压输变线、降压变压器、转换开关、指示灯等。可立体演示高压输变电原理：为了降低输电线路中的损耗就要少输电流，同时要提高输电电压。</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化学教学仪器</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电动钻孔器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435×155×180mm；材质;钢制喷塑。1、直卧式水平打孔；铝浇制机壳电机，功率为700W，220V(50Hz)电源。打孔直径：1-13mm，配各种规格钻头。触动式行程开关，高效、节能。2、自动双向旋转夹具可夹持不同规格胶塞；可通过调整卡具的位置，实现在同一需打孔物上钻两孔或多孔的要求，拉动工作手柄，当卡座移动后，电机开始工作，直到将需打孔物钻透，放松手柄，卡座自动复位，电机停止工作。</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磁力加热搅拌器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1、搅拌量：≥5000ml；机器规格：235*135*455mm；金属材质。▲2、转速：0r/min～1200r/min；不锈钢加热盘，温度和转速数字显示，无级</w:t>
                  </w:r>
                  <w:r>
                    <w:rPr>
                      <w:rFonts w:ascii="仿宋_GB2312" w:hAnsi="仿宋_GB2312" w:cs="仿宋_GB2312" w:eastAsia="仿宋_GB2312"/>
                      <w:sz w:val="21"/>
                    </w:rPr>
                    <w:t>调速。</w:t>
                  </w:r>
                  <w:r>
                    <w:rPr>
                      <w:rFonts w:ascii="仿宋_GB2312" w:hAnsi="仿宋_GB2312" w:cs="仿宋_GB2312" w:eastAsia="仿宋_GB2312"/>
                      <w:sz w:val="21"/>
                    </w:rPr>
                    <w:t>3、加</w:t>
                  </w:r>
                  <w:r>
                    <w:rPr>
                      <w:rFonts w:ascii="仿宋_GB2312" w:hAnsi="仿宋_GB2312" w:cs="仿宋_GB2312" w:eastAsia="仿宋_GB2312"/>
                      <w:sz w:val="21"/>
                      <w:color w:val="000000"/>
                    </w:rPr>
                    <w:t>热功率：</w:t>
                  </w:r>
                  <w:r>
                    <w:rPr>
                      <w:rFonts w:ascii="仿宋_GB2312" w:hAnsi="仿宋_GB2312" w:cs="仿宋_GB2312" w:eastAsia="仿宋_GB2312"/>
                      <w:sz w:val="21"/>
                      <w:color w:val="000000"/>
                    </w:rPr>
                    <w:t>300W。电源：220V±10%，50Hz。4、结构：加热主机 、磁力搅拌装置、立杆等部分组成。</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烘干箱（</w:t>
                  </w:r>
                  <w:r>
                    <w:rPr>
                      <w:rFonts w:ascii="仿宋_GB2312" w:hAnsi="仿宋_GB2312" w:cs="仿宋_GB2312" w:eastAsia="仿宋_GB2312"/>
                      <w:sz w:val="21"/>
                      <w:color w:val="000000"/>
                    </w:rPr>
                    <w:t>136升）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工作室规格尺寸：</w:t>
                  </w:r>
                  <w:r>
                    <w:rPr>
                      <w:rFonts w:ascii="仿宋_GB2312" w:hAnsi="仿宋_GB2312" w:cs="仿宋_GB2312" w:eastAsia="仿宋_GB2312"/>
                      <w:sz w:val="21"/>
                      <w:color w:val="000000"/>
                    </w:rPr>
                    <w:t>≥550×450×550mm，有效容积：136升。箱体采用优质304不锈钢,重量：≥70kg。1、双排智能数显；可定时和温度误差修正；功率;2000W，电压;220V;温控范围;5～300℃，温度精度;±1℃,温度波动度度;±1℃。2、箱门中间设有观察窗，隔板负荷;15kg/㎡。优质风机与风道组合，可提高工作室内温度均匀度。3、采用PID调节方式控制加热系统。可设有定时循环控制装置自动控制电源开关时间。符合《远红外线干燥箱》GB4746-84的规定。</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恒温水浴锅（四孔）</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≥310*310*140mm；四孔；微电脑控制数显；型号：HH-4。1、加热功率：不小于1000W 。使用电源：AC 220V±22V  50Hz 。2、结构：箱体采用冷轧钢板压制加工成长方形盒，外层表面喷塑处理。不锈钢内锅。3、采用微电脑控制温度和时间，数字显示。4、有循环装置，温度波动不大于±0.5℃ 。5、安全要求：应符合YY91037 的有关规定。</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化学实验废液处理装置</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416×480×825mm，可移动。1、包括试剂瓶、反应池、搅拌机、水阀、过滤槽、活性炭槽;处理量:20升/次，无极变速双叶轮搅拌，附循环泵。2、具备多种实验功能：酸碱废液中和、PH值测试、重金属达标处理、天然水的净化、处理前后水质检测，模拟酸雨危害、模拟酸碱性水环境、对植物生存的影响、对动物生存的影响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分子结构模型</w:t>
                  </w:r>
                  <w:r>
                    <w:rPr>
                      <w:rFonts w:ascii="仿宋_GB2312" w:hAnsi="仿宋_GB2312" w:cs="仿宋_GB2312" w:eastAsia="仿宋_GB2312"/>
                      <w:sz w:val="21"/>
                      <w:color w:val="000000"/>
                    </w:rPr>
                    <w:t>(球棍模型)15件/套</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球棍式分子结构模型，</w:t>
                  </w:r>
                  <w:r>
                    <w:rPr>
                      <w:rFonts w:ascii="仿宋_GB2312" w:hAnsi="仿宋_GB2312" w:cs="仿宋_GB2312" w:eastAsia="仿宋_GB2312"/>
                      <w:sz w:val="21"/>
                      <w:color w:val="000000"/>
                    </w:rPr>
                    <w:t>▲1、球直径40mm和30mm组合，黑球直径40mm，橘黄球直径30mm，球材料为全新PE塑料.连接杆为直径5mm的铝合金连接，杆的长度约70mm。双键和三键用不锈钢弹簧连接。每个产品为单独组装好，共15件/套。2、包括：甲烷球棍CH4、乙烷球棍C2H6、丙烷球棍 C3H8、正丁烷球棍 C4H10、乙炔球棍 C2H2、乙烯球棍 C2H4、乙醇球棍 C2H5OH、乙酸球棍 CH3COOH、苯酚球棍 C6H5OH、乙醛球棍 C2H4O、正戊烷球棍 C5H12、异戊烷球棍 C5H12、新戊烷球棍 C5H12、氨分子球棍 NH3、水分子球棍 H2O。共15件。</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电子云杂化轨道模型（</w:t>
                  </w:r>
                  <w:r>
                    <w:rPr>
                      <w:rFonts w:ascii="仿宋_GB2312" w:hAnsi="仿宋_GB2312" w:cs="仿宋_GB2312" w:eastAsia="仿宋_GB2312"/>
                      <w:sz w:val="21"/>
                      <w:color w:val="000000"/>
                    </w:rPr>
                    <w:t>19件/套）</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规格：高度</w:t>
                  </w:r>
                  <w:r>
                    <w:rPr>
                      <w:rFonts w:ascii="仿宋_GB2312" w:hAnsi="仿宋_GB2312" w:cs="仿宋_GB2312" w:eastAsia="仿宋_GB2312"/>
                      <w:sz w:val="21"/>
                      <w:color w:val="000000"/>
                    </w:rPr>
                    <w:t>≥350mm，带底座，带XYZ红色字母坐标，铝合金棍子连接，组装好。包括：S、dz2、dx2-y2、dyz、dxz、dxy、px、py、pz、sp直线型、sp2、三角型、sp3正四面体、D2-sp3互为90度正八面体、乙烯、乙炔、环乙烷、苯环、氮分子和双氧水分子模型各一套。每套数量不少于19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w:t>
                  </w:r>
                  <w:r>
                    <w:rPr>
                      <w:rFonts w:ascii="仿宋_GB2312" w:hAnsi="仿宋_GB2312" w:cs="仿宋_GB2312" w:eastAsia="仿宋_GB2312"/>
                      <w:sz w:val="21"/>
                      <w:color w:val="000000"/>
                    </w:rPr>
                    <w:t>(片)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≥250g/包，片状：银白色金属，级别：工业级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w:t>
                  </w:r>
                  <w:r>
                    <w:rPr>
                      <w:rFonts w:ascii="仿宋_GB2312" w:hAnsi="仿宋_GB2312" w:cs="仿宋_GB2312" w:eastAsia="仿宋_GB2312"/>
                      <w:sz w:val="21"/>
                      <w:color w:val="000000"/>
                    </w:rPr>
                    <w:t>(箔)</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≥100g/包，级别：分析纯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w:t>
                  </w:r>
                  <w:r>
                    <w:rPr>
                      <w:rFonts w:ascii="仿宋_GB2312" w:hAnsi="仿宋_GB2312" w:cs="仿宋_GB2312" w:eastAsia="仿宋_GB2312"/>
                      <w:sz w:val="21"/>
                      <w:color w:val="000000"/>
                    </w:rPr>
                    <w:t>(粒)</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≥500g/瓶，银白色颗粒状Φ≥10mm，级别：AR分析纯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锌</w:t>
                  </w:r>
                  <w:r>
                    <w:rPr>
                      <w:rFonts w:ascii="仿宋_GB2312" w:hAnsi="仿宋_GB2312" w:cs="仿宋_GB2312" w:eastAsia="仿宋_GB2312"/>
                      <w:sz w:val="21"/>
                      <w:color w:val="000000"/>
                    </w:rPr>
                    <w:t>(片)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≥250g/包；级别：分析纯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w:t>
                  </w:r>
                  <w:r>
                    <w:rPr>
                      <w:rFonts w:ascii="仿宋_GB2312" w:hAnsi="仿宋_GB2312" w:cs="仿宋_GB2312" w:eastAsia="仿宋_GB2312"/>
                      <w:sz w:val="21"/>
                      <w:color w:val="000000"/>
                    </w:rPr>
                    <w:t>(还原铁粉)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≥500g/瓶；级别：分析纯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w:t>
                  </w:r>
                  <w:r>
                    <w:rPr>
                      <w:rFonts w:ascii="仿宋_GB2312" w:hAnsi="仿宋_GB2312" w:cs="仿宋_GB2312" w:eastAsia="仿宋_GB2312"/>
                      <w:sz w:val="21"/>
                      <w:color w:val="000000"/>
                    </w:rPr>
                    <w:t>(片)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≥100g/包，性状：银灰色质片状金属，级别：工业级。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w:t>
                  </w:r>
                  <w:r>
                    <w:rPr>
                      <w:rFonts w:ascii="仿宋_GB2312" w:hAnsi="仿宋_GB2312" w:cs="仿宋_GB2312" w:eastAsia="仿宋_GB2312"/>
                      <w:sz w:val="21"/>
                      <w:color w:val="000000"/>
                    </w:rPr>
                    <w:t>(丝)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≥100g/包，性状：黑色质硬线状金属，级别：工业级。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w:t>
                  </w:r>
                  <w:r>
                    <w:rPr>
                      <w:rFonts w:ascii="仿宋_GB2312" w:hAnsi="仿宋_GB2312" w:cs="仿宋_GB2312" w:eastAsia="仿宋_GB2312"/>
                      <w:sz w:val="21"/>
                      <w:color w:val="000000"/>
                    </w:rPr>
                    <w:t>(紫铜片)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≥100g/包，性状：棕色有光泽、延展性较好的金属，级别：工业级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w:t>
                  </w:r>
                  <w:r>
                    <w:rPr>
                      <w:rFonts w:ascii="仿宋_GB2312" w:hAnsi="仿宋_GB2312" w:cs="仿宋_GB2312" w:eastAsia="仿宋_GB2312"/>
                      <w:sz w:val="21"/>
                      <w:color w:val="000000"/>
                    </w:rPr>
                    <w:t>(丝)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≥100g/包，性状：棕红色有光泽的金属Φ≥2mm，级别：工业级。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每瓶</w:t>
                  </w:r>
                  <w:r>
                    <w:rPr>
                      <w:rFonts w:ascii="仿宋_GB2312" w:hAnsi="仿宋_GB2312" w:cs="仿宋_GB2312" w:eastAsia="仿宋_GB2312"/>
                      <w:sz w:val="21"/>
                      <w:color w:val="000000"/>
                    </w:rPr>
                    <w:t>≥500g，性状：灰黑色金属光泽的鳞片状或颗粒状结晶，级别：AR分析纯。I含量≥99.5%。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≥500g，性状：黑色或棕色晶体或无定形粉末，级别：分析纯AR。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三氧化二铁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≥500g，性状：深红色粉末或块状物，级别：分析纯AR。Fe含量≥68%。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氧化铜</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≥500g，性状：黑色粉末，级别：AR分析纯。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≥500g，性状：白色结晶或结晶粉末，级别：分析纯AR。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≥500g，性状：白色结晶或结晶粉末，级别：分析纯AR。KCl含量≥99.5%。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≥500g，性状：白色结晶粉末，级别：分析纯AR。NaCl含量≥99.5%。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≥500g，性状：白色结晶颗粒，级别：工业级。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氯化钙</w:t>
                  </w:r>
                  <w:r>
                    <w:rPr>
                      <w:rFonts w:ascii="仿宋_GB2312" w:hAnsi="仿宋_GB2312" w:cs="仿宋_GB2312" w:eastAsia="仿宋_GB2312"/>
                      <w:sz w:val="21"/>
                      <w:color w:val="000000"/>
                    </w:rPr>
                    <w:t>(无水)</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≥500g，性状：白色多孔性熔块或颗粒，级别：：分析纯AR。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≥500g，性状：无色结晶或结晶粉末，级别：分析纯AR。MgCl2•6H2O含量≥97%。</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三氯化铁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≥500g，性状：黄褐色晶体或结晶体，级别：分析纯AR。FeCl3•6H2O含量≥98%。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氯化亚铁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≥500g，性状：呈绿至黄色。可溶于水、乙醇和甲醇。级别：分析纯AR。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≥500g，性状：无色立方晶系晶体或白色颗粒状粉末。级别：分析纯AR。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≥500g，性状：无色结晶体或白色粉末，级别：分析纯AR。KI含量≥98%。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亚硫酸钠</w:t>
                  </w:r>
                  <w:r>
                    <w:rPr>
                      <w:rFonts w:ascii="仿宋_GB2312" w:hAnsi="仿宋_GB2312" w:cs="仿宋_GB2312" w:eastAsia="仿宋_GB2312"/>
                      <w:sz w:val="21"/>
                      <w:color w:val="000000"/>
                    </w:rPr>
                    <w:t>(无水)</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硫酸亚铁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≥500g，性状：白色粉末无气味，级别：分析纯AR。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≥500g，性状：无色结晶体或白色结晶性粉末，级别：分析纯AR。k2SO4含量≥99.5%。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≥500g，性状：白色、无臭、有苦味的结晶或粉末，级别：分析纯AR。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≥500g，性状：白色有光泽的结晶体或结晶性粉末，级别：分析纯AR。Al2(SO4)3•18H2O含量≥99.5%。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≥500g，性状：无色或白色晶体或粉末，级别：分析纯AR。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(蓝矾、胆矾)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≥500g，(蓝矾,胆矾)。性状：蓝色结晶体，级别：分析纯AR。CUSO4•5H2O含量≥99%。</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(无水)</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≥500g，无水。性状：白色或灰色粉末，级别：分析纯AR。CUSO4含量≥98%。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≥500g，性状：白色结晶，级别：分析纯AR。 (NH4)2SO4含量≥25.5%。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硫酸铝钾</w:t>
                  </w:r>
                  <w:r>
                    <w:rPr>
                      <w:rFonts w:ascii="仿宋_GB2312" w:hAnsi="仿宋_GB2312" w:cs="仿宋_GB2312" w:eastAsia="仿宋_GB2312"/>
                      <w:sz w:val="21"/>
                      <w:color w:val="000000"/>
                    </w:rPr>
                    <w:t>(明矾)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≥500g，(明矾)。性状：无色透明晶体或半透明白色粉末，级别：分析纯AR。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硫酸锌</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硫化亚铁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≥500g，性状：黑褐色六方晶体，级别：分析纯。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≥500g，性状：无色或透明晶体，级别：分析纯AR。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≥500g，性状：白色结晶粉末，级别：分析纯AR。NaHCO3含量≥99.8%。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大理石</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≥500g，大理石。性状：白色大颗粒状，级别：分析纯AR。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≥500g，粉状；级别：分析纯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≥500g，性状：细小无色晶体，级别：分析纯AR。 NH4HCO3含量≥22%。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硅酸钠</w:t>
                  </w:r>
                  <w:r>
                    <w:rPr>
                      <w:rFonts w:ascii="仿宋_GB2312" w:hAnsi="仿宋_GB2312" w:cs="仿宋_GB2312" w:eastAsia="仿宋_GB2312"/>
                      <w:sz w:val="21"/>
                      <w:color w:val="000000"/>
                    </w:rPr>
                    <w:t>(水玻璃)</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≥500ml，其水溶液俗称水玻璃；可溶性的无机硅酸盐；级别：分析纯AR。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银粒</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高纯</w:t>
                  </w:r>
                  <w:r>
                    <w:rPr>
                      <w:rFonts w:ascii="仿宋_GB2312" w:hAnsi="仿宋_GB2312" w:cs="仿宋_GB2312" w:eastAsia="仿宋_GB2312"/>
                      <w:sz w:val="21"/>
                      <w:color w:val="000000"/>
                    </w:rPr>
                    <w:t>每瓶</w:t>
                  </w:r>
                  <w:r>
                    <w:rPr>
                      <w:rFonts w:ascii="仿宋_GB2312" w:hAnsi="仿宋_GB2312" w:cs="仿宋_GB2312" w:eastAsia="仿宋_GB2312"/>
                      <w:sz w:val="21"/>
                      <w:color w:val="000000"/>
                    </w:rPr>
                    <w:t>≥100g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≥500g，性状：无色至白色单斜晶系结晶，级别：分析纯AR。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硫代硫酸钠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≥500g，海波，性状：无色或白色结晶性粉末，级别：分析纯AR。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四硼酸钠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≥500g，性状：白色结晶性粉末，级别：分析纯AR。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氨水</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≥500ml，性状：氨（NH3）的溶液，级别：分析纯AR。含量≤10%</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氧化钙</w:t>
                  </w:r>
                  <w:r>
                    <w:rPr>
                      <w:rFonts w:ascii="仿宋_GB2312" w:hAnsi="仿宋_GB2312" w:cs="仿宋_GB2312" w:eastAsia="仿宋_GB2312"/>
                      <w:sz w:val="21"/>
                      <w:color w:val="000000"/>
                    </w:rPr>
                    <w:t>(生石灰)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≥500g，（生石灰）。性状：轻质白色粉末，级别：分析纯AR。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氢氧化钙</w:t>
                  </w:r>
                  <w:r>
                    <w:rPr>
                      <w:rFonts w:ascii="仿宋_GB2312" w:hAnsi="仿宋_GB2312" w:cs="仿宋_GB2312" w:eastAsia="仿宋_GB2312"/>
                      <w:sz w:val="21"/>
                      <w:color w:val="000000"/>
                    </w:rPr>
                    <w:t>(熟石灰)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≥500g，（熟石灰）。性状：白色粉末，级别：分析纯AR。含量≥93%。</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碱石灰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≥500g，性状：白色或灰白色的多孔小块，级别：化学纯。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丙三醇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≥500g，性状：白色结晶性粉末，级别：分析纯AR。含量≥99.5%。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≥500g，性状：白色结晶性粉末，级别：分析纯AR。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可溶性淀粉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规格：每包</w:t>
                  </w:r>
                  <w:r>
                    <w:rPr>
                      <w:rFonts w:ascii="仿宋_GB2312" w:hAnsi="仿宋_GB2312" w:cs="仿宋_GB2312" w:eastAsia="仿宋_GB2312"/>
                      <w:sz w:val="21"/>
                      <w:color w:val="000000"/>
                    </w:rPr>
                    <w:t>≥500g，晶形蜡，烃类混合物。</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石蜡</w:t>
                  </w:r>
                  <w:r>
                    <w:rPr>
                      <w:rFonts w:ascii="仿宋_GB2312" w:hAnsi="仿宋_GB2312" w:cs="仿宋_GB2312" w:eastAsia="仿宋_GB2312"/>
                      <w:sz w:val="21"/>
                      <w:color w:val="000000"/>
                    </w:rPr>
                    <w:t>(油)</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≥500ml，从原油分馏中所得到的无色无味的混合物，级别：化学纯。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凡士林</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规格：每包</w:t>
                  </w:r>
                  <w:r>
                    <w:rPr>
                      <w:rFonts w:ascii="仿宋_GB2312" w:hAnsi="仿宋_GB2312" w:cs="仿宋_GB2312" w:eastAsia="仿宋_GB2312"/>
                      <w:sz w:val="21"/>
                      <w:color w:val="000000"/>
                    </w:rPr>
                    <w:t>≥500g；白色或微黄色均匀的软膏状物。</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石蕊</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≥25g，指示剂。性状：紫色固体，级别：化学纯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酚酞</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≥25g，指示剂。性状：白色结晶性块状或粉末，级别：化学纯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≥25g，染料。性状：呈绿色有金属光泽的颗粒或深红色粉末，级别：工业级。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甲基橙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≥25g，指示剂，性状：黄色至橙黄色粉末。级别：化学纯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pH广范围试纸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性状：</w:t>
                  </w:r>
                  <w:r>
                    <w:rPr>
                      <w:rFonts w:ascii="仿宋_GB2312" w:hAnsi="仿宋_GB2312" w:cs="仿宋_GB2312" w:eastAsia="仿宋_GB2312"/>
                      <w:sz w:val="21"/>
                      <w:color w:val="000000"/>
                    </w:rPr>
                    <w:t>1—6试纸范围指示酸性，7为中性；8—14的试纸范围指示碱性。比较板上的示值色泽，应与标准色明显差异。包装：每本80条。</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蓝石蕊试纸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测试溶液酸性，遇酸性溶液变红色。包装：每本</w:t>
                  </w:r>
                  <w:r>
                    <w:rPr>
                      <w:rFonts w:ascii="仿宋_GB2312" w:hAnsi="仿宋_GB2312" w:cs="仿宋_GB2312" w:eastAsia="仿宋_GB2312"/>
                      <w:sz w:val="21"/>
                      <w:color w:val="000000"/>
                    </w:rPr>
                    <w:t>80条。</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红石蕊试纸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测试溶液碱性，遇碱性溶液变蓝色。包装：每本</w:t>
                  </w:r>
                  <w:r>
                    <w:rPr>
                      <w:rFonts w:ascii="仿宋_GB2312" w:hAnsi="仿宋_GB2312" w:cs="仿宋_GB2312" w:eastAsia="仿宋_GB2312"/>
                      <w:sz w:val="21"/>
                      <w:color w:val="000000"/>
                    </w:rPr>
                    <w:t>80条。</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淀粉碘化钾试纸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每盒</w:t>
                  </w:r>
                  <w:r>
                    <w:rPr>
                      <w:rFonts w:ascii="仿宋_GB2312" w:hAnsi="仿宋_GB2312" w:cs="仿宋_GB2312" w:eastAsia="仿宋_GB2312"/>
                      <w:sz w:val="21"/>
                      <w:color w:val="000000"/>
                    </w:rPr>
                    <w:t>100条，快速检测氧化物是否存在</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亚甲基蓝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≥25g，指示剂，性状：深绿色青铜光泽结晶或粉末。级别：化学纯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φ≥11mm，过滤速度：快速，包装：100张/（盒）。</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乙醛酸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无水乙醇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≥500ml，纯度较高的乙醇水溶液，乙醇和水的混合物，级别：分析纯AR级。纯度：99.5%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乙酸乙酯</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≥500ml，性状：无色液体，级别：分析纯AR级。熔点：-84℃</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镁条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≥25g/包，级别：工业级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碳化钙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过氧化氢</w:t>
                  </w:r>
                  <w:r>
                    <w:rPr>
                      <w:rFonts w:ascii="仿宋_GB2312" w:hAnsi="仿宋_GB2312" w:cs="仿宋_GB2312" w:eastAsia="仿宋_GB2312"/>
                      <w:sz w:val="21"/>
                      <w:color w:val="000000"/>
                    </w:rPr>
                    <w:t>≤8%</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试剂，含量</w:t>
                  </w:r>
                  <w:r>
                    <w:rPr>
                      <w:rFonts w:ascii="仿宋_GB2312" w:hAnsi="仿宋_GB2312" w:cs="仿宋_GB2312" w:eastAsia="仿宋_GB2312"/>
                      <w:sz w:val="21"/>
                      <w:color w:val="000000"/>
                    </w:rPr>
                    <w:t>≤8%  500ml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500ml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去污粉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3000g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苯酚红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≥500g，性状：白色粉末（或粒状），级别：分析纯AR。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≥500g，性状：白色粒状固体，级别：分析纯AR。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≥500g，性状：白色粒状固体，级别：工业级。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防腐消毒液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低浓度，</w:t>
                  </w:r>
                  <w:r>
                    <w:rPr>
                      <w:rFonts w:ascii="仿宋_GB2312" w:hAnsi="仿宋_GB2312" w:cs="仿宋_GB2312" w:eastAsia="仿宋_GB2312"/>
                      <w:sz w:val="21"/>
                      <w:color w:val="000000"/>
                    </w:rPr>
                    <w:t>1000ml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1-己烯</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≥500ml；含量：99%，级别：AR分析纯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溴代正丁烷</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≥500ml；含量：98%，级别：AR分析纯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1-丙醇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≥500ml；含量：99.5%，级别：AR分析纯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丙醛</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≥500ml；含量：97%，级别：AR分析纯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2-氯丙烷</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 98%，级别：AR分析纯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仪器柜隔板（钢制）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990*480mm，材质：SPCC优质冷轧钢板，钢板厚度≥1.2mm；隔板长边三折弯处理，中间设加强筋板；承重：≥40kg；表面经去油除锈处理，耐腐蚀，抗冲击；所有表面静电喷环氧型树脂粉沫涂料，经200℃高温固化而成，塑膜的光泽度、附着力、硬度、耐冲力等均达到国标QB/T1097-2010质量标准。</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生物教学仪器</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磁力加热搅拌器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1、搅拌量：≥5000ml；机器规格：235*135*455mm；金属材质。2、转速：0r/min～1200r/min；不锈钢加热盘，温度和转速数字显示，无级</w:t>
                  </w:r>
                  <w:r>
                    <w:rPr>
                      <w:rFonts w:ascii="仿宋_GB2312" w:hAnsi="仿宋_GB2312" w:cs="仿宋_GB2312" w:eastAsia="仿宋_GB2312"/>
                      <w:sz w:val="21"/>
                    </w:rPr>
                    <w:t>调速。</w:t>
                  </w:r>
                  <w:r>
                    <w:rPr>
                      <w:rFonts w:ascii="仿宋_GB2312" w:hAnsi="仿宋_GB2312" w:cs="仿宋_GB2312" w:eastAsia="仿宋_GB2312"/>
                      <w:sz w:val="21"/>
                    </w:rPr>
                    <w:t>3、加</w:t>
                  </w:r>
                  <w:r>
                    <w:rPr>
                      <w:rFonts w:ascii="仿宋_GB2312" w:hAnsi="仿宋_GB2312" w:cs="仿宋_GB2312" w:eastAsia="仿宋_GB2312"/>
                      <w:sz w:val="21"/>
                      <w:color w:val="000000"/>
                    </w:rPr>
                    <w:t>热功率：</w:t>
                  </w:r>
                  <w:r>
                    <w:rPr>
                      <w:rFonts w:ascii="仿宋_GB2312" w:hAnsi="仿宋_GB2312" w:cs="仿宋_GB2312" w:eastAsia="仿宋_GB2312"/>
                      <w:sz w:val="21"/>
                      <w:color w:val="000000"/>
                    </w:rPr>
                    <w:t>300W。电源：220V±10%，50Hz。4、结构：加热主机 、磁力搅拌装置、立杆等部分组成。</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高压灭菌锅</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30L；材质：锅体外壳、内腔采用优质不锈钢SUS304材质制成，耐酸，耐碱，耐腐蚀；加热方式：电加热；功率：2KW；最高工作温度：126℃—128℃；由放汽阀、锅盖、排汽管、三角搁架、压力表、安全阀、消毒桶、锅体、电热管等部分组成，装有工作压力为0.14MPa的安全阀和能承受0.0165MPa的放汽阀。具有特种压力容器生产许可证。</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恒温水浴锅（四孔）</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≥310*310*140mm；四孔；微电脑控制数显；型号：HH-4。1、加热功率：不小于1000W 。使用电源：AC 220V±22V  50Hz 。2、结构：箱体采用冷轧钢板压制加工成长方形盒，外层表面喷塑处理。不锈钢内锅。3、采用微电脑控制温度和时间，数字显示。4、有循环装置，温度波动不大于±0.5℃ 。5、安全要求：应符合YY91037 的有关规定。</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恒温培养箱（</w:t>
                  </w:r>
                  <w:r>
                    <w:rPr>
                      <w:rFonts w:ascii="仿宋_GB2312" w:hAnsi="仿宋_GB2312" w:cs="仿宋_GB2312" w:eastAsia="仿宋_GB2312"/>
                      <w:sz w:val="21"/>
                      <w:color w:val="000000"/>
                    </w:rPr>
                    <w:t>125升）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电热恒温培养箱，</w:t>
                  </w:r>
                  <w:r>
                    <w:rPr>
                      <w:rFonts w:ascii="仿宋_GB2312" w:hAnsi="仿宋_GB2312" w:cs="仿宋_GB2312" w:eastAsia="仿宋_GB2312"/>
                      <w:sz w:val="21"/>
                      <w:color w:val="000000"/>
                    </w:rPr>
                    <w:t>1、内室规格：≥50*50*（高）50cm，有效容积：≥125L；内室材质;304不锈钢。▲2、显示方式：LED数显，微电脑PID控温技术；显示设定温度及当前温度，清晰直观。具有定时、超温报警、温度偏差修整、控温自整定等功能。3、温控范围：RT+5-60℃；控温精度：±0.1℃；温度均匀度;±2℃；温度分辨率;±0.1℃；定时范围：0-9999min。4、功率：500W，隔板数量：2块，隔板承重：≥10k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细胞亚显微结构模型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380×500mm材质；优质PVC材质。模型显示动物细胞亚形态及结构，示细胞膜、细胞质及细胞核。细胞质内主要示细胞器，线粒体，粗面内质面和滑面内质面网，高尔基复合体和中心体，细胞核作有切面，市核膜、核仁及染色体等。细胞核、中心体、线粒体等分别能卸下示教。</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细胞膜结构模型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260×180×110mm。材质；优质PVC材质。三层结构、蛋白质和脂质分子的排列方式。构造：1、脂质分子由呈球状的头和呈比状的尾组成。头部为亲水端，朝向膜内、外两侧、尾为疏水端，朝向膜中内，从而形成三片层结构。2、蛋白质呈不规则的球状，按其功能不同，部分镶嵌于类脂双分子层表面，部分横穿为脂双分子层，部分横穿类脂双分子层，其中一个蛋白质分子活动。3、使用：该模型支架为活动性支架，可作不同平面翻转。其中一个蛋白质分子可活动。示教时可按其流动规律作纵、横自由旋转。</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减数分裂中染色体变化模型组件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≥310*220mm。磁性可自由磁吸，演示染色体交叉互换、减数分裂中染色体变化。</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蛋白质二级结构</w:t>
                  </w:r>
                  <w:r>
                    <w:rPr>
                      <w:rFonts w:ascii="仿宋_GB2312" w:hAnsi="仿宋_GB2312" w:cs="仿宋_GB2312" w:eastAsia="仿宋_GB2312"/>
                      <w:sz w:val="21"/>
                      <w:color w:val="000000"/>
                    </w:rPr>
                    <w:t>(a一螺旋结构)模型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≥250×480mm，演示模型。蛋白质二级结构(a一螺旋结构)球棍式模型。1、a一碳原子 109° 直径25mm。2、碳原子 &gt;C= 120°直径25mm。3、氢原子 H-直径20mm。4、氧原子O=120°直径25mm。 5、氮原子 120°直径25mm。 6、侧链 R- 直径30mm。7、氢键 H-O之间长60mm。7、键C-O间长12mm、 C-Ca间长21mm、</w:t>
                  </w:r>
                  <w:r>
                    <w:br/>
                  </w:r>
                  <w:r>
                    <w:rPr>
                      <w:rFonts w:ascii="仿宋_GB2312" w:hAnsi="仿宋_GB2312" w:cs="仿宋_GB2312" w:eastAsia="仿宋_GB2312"/>
                      <w:sz w:val="21"/>
                      <w:color w:val="000000"/>
                    </w:rPr>
                    <w:t>C-N长15mm、 HCa长19门面、 NH长8mm。</w:t>
                  </w:r>
                  <w:r>
                    <w:br/>
                  </w:r>
                  <w:r>
                    <w:rPr>
                      <w:rFonts w:ascii="仿宋_GB2312" w:hAnsi="仿宋_GB2312" w:cs="仿宋_GB2312" w:eastAsia="仿宋_GB2312"/>
                      <w:sz w:val="21"/>
                      <w:color w:val="000000"/>
                    </w:rPr>
                    <w:t>8、肽键平面无色透明:平板。</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ABO血型磁性演示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磁性，演示内容包括脱氧核苷酸的组成，种类，</w:t>
                  </w:r>
                  <w:r>
                    <w:rPr>
                      <w:rFonts w:ascii="仿宋_GB2312" w:hAnsi="仿宋_GB2312" w:cs="仿宋_GB2312" w:eastAsia="仿宋_GB2312"/>
                      <w:sz w:val="21"/>
                      <w:color w:val="000000"/>
                    </w:rPr>
                    <w:t>DNA复制和蛋白质合成过程。包括：1、脱氧核苷酸1大块，背面印有胞苷的分子式一块；2小块，杂色，A,T,C,G各一块；3小块，红色，A,T,C,G各二块；4小块，白色，A,T,C,G各二块。2、转运RNA四种，反密码分别为"UAC""CGA","CCU""UUU"。3、氨基酸四种，分别为甲硫氨酸，丙氨酸，甘氨酸和赖氨酸。4、信使RNA链一条。5、核糖体一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根纵剖模型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规格尺寸：高</w:t>
                  </w:r>
                  <w:r>
                    <w:rPr>
                      <w:rFonts w:ascii="仿宋_GB2312" w:hAnsi="仿宋_GB2312" w:cs="仿宋_GB2312" w:eastAsia="仿宋_GB2312"/>
                      <w:sz w:val="21"/>
                      <w:color w:val="000000"/>
                    </w:rPr>
                    <w:t>≥400mm，型号：J3202型。材质：PVC材质。1、根尖纵、横剖面，固定于支架上，根尖中部做不同方向的纵剖面，突出维管柱，示根冠、分生区（生长点）、伸长区、成熟区（根毛区）和原形成层等。成熟区做不同层次的横剖，示表皮、皮层和维管柱。3、各种类型的细胞特点应明显、正确、各区颜色的过渡应自然。</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小麦花模型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规格尺寸：高度</w:t>
                  </w:r>
                  <w:r>
                    <w:rPr>
                      <w:rFonts w:ascii="仿宋_GB2312" w:hAnsi="仿宋_GB2312" w:cs="仿宋_GB2312" w:eastAsia="仿宋_GB2312"/>
                      <w:sz w:val="21"/>
                      <w:color w:val="000000"/>
                    </w:rPr>
                    <w:t>≥300mm，PVC材质。1、模型为放大数倍的小麦花，附以小穗为单位的复穗状花序模型，均立于支架上。2、放大的小麦花：示外稃、内稃、三枚雄蕊、一枚雌蕊和两个浆片。3、复穗状花序其小穗小部分均可拆下，其中一个小穗作剖面，示两片颖片和数朵小花。4、雌蕊：示柱头和子房：雄蕊示花丝和花药，其中一个花药做横切，示四个花粉襄和药隔：另一个呈纵裂状，示花粉粒。5、外稃：示中脉，侧脉和芒。</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荠菜胚发育模型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φ105×250（高），PVC材质。型号：J3211型。1、包括8个放大之蛙胚胎发育模型：分别为受精卵模型、四细胞期模型、八细胞期模型、囊胚期模型、原肠早期模型、原肠晚期模型、神经胚前期模型、5.5mm期模型。其中卵裂期模型示完整外形。2、在胚胎剖面上，外胚层为蓝色，中胚层为粉红色，内胚层为黄色。</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蝗虫解剖模型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规格尺寸：长度</w:t>
                  </w:r>
                  <w:r>
                    <w:rPr>
                      <w:rFonts w:ascii="仿宋_GB2312" w:hAnsi="仿宋_GB2312" w:cs="仿宋_GB2312" w:eastAsia="仿宋_GB2312"/>
                      <w:sz w:val="21"/>
                      <w:color w:val="000000"/>
                    </w:rPr>
                    <w:t>≥750mm，PVC材质。固定于支架上，模型为棉蝗雌虫，沿中线偏左纵部，去掉左侧体壁。</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水螅解剖模型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件，规格：150*510mm、150*150mm。模型为水螅模型和水螅体壁部分放大模型组成。1、水螅的外部形态显示:口、基盘、触手、体侧生有芽体精巢与卵巢。2、通过水螅的口部和角触手做纵剖面，显示消化腔与触手内腔相通。精巢与卵巢分别显示精细胞与卵细胞。3、体壁部分放大显示外胚层、中胶层、内胚层、肌肉细胞刺细胞和腺细胞等结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河蚌解剖模型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450×350×120mm，1、结构系统：可显示肌肉系统，消化系统，呼吸系统，排泄系统，循环系统和神经系统。2、外部结构：示三角类形的贝壳及其生长线，两贝壳连结之韧带。3、排泄系统：排泄系统的肾脏示开口于围心腔的肾口和开口于内腮瓣的腮上腔的排泄。4、耳蜗：肌肉系统示前、后闭壳肌、前、后缩足肌和前伸足肌；消化示口、触唇、食管、胃、肠、肛门和肝脏；呼吸系统示瓣状鳃；排泄系统示肾脏、围心腔腺；循环系统心脏(一个心室，二个心耳)、前、后、大动脉以及分布于外套的毛细血管网；神经系统示脑子神经节、足神经节和脏神经节。</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玉米杂种后代粒色分离模型（</w:t>
                  </w:r>
                  <w:r>
                    <w:rPr>
                      <w:rFonts w:ascii="仿宋_GB2312" w:hAnsi="仿宋_GB2312" w:cs="仿宋_GB2312" w:eastAsia="仿宋_GB2312"/>
                      <w:sz w:val="21"/>
                      <w:color w:val="000000"/>
                    </w:rPr>
                    <w:t>2部件/套）</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≥450×350×260mm，每套2部件，模型为放大40倍玉米杂种后代粒色分离，可显示种子，胚芽，胚乳纵切面，胚内显示胚芽，胚根，胚轴，子叶(盾片)。</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人体骨骼附神经模型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规格尺寸：高度</w:t>
                  </w:r>
                  <w:r>
                    <w:rPr>
                      <w:rFonts w:ascii="仿宋_GB2312" w:hAnsi="仿宋_GB2312" w:cs="仿宋_GB2312" w:eastAsia="仿宋_GB2312"/>
                      <w:sz w:val="21"/>
                      <w:color w:val="000000"/>
                    </w:rPr>
                    <w:t>≥850mm，PVC材质。带底座。▲1、人体骨骼附神经模型，神经部分可显示：2、颈上血管，神经。3、锁骨下动脉和颈动脉。4、臂上血管神经。5、腋下动脉主干。6、肱动脉。7、腰上血管，神经。8、髂总动脉。9、骶骨血管，神经。10、桡动脉和尺动脉。11、股骨动脉。12、腘动脉。13、胫后动脉与胫前动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人体肌肉模型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规格尺寸：高度</w:t>
                  </w:r>
                  <w:r>
                    <w:rPr>
                      <w:rFonts w:ascii="仿宋_GB2312" w:hAnsi="仿宋_GB2312" w:cs="仿宋_GB2312" w:eastAsia="仿宋_GB2312"/>
                      <w:sz w:val="21"/>
                      <w:color w:val="000000"/>
                    </w:rPr>
                    <w:t>≥850mm，PVC材质。带底座。1、模型为成年男性正常的肌肉模型，高度850mm，立于支架上。两上肢过肩做切面，可拆下。2、模型展示人体浅层肌肉及部分深层肌肉。保留耳廓、手指、脚趾、阴囊及阴茎处的皮肤。3、模型显示的肌肤纤维走向、形态结构、位置关系、着色及大小比例应准确，切面平整。</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头、颈、躯干模型</w:t>
                  </w:r>
                  <w:r>
                    <w:rPr>
                      <w:rFonts w:ascii="仿宋_GB2312" w:hAnsi="仿宋_GB2312" w:cs="仿宋_GB2312" w:eastAsia="仿宋_GB2312"/>
                      <w:sz w:val="21"/>
                      <w:color w:val="000000"/>
                    </w:rPr>
                    <w:t>850mm</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规格尺寸：高度</w:t>
                  </w:r>
                  <w:r>
                    <w:rPr>
                      <w:rFonts w:ascii="仿宋_GB2312" w:hAnsi="仿宋_GB2312" w:cs="仿宋_GB2312" w:eastAsia="仿宋_GB2312"/>
                      <w:sz w:val="21"/>
                      <w:color w:val="000000"/>
                    </w:rPr>
                    <w:t>≥850mm，PVC材质。男性成人，带底座。型号：J3301。1、头颈部座正中矢状切面，颈部做水平切面显示。2、胸腹部两侧近腋前线切下胸腹壁，在其断面上示肋骨和胸腹壁肌，显示人体内脏器官的正常位置，形态结构及其相互关系，重点显示呼吸、消化和泌尿三个系统。2、内脏各器官形态正确，比例适当，纹理清晰，连接正确，切面平整。3、各部结构着色准确、鲜明，颜色不得溢出分界。4、金属零件或嵌件均应作表面处理，定位准确牢固，松紧适度，拆装方便。</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眼球解剖模型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规格：放大六倍的成人眼球模型，装置于支架底座上。型号：</w:t>
                  </w:r>
                  <w:r>
                    <w:rPr>
                      <w:rFonts w:ascii="仿宋_GB2312" w:hAnsi="仿宋_GB2312" w:cs="仿宋_GB2312" w:eastAsia="仿宋_GB2312"/>
                      <w:sz w:val="21"/>
                      <w:color w:val="000000"/>
                    </w:rPr>
                    <w:t>J3309型。1、通过眼球前后极做正中水平切面，示眼球壁三层被膜，眼球内晶状体、玻璃体和虹膜（均可拆下）。由外向内三层被膜部分做成梯形切面，并示全部结构。2、眼球壁外部显示：眼球、角膜、巩膜、虹膜、瞳孔、六块眼肌的断端、视神经、涡静脉、睫状后长动脉（虹膜动脉）、睫状后短动脉（脉络膜动脉）。3、眼球壁剖面及内部主要显示：外膜（前部1/6的角膜及后部5/6的巩膜）、中膜（虹膜、睫状体和脉络膜）、内膜（视网膜及其后部的视神经盘、黄斑及视网膜血管、晶状体及玻璃体）。4、角膜、晶状体的透明度应不低于85%，不得有雾斑和结石。5、视轴与眼轴的夹角应为4º～5º。6、解剖部位拼缝应平整，缝口不≤1mm。7、各部位或器官贴名签或号签。</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心脏解剖模型（三倍大）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三倍大成人心脏,装置于支架底座上。1、模型以正常生理位置放置在支架上，呈舒张状态，能水平旋转。2、做左右心房的剖面，沿肺动脉根部切开，示左右心房的结构及肺静脉，主动脉半月瓣，心室切开一个剖面，表示左右心室的内部结构。3、心脏各部结构及血管的粗细比例、位置、走向以及分支等正确自然，动、静脉管的断面管壁有明显的区分。4、模型上各部位均应贴名签。</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耳解剖模型（</w:t>
                  </w:r>
                  <w:r>
                    <w:rPr>
                      <w:rFonts w:ascii="仿宋_GB2312" w:hAnsi="仿宋_GB2312" w:cs="仿宋_GB2312" w:eastAsia="仿宋_GB2312"/>
                      <w:sz w:val="21"/>
                      <w:color w:val="000000"/>
                    </w:rPr>
                    <w:t>6倍自然大）</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283×183mm，6倍自然大，配底座。1、模型整体有外耳及相连的颞骨岩部，切除外耳道的前部，显示外耳道的形态结构。2、水平切开颞骨岩部，保留鼓室盖，显示中耳、内耳的形态结构。3、模型的外耳应显示耳廓、外耳道，中耳应显示鼓膜、鼓室、三块听骨（连在一起可整体拆下）、咽鼓管及乳突窦，内耳显示半规管、前庭、耳蜗和前庭蜗神经结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病毒结构模型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≥310×260mm，可清晰显示：1、荚膜。2、鞭毛.3、 细胞壁。4、DNA(遗传物质)。5、细胞膜。</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艾滋病病毒模型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≥210×135mm，病毒是一种体积非常微结构极其简单的生命形式。病毒沒有细胞结构，主要由内部的杨酸和外部的蛋白质外壳组成，不能独立生存，只有寄生在活细胞里才能进行生命活动。一旦离开就会变成结晶体</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大肠杆菌模型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≥290×185mm，模型示细菌的横截面，鞭毛、包涵体、质粒和染色体的典型构造</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噬菌体模型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格尺寸：</w:t>
                  </w:r>
                  <w:r>
                    <w:rPr>
                      <w:rFonts w:ascii="仿宋_GB2312" w:hAnsi="仿宋_GB2312" w:cs="仿宋_GB2312" w:eastAsia="仿宋_GB2312"/>
                      <w:sz w:val="21"/>
                      <w:color w:val="000000"/>
                    </w:rPr>
                    <w:t>≥220×155mm，噬菌体是侵袭细菌的病毒，也是赋予宿主菌生物学性状的遗传物质。模型为噬菌体在电镜下蝌蚪形状放大100万倍，示噬菌体的解剖结构和特征。</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鱼解剖标本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1、标本选用体长不小于150mm的鯽鱼或鲤鱼制作。标本正面展示鱼的左侧解剖结构，背面展示鱼的右侧，展开背鰭和尾鰭，显示鱼外形。</w:t>
                  </w:r>
                  <w:r>
                    <w:br/>
                  </w:r>
                  <w:r>
                    <w:rPr>
                      <w:rFonts w:ascii="仿宋_GB2312" w:hAnsi="仿宋_GB2312" w:cs="仿宋_GB2312" w:eastAsia="仿宋_GB2312"/>
                      <w:sz w:val="21"/>
                      <w:color w:val="000000"/>
                    </w:rPr>
                    <w:t>2、切掉左侧鳃盖、体壁、脑鰭、腹鰭及头肾、余肾和前部的生殖腺以显示消化系统，呼吸系统，循环系统，排泄系统，生殖系统和神经系统。</w:t>
                  </w:r>
                  <w:r>
                    <w:br/>
                  </w:r>
                  <w:r>
                    <w:rPr>
                      <w:rFonts w:ascii="仿宋_GB2312" w:hAnsi="仿宋_GB2312" w:cs="仿宋_GB2312" w:eastAsia="仿宋_GB2312"/>
                      <w:sz w:val="21"/>
                      <w:color w:val="000000"/>
                    </w:rPr>
                    <w:t>3、标本包埋于安全无毒的透明树脂块中。标本边角平滑美观，标本表面打磨平整，无明显伤痕；标本无明显气泡和杂质，直径大于3mm的气泡不得超过2个。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190*100*32mm（误差±5mm）。</w:t>
                  </w:r>
                  <w:r>
                    <w:br/>
                  </w:r>
                  <w:r>
                    <w:rPr>
                      <w:rFonts w:ascii="仿宋_GB2312" w:hAnsi="仿宋_GB2312" w:cs="仿宋_GB2312" w:eastAsia="仿宋_GB2312"/>
                      <w:sz w:val="21"/>
                      <w:color w:val="000000"/>
                    </w:rPr>
                    <w:t>三、物理性能指标：</w:t>
                  </w:r>
                  <w:r>
                    <w:rPr>
                      <w:rFonts w:ascii="仿宋_GB2312" w:hAnsi="仿宋_GB2312" w:cs="仿宋_GB2312" w:eastAsia="仿宋_GB2312"/>
                      <w:sz w:val="21"/>
                      <w:color w:val="000000"/>
                    </w:rPr>
                    <w:t>1、产品应为透明度较高的无色树脂，在厚度为10mm的测试条件下，透光率不小于90%。2、产品应有足够的硬度，在厚度为10mm的测试条件下，其洛氏硬度应大于100L。 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蛙解剖标本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1、标本选用大型青蛙或蟾蜍制作，血管内分注红兰两种色剂，标本的背面面向树脂块后侧。</w:t>
                  </w:r>
                  <w:r>
                    <w:br/>
                  </w:r>
                  <w:r>
                    <w:rPr>
                      <w:rFonts w:ascii="仿宋_GB2312" w:hAnsi="仿宋_GB2312" w:cs="仿宋_GB2312" w:eastAsia="仿宋_GB2312"/>
                      <w:sz w:val="21"/>
                      <w:color w:val="000000"/>
                    </w:rPr>
                    <w:t>2、将躯干背面的皮向上翻开，以显示皮下动静脉之分布。</w:t>
                  </w:r>
                  <w:r>
                    <w:br/>
                  </w:r>
                  <w:r>
                    <w:rPr>
                      <w:rFonts w:ascii="仿宋_GB2312" w:hAnsi="仿宋_GB2312" w:cs="仿宋_GB2312" w:eastAsia="仿宋_GB2312"/>
                      <w:sz w:val="21"/>
                      <w:color w:val="000000"/>
                    </w:rPr>
                    <w:t>3、切掉背、腹面体壁和肝左叶的边缘，从背腹两面显示消化系统、呼吸系统、循环系统、排泄系统、生殖系统和脂肪体。</w:t>
                  </w:r>
                  <w:r>
                    <w:br/>
                  </w:r>
                  <w:r>
                    <w:rPr>
                      <w:rFonts w:ascii="仿宋_GB2312" w:hAnsi="仿宋_GB2312" w:cs="仿宋_GB2312" w:eastAsia="仿宋_GB2312"/>
                      <w:sz w:val="21"/>
                      <w:color w:val="000000"/>
                    </w:rPr>
                    <w:t>4、标本包埋于安全无毒的透明树脂块中。标本边角平滑美观，标本表面打磨平整，无明显伤痕；标本无明显气泡和杂质，直径大于3mm的气泡不得超过2个。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190*100*32（mm（误差±5mm）。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晰蝎解剖标本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1、标本由石龙子科、蜥蜴科或鬣蜥科中较大型的个体制作，体长≥100mm（从吻端到尾基）。</w:t>
                  </w:r>
                  <w:r>
                    <w:br/>
                  </w:r>
                  <w:r>
                    <w:rPr>
                      <w:rFonts w:ascii="仿宋_GB2312" w:hAnsi="仿宋_GB2312" w:cs="仿宋_GB2312" w:eastAsia="仿宋_GB2312"/>
                      <w:sz w:val="21"/>
                      <w:color w:val="000000"/>
                    </w:rPr>
                    <w:t>2、标本沿腹中线切开，体壁翻两侧，前后肢自然伸展，肩带和腰带的腹面切掉。</w:t>
                  </w:r>
                  <w:r>
                    <w:br/>
                  </w:r>
                  <w:r>
                    <w:rPr>
                      <w:rFonts w:ascii="仿宋_GB2312" w:hAnsi="仿宋_GB2312" w:cs="仿宋_GB2312" w:eastAsia="仿宋_GB2312"/>
                      <w:sz w:val="21"/>
                      <w:color w:val="000000"/>
                    </w:rPr>
                    <w:t>3、血管内分注红、蓝两种色剂。</w:t>
                  </w:r>
                  <w:r>
                    <w:br/>
                  </w:r>
                  <w:r>
                    <w:rPr>
                      <w:rFonts w:ascii="仿宋_GB2312" w:hAnsi="仿宋_GB2312" w:cs="仿宋_GB2312" w:eastAsia="仿宋_GB2312"/>
                      <w:sz w:val="21"/>
                      <w:color w:val="000000"/>
                    </w:rPr>
                    <w:t>4、标本的背面向树脂块后侧，显示消化系统、呼吸系统、循环系统、排泄系统、生殖系统。</w:t>
                  </w:r>
                  <w:r>
                    <w:br/>
                  </w:r>
                  <w:r>
                    <w:rPr>
                      <w:rFonts w:ascii="仿宋_GB2312" w:hAnsi="仿宋_GB2312" w:cs="仿宋_GB2312" w:eastAsia="仿宋_GB2312"/>
                      <w:sz w:val="21"/>
                      <w:color w:val="000000"/>
                    </w:rPr>
                    <w:t>5、标本包埋于安全无毒的透明树脂块中。标本边角平滑美观，标本表面打磨平整，无明显伤痕；标本无明显气泡和杂质，直径大于3mm的气泡不得超过2个。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190*100*32mm（误差±5mm）。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鸽解剖标本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 xml:space="preserve">1、标本采用家鸽解剖制作，标本的背面向包埋树脂块的背侧，血管内分注红兰两种色剂， </w:t>
                  </w:r>
                  <w:r>
                    <w:br/>
                  </w:r>
                  <w:r>
                    <w:rPr>
                      <w:rFonts w:ascii="仿宋_GB2312" w:hAnsi="仿宋_GB2312" w:cs="仿宋_GB2312" w:eastAsia="仿宋_GB2312"/>
                      <w:sz w:val="21"/>
                      <w:color w:val="000000"/>
                    </w:rPr>
                    <w:t>2、标本应保留头部羽毛，颈和双腿伸展，显示外部形态。</w:t>
                  </w:r>
                  <w:r>
                    <w:br/>
                  </w:r>
                  <w:r>
                    <w:rPr>
                      <w:rFonts w:ascii="仿宋_GB2312" w:hAnsi="仿宋_GB2312" w:cs="仿宋_GB2312" w:eastAsia="仿宋_GB2312"/>
                      <w:sz w:val="21"/>
                      <w:color w:val="000000"/>
                    </w:rPr>
                    <w:t>3、左侧的胸肌翻向外侧，显示胸动静脉的分布；右侧的胸、动静脉及其小分支摘除，其胸、腹壁和右前肢、肝左叶的边缘均切掉，显示内脏各系统。</w:t>
                  </w:r>
                  <w:r>
                    <w:br/>
                  </w:r>
                  <w:r>
                    <w:rPr>
                      <w:rFonts w:ascii="仿宋_GB2312" w:hAnsi="仿宋_GB2312" w:cs="仿宋_GB2312" w:eastAsia="仿宋_GB2312"/>
                      <w:sz w:val="21"/>
                      <w:color w:val="000000"/>
                    </w:rPr>
                    <w:t>4、标本包埋于安全无毒的透明树脂块中。标本边角平滑美观，标本表面打磨平整，无明显伤痕；标本无明显气泡和杂质，直径大于3mm的气泡不得超过2个。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250*105*55（mm（误差±5mm）。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兔解剖标本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1、标本选用家兔解剖制作，皮毛应无脱毛现象，并保持清洁。</w:t>
                  </w:r>
                  <w:r>
                    <w:br/>
                  </w:r>
                  <w:r>
                    <w:rPr>
                      <w:rFonts w:ascii="仿宋_GB2312" w:hAnsi="仿宋_GB2312" w:cs="仿宋_GB2312" w:eastAsia="仿宋_GB2312"/>
                      <w:sz w:val="21"/>
                      <w:color w:val="000000"/>
                    </w:rPr>
                    <w:t>2、标本背面向包埋树脂块的背侧，四肢伸展，显示外部形态，血管内分注红、蓝、黄三种色剂。</w:t>
                  </w:r>
                  <w:r>
                    <w:br/>
                  </w:r>
                  <w:r>
                    <w:rPr>
                      <w:rFonts w:ascii="仿宋_GB2312" w:hAnsi="仿宋_GB2312" w:cs="仿宋_GB2312" w:eastAsia="仿宋_GB2312"/>
                      <w:sz w:val="21"/>
                      <w:color w:val="000000"/>
                    </w:rPr>
                    <w:t>3、沿腹中线切开，显示胸壁的结构和由隔间膈成的胸腔及其气管。</w:t>
                  </w:r>
                  <w:r>
                    <w:br/>
                  </w:r>
                  <w:r>
                    <w:rPr>
                      <w:rFonts w:ascii="仿宋_GB2312" w:hAnsi="仿宋_GB2312" w:cs="仿宋_GB2312" w:eastAsia="仿宋_GB2312"/>
                      <w:sz w:val="21"/>
                      <w:color w:val="000000"/>
                    </w:rPr>
                    <w:t>4、切掉腹壁的肌肉、胸腺、肝后叶的后缘和后背缘。</w:t>
                  </w:r>
                  <w:r>
                    <w:br/>
                  </w:r>
                  <w:r>
                    <w:rPr>
                      <w:rFonts w:ascii="仿宋_GB2312" w:hAnsi="仿宋_GB2312" w:cs="仿宋_GB2312" w:eastAsia="仿宋_GB2312"/>
                      <w:sz w:val="21"/>
                      <w:color w:val="000000"/>
                    </w:rPr>
                    <w:t>5、显示消化系统、循环系统、排泄系统、生殖系统。</w:t>
                  </w:r>
                  <w:r>
                    <w:br/>
                  </w:r>
                  <w:r>
                    <w:rPr>
                      <w:rFonts w:ascii="仿宋_GB2312" w:hAnsi="仿宋_GB2312" w:cs="仿宋_GB2312" w:eastAsia="仿宋_GB2312"/>
                      <w:sz w:val="21"/>
                      <w:color w:val="000000"/>
                    </w:rPr>
                    <w:t>6、标本包埋于安全无毒的透明树脂块中。标本边角平滑美观，标本表面打磨平整，无明显伤痕；标本无明显气泡和杂质，直径大于3mm的气泡不得超过4个。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250*105*55mm（误差±5mm）。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蛙发育顺序标本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 xml:space="preserve">1、标本应由蛙的8个发育期组成，④～⑧期形体完整，姿态自然。无明显干瘪发黑现象。 </w:t>
                  </w:r>
                  <w:r>
                    <w:br/>
                  </w:r>
                  <w:r>
                    <w:rPr>
                      <w:rFonts w:ascii="仿宋_GB2312" w:hAnsi="仿宋_GB2312" w:cs="仿宋_GB2312" w:eastAsia="仿宋_GB2312"/>
                      <w:sz w:val="21"/>
                      <w:color w:val="000000"/>
                    </w:rPr>
                    <w:t>其他要求符合</w:t>
                  </w:r>
                  <w:r>
                    <w:rPr>
                      <w:rFonts w:ascii="仿宋_GB2312" w:hAnsi="仿宋_GB2312" w:cs="仿宋_GB2312" w:eastAsia="仿宋_GB2312"/>
                      <w:sz w:val="21"/>
                      <w:color w:val="000000"/>
                    </w:rPr>
                    <w:t>(JY 148-82)蛙发育顺序标本技术条件。</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蛔虫标本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1、选用雌虫体长不小于200～350㎜，雄虫体长不小于150～250㎜的成虫制成，雌雄一同包埋于同一透明有机树脂块中。</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164*78*20mm（误差±2mm）。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花序类型保色标本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1、标本由7种不同类型的花序组成。植物体表面无泛白现象。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164*78*20mm（误差±2mm）。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花冠类型保色标本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1、标本由7种不同类型的花冠组成。植物体表面无泛白现象。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164*78*20mm（误差±2mm）。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褐藻类植物保色标本</w:t>
                  </w:r>
                  <w:r>
                    <w:rPr>
                      <w:rFonts w:ascii="仿宋_GB2312" w:hAnsi="仿宋_GB2312" w:cs="仿宋_GB2312" w:eastAsia="仿宋_GB2312"/>
                      <w:sz w:val="21"/>
                      <w:color w:val="000000"/>
                    </w:rPr>
                    <w:t>(高透明树脂包埋)（每套4个）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1、标本由海带等4种不同的褐藻植物组成。植物体表面无泛白现象。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140*64*10，4个（误差±2mm）。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红藻类植物保色标本</w:t>
                  </w:r>
                  <w:r>
                    <w:rPr>
                      <w:rFonts w:ascii="仿宋_GB2312" w:hAnsi="仿宋_GB2312" w:cs="仿宋_GB2312" w:eastAsia="仿宋_GB2312"/>
                      <w:sz w:val="21"/>
                      <w:color w:val="000000"/>
                    </w:rPr>
                    <w:t>(高透明树脂包埋)（每套4个）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1、标本由紫菜等4种不同的红藻植物组成。植物体表面无泛白现象。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140*64*10，4个（误差±2mm）。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海葵标本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1、标本采用海葵制作。海葵形体完整，姿态自然。示口、口盘、触手、体筒和基盘。无明显干瘪发黑现象。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73*41*24mm（误差±2mm）。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海蜇标本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1、标本采用海蛰制作。海葵形体完整，无明显发黑现象。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75*75*16mm（误差±2mm）。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寄居蟹标本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1、标本用生活在螺壳中的寄居蟹制作。</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88*58*24mm（误差±2mm）。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寄居蟹与其它生物共生标本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1、标本用寄居蟹和与其共生的海葵或藤壶制作。</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88*58*24mm（误差±2mm）。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寄生绦虫囊尾蚴猪肉浸制标本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1、标本选用检出囊尾蚴的部分猪肉制成。猪肉不得干瘪发黑。</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珍贵植物保色标本</w:t>
                  </w:r>
                  <w:r>
                    <w:rPr>
                      <w:rFonts w:ascii="仿宋_GB2312" w:hAnsi="仿宋_GB2312" w:cs="仿宋_GB2312" w:eastAsia="仿宋_GB2312"/>
                      <w:sz w:val="21"/>
                      <w:color w:val="000000"/>
                    </w:rPr>
                    <w:t>(高透明树脂包埋)（每套2个）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1、标本由银杏等3种不同的珍贵植物组成。植物经保色处理，叶片表面无泛白现象。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75*75*10（误差±2mm），2个；135*90*10（误差±2mm），1个。</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葫芦藓生活史标本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1、标本由葫芦藓4阶段生活史组成。</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蕨生活史标本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1、标本由蕨的5阶段生活史组成，植物经保色处理，植物体表面无泛白现象。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1、标本选用东亚飞蝗、亚洲飞蝗或棉蝗制作，展示昆虫的不完全变态。</w:t>
                  </w:r>
                  <w:r>
                    <w:br/>
                  </w:r>
                  <w:r>
                    <w:rPr>
                      <w:rFonts w:ascii="仿宋_GB2312" w:hAnsi="仿宋_GB2312" w:cs="仿宋_GB2312" w:eastAsia="仿宋_GB2312"/>
                      <w:sz w:val="21"/>
                      <w:color w:val="000000"/>
                    </w:rPr>
                    <w:t>2、标本由卵、一至五龄的跳蝻、雄性成虫、雌性成虫和被害物组成。</w:t>
                  </w:r>
                  <w:r>
                    <w:br/>
                  </w:r>
                  <w:r>
                    <w:rPr>
                      <w:rFonts w:ascii="仿宋_GB2312" w:hAnsi="仿宋_GB2312" w:cs="仿宋_GB2312" w:eastAsia="仿宋_GB2312"/>
                      <w:sz w:val="21"/>
                      <w:color w:val="000000"/>
                    </w:rPr>
                    <w:t>3、固定在透明的树脂材料中，虫体以腹面向下定位。</w:t>
                  </w:r>
                  <w:r>
                    <w:br/>
                  </w:r>
                  <w:r>
                    <w:rPr>
                      <w:rFonts w:ascii="仿宋_GB2312" w:hAnsi="仿宋_GB2312" w:cs="仿宋_GB2312" w:eastAsia="仿宋_GB2312"/>
                      <w:sz w:val="21"/>
                      <w:color w:val="000000"/>
                    </w:rPr>
                    <w:t>4、蝗虫经过整姿处理，蝗虫及被害物表面无泛白现象。</w:t>
                  </w:r>
                  <w:r>
                    <w:br/>
                  </w:r>
                  <w:r>
                    <w:rPr>
                      <w:rFonts w:ascii="仿宋_GB2312" w:hAnsi="仿宋_GB2312" w:cs="仿宋_GB2312" w:eastAsia="仿宋_GB2312"/>
                      <w:sz w:val="21"/>
                      <w:color w:val="000000"/>
                    </w:rPr>
                    <w:t>5、标本包埋于安全无毒的透明树脂块中。标本边角平滑美观，标本表面打磨平整，无明显伤痕；标本无明显气泡和杂质，直径大于3mm的气泡不得超过1个。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164*78*20mm（误差±2mm）。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蜜蜂生活史标本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1、标本选用意蜂或中蜂制作，显示昆虫的完全变态、社会性昆虫不同及类型个体。</w:t>
                  </w:r>
                  <w:r>
                    <w:br/>
                  </w:r>
                  <w:r>
                    <w:rPr>
                      <w:rFonts w:ascii="仿宋_GB2312" w:hAnsi="仿宋_GB2312" w:cs="仿宋_GB2312" w:eastAsia="仿宋_GB2312"/>
                      <w:sz w:val="21"/>
                      <w:color w:val="000000"/>
                    </w:rPr>
                    <w:t>4、蜜蜂经过整姿处理，身体表面无泛白现象。</w:t>
                  </w:r>
                  <w:r>
                    <w:br/>
                  </w:r>
                  <w:r>
                    <w:rPr>
                      <w:rFonts w:ascii="仿宋_GB2312" w:hAnsi="仿宋_GB2312" w:cs="仿宋_GB2312" w:eastAsia="仿宋_GB2312"/>
                      <w:sz w:val="21"/>
                      <w:color w:val="000000"/>
                    </w:rPr>
                    <w:t>5、标本包埋于安全无毒的透明树脂块中。标本边角平滑美观，标本表面打磨平整，无明显伤痕。</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竹节虫生活史标本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1、标本选用长度不小于5CM的竹节虫制成。竹节虫表面无泛白现象。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家蚕生活史标本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1、标本由卵、幼虫（四龄）、蛹、雌雄成虫及茧组成，附蚕丝、丝织品、桑叶。</w:t>
                  </w:r>
                  <w:r>
                    <w:br/>
                  </w:r>
                  <w:r>
                    <w:rPr>
                      <w:rFonts w:ascii="仿宋_GB2312" w:hAnsi="仿宋_GB2312" w:cs="仿宋_GB2312" w:eastAsia="仿宋_GB2312"/>
                      <w:sz w:val="21"/>
                      <w:color w:val="000000"/>
                    </w:rPr>
                    <w:t>2、成虫应展翅，昆虫表面无泛白现象。</w:t>
                  </w:r>
                  <w:r>
                    <w:br/>
                  </w:r>
                  <w:r>
                    <w:rPr>
                      <w:rFonts w:ascii="仿宋_GB2312" w:hAnsi="仿宋_GB2312" w:cs="仿宋_GB2312" w:eastAsia="仿宋_GB2312"/>
                      <w:sz w:val="21"/>
                      <w:color w:val="000000"/>
                    </w:rPr>
                    <w:t>3、标本包埋于安全无毒的透明树脂块中。标本边角平滑美观，标本表面打磨平整，无明显伤痕；标本无明显气泡和杂质，树脂块中直径大于3mm的气泡不得超过1个。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菜粉蝶生活史标本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1、标本由菜粉蝶的卵、幼虫、蛹、雌雄成虫及被害物组成，按生活史顺序排列，显示其完全变态。</w:t>
                  </w:r>
                  <w:r>
                    <w:br/>
                  </w:r>
                  <w:r>
                    <w:rPr>
                      <w:rFonts w:ascii="仿宋_GB2312" w:hAnsi="仿宋_GB2312" w:cs="仿宋_GB2312" w:eastAsia="仿宋_GB2312"/>
                      <w:sz w:val="21"/>
                      <w:color w:val="000000"/>
                    </w:rPr>
                    <w:t>2、成虫展翅，昆虫表面无泛白现象。</w:t>
                  </w:r>
                  <w:r>
                    <w:br/>
                  </w:r>
                  <w:r>
                    <w:rPr>
                      <w:rFonts w:ascii="仿宋_GB2312" w:hAnsi="仿宋_GB2312" w:cs="仿宋_GB2312" w:eastAsia="仿宋_GB2312"/>
                      <w:sz w:val="21"/>
                      <w:color w:val="000000"/>
                    </w:rPr>
                    <w:t>3、标本包埋于安全无毒的透明树脂块中。标本边角平滑美观，标本表面打磨平整，无明显伤痕；标本无明显气泡和杂质，树脂块中直径大于3mm的气泡不得超过1个。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兔骨骼标本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1、选用家兔骨骼制作。 标本显示中轴骨骼的头骨、舌器骨、七块颈椎骨、十二或十三块胸椎骨、六或七块腰椎骨、荐骨、十五或十八块尾椎骨、十二或十三对肋骨、六块胸骨。锁骨固定在前肢骨上方的树脂块内。</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200*90*40mm（误差±5mm）。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鱼骨骼标本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1、标本选用鳍条完整、骨骼形态正常的鲫鱼或鲤鱼制作。</w:t>
                  </w:r>
                  <w:r>
                    <w:br/>
                  </w:r>
                  <w:r>
                    <w:rPr>
                      <w:rFonts w:ascii="仿宋_GB2312" w:hAnsi="仿宋_GB2312" w:cs="仿宋_GB2312" w:eastAsia="仿宋_GB2312"/>
                      <w:sz w:val="21"/>
                      <w:color w:val="000000"/>
                    </w:rPr>
                    <w:t>2、标本左侧的鳃盖骨和下鳃盖骨应卸下，显示头部的舌弓、腮弓、肩带与头骨之连接方式和围耳骨等形态结构。另附尾椎一节。</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200*90*40mm（误差±5mm）。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蛙骨骼标本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1、标本选用体长不小于80mm的蟾蜍制作。</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135*90*35mm（误差±5mm）。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鸽骨骼标本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1、标本选用成熟家鸽制作。标本以自然站立姿态固定在安全无毒的透明树脂块中，多附颈椎骨一块。</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180*140*75mm（误差±5mm）。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珊瑚标本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1、标本选用白色鹿角珊瑚骨骼制成。珊瑚骨骼表面无泛白现象。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88*58*24mm（误差±2mm）。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化石标本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1、标本由三叶虫等3种不同的化石组成。化石表面无泛白现象。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2、标本包埋于安全无毒的透明树脂块中。标本边角平滑美观，标本表面打磨平整，无明显伤痕；标本无明显气泡和杂质，树脂块中直径大于3mm的气泡不得超过2个。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节肢动物标本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1、标本选用6种节肢动物制作。动物经整姿处理，体表无泛白现象。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164*78*20mm（误差±2mm）。</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昆虫标本</w:t>
                  </w:r>
                  <w:r>
                    <w:rPr>
                      <w:rFonts w:ascii="仿宋_GB2312" w:hAnsi="仿宋_GB2312" w:cs="仿宋_GB2312" w:eastAsia="仿宋_GB2312"/>
                      <w:sz w:val="21"/>
                      <w:color w:val="000000"/>
                    </w:rPr>
                    <w:t>(高透明树脂包埋)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1、标本包括十种常见害虫。昆虫经过整姿处理。标本应形体完整、姿态自然和色泽正常，昆虫表面无泛白现象。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3、昆虫身体表面无影响观察的泛白现象，单个昆虫泛白面积不超过其表面积的5%。</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140*64*18（误差±2mm）（共2个）。</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六益六害虫标本</w:t>
                  </w:r>
                  <w:r>
                    <w:rPr>
                      <w:rFonts w:ascii="仿宋_GB2312" w:hAnsi="仿宋_GB2312" w:cs="仿宋_GB2312" w:eastAsia="仿宋_GB2312"/>
                      <w:sz w:val="21"/>
                      <w:color w:val="000000"/>
                    </w:rPr>
                    <w:t>(高透明树脂包埋)（每套2个）</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一、材质：</w:t>
                  </w:r>
                  <w:r>
                    <w:br/>
                  </w:r>
                  <w:r>
                    <w:rPr>
                      <w:rFonts w:ascii="仿宋_GB2312" w:hAnsi="仿宋_GB2312" w:cs="仿宋_GB2312" w:eastAsia="仿宋_GB2312"/>
                      <w:sz w:val="21"/>
                      <w:color w:val="000000"/>
                    </w:rPr>
                    <w:t>1、标本包括六种常见益虫和六种常见害虫。昆虫经过整姿处理。标本应形体完整、姿态自然和色泽正常，昆虫表面无泛白现象。</w:t>
                  </w:r>
                  <w:r>
                    <w:br/>
                  </w:r>
                  <w:r>
                    <w:rPr>
                      <w:rFonts w:ascii="仿宋_GB2312" w:hAnsi="仿宋_GB2312" w:cs="仿宋_GB2312" w:eastAsia="仿宋_GB2312"/>
                      <w:sz w:val="21"/>
                      <w:color w:val="000000"/>
                    </w:rPr>
                    <w:t>2、标本包埋于安全无毒的透明树脂块中。标本边角平滑美观，标本表面打磨平整，无明显伤痕；标本无明显气泡和杂质，直径大于3mm的气泡不得超过1个。</w:t>
                  </w:r>
                  <w:r>
                    <w:br/>
                  </w:r>
                  <w:r>
                    <w:rPr>
                      <w:rFonts w:ascii="仿宋_GB2312" w:hAnsi="仿宋_GB2312" w:cs="仿宋_GB2312" w:eastAsia="仿宋_GB2312"/>
                      <w:sz w:val="21"/>
                      <w:color w:val="000000"/>
                    </w:rPr>
                    <w:t>3、昆虫身体表面无影响观察的泛白现象，单个昆虫泛白面积不超过其表面积的5%。</w:t>
                  </w:r>
                  <w:r>
                    <w:br/>
                  </w:r>
                  <w:r>
                    <w:rPr>
                      <w:rFonts w:ascii="仿宋_GB2312" w:hAnsi="仿宋_GB2312" w:cs="仿宋_GB2312" w:eastAsia="仿宋_GB2312"/>
                      <w:sz w:val="21"/>
                      <w:color w:val="000000"/>
                    </w:rPr>
                    <w:t>二、产品尺寸规格：</w:t>
                  </w:r>
                  <w:r>
                    <w:rPr>
                      <w:rFonts w:ascii="仿宋_GB2312" w:hAnsi="仿宋_GB2312" w:cs="仿宋_GB2312" w:eastAsia="仿宋_GB2312"/>
                      <w:sz w:val="21"/>
                      <w:color w:val="000000"/>
                    </w:rPr>
                    <w:t>140*64*18（误差±2mm）（共2个）。</w:t>
                  </w:r>
                  <w:r>
                    <w:br/>
                  </w:r>
                  <w:r>
                    <w:rPr>
                      <w:rFonts w:ascii="仿宋_GB2312" w:hAnsi="仿宋_GB2312" w:cs="仿宋_GB2312" w:eastAsia="仿宋_GB2312"/>
                      <w:sz w:val="21"/>
                      <w:color w:val="000000"/>
                    </w:rPr>
                    <w:t>三、物理性能指标：</w:t>
                  </w:r>
                  <w:r>
                    <w:br/>
                  </w:r>
                  <w:r>
                    <w:rPr>
                      <w:rFonts w:ascii="仿宋_GB2312" w:hAnsi="仿宋_GB2312" w:cs="仿宋_GB2312" w:eastAsia="仿宋_GB2312"/>
                      <w:sz w:val="21"/>
                      <w:color w:val="000000"/>
                    </w:rPr>
                    <w:t>1、产品应为透明度较高的无色树脂，在厚度为10mm的测试条件下，透光率不小于90%。</w:t>
                  </w:r>
                  <w:r>
                    <w:br/>
                  </w:r>
                  <w:r>
                    <w:rPr>
                      <w:rFonts w:ascii="仿宋_GB2312" w:hAnsi="仿宋_GB2312" w:cs="仿宋_GB2312" w:eastAsia="仿宋_GB2312"/>
                      <w:sz w:val="21"/>
                      <w:color w:val="000000"/>
                    </w:rPr>
                    <w:t xml:space="preserve">2、产品应有足够的硬度，在厚度为10mm的测试条件下，其洛氏硬度应大于100L。 </w:t>
                  </w:r>
                  <w:r>
                    <w:br/>
                  </w:r>
                  <w:r>
                    <w:rPr>
                      <w:rFonts w:ascii="仿宋_GB2312" w:hAnsi="仿宋_GB2312" w:cs="仿宋_GB2312" w:eastAsia="仿宋_GB2312"/>
                      <w:sz w:val="21"/>
                      <w:color w:val="000000"/>
                    </w:rPr>
                    <w:t>3、产品的耐老化性能应在氙灯老化50小时后其包埋材料的黄色指数与老化前测得的黄色指数差值不得大于2。</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蝙蝠骨骼标本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23.5*13*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无毒蛇骨骼标本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22.5*17*3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五纲心标本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19*15.8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五纲脑标本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19*15.8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大白鼠解剖标本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29*21*5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海蚌解剖标本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13.5*9*3.5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乌贼解剖标本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18*5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蝙蝠标本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7.5*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8.8*5.8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章鱼结构标本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7.5*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蜗牛结构标本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鲤鱼结构标本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龙虾结构标本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4.3*2.8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枪乌贼结构标本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18.8*11*3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昆虫足类型标本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8.8*5.8*1.8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昆虫蛹的类型标本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8.8*5.8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蜈蚣对马陆标本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6.4*1.8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蛾与蝶比较标本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环节动物代表标本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6.4*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昆虫翅膀类型标本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1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昆虫口器类型标本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1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昆虫触角类型标本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1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昆虫蛹的类型标本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1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昆虫足的类型标本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7.3*4.1*1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蜻蜓生活史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蝴蝶生活史标本（红锯蛱蝶）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黑蚱蝉生活史标本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23*13*3.5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蟑螂生活史标本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6.4*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家蝇生活史标本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8.8*5.8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蝴蝶生活史标本（金斑蝶）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螳螂生活史标本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植物根系标本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8.8*5.8*2.4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豆发芽过程标本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1.8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玉米发芽过程标本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1.8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花生发芽过程标本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1.8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松树生活史标本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26.4*18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高粱发芽过程</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29*19*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棉花生活史标本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12*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水稻发芽过程标本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16.4*7.8*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小麦发芽过程标本</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29*10*2cm,高透明树脂包埋,长久保存，安全环保；标本包埋于安全无毒的透明树脂块中。标本边角平滑美观，标本表面打磨平整，无明显伤痕；标本无明显气泡和杂质，直径大于3mm的气泡不得超过1个。产品应为透明度较高的无色树脂，在厚度为10mm的测试条件下，透光率不小于90%。产品应有足够的硬度，在厚度为10mm的测试条件下，其洛氏硬度应大于100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每瓶</w:t>
                  </w:r>
                  <w:r>
                    <w:rPr>
                      <w:rFonts w:ascii="仿宋_GB2312" w:hAnsi="仿宋_GB2312" w:cs="仿宋_GB2312" w:eastAsia="仿宋_GB2312"/>
                      <w:sz w:val="21"/>
                      <w:color w:val="000000"/>
                    </w:rPr>
                    <w:t>≥500g，性状：灰黑色金属光泽的鳞片状或颗粒状结晶，级别：AR分析纯。I含量≥99.5%。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氯化钠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≥500g，性状：白色结晶粉末，级别：分析纯AR。NaCl含量≥99.5%。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≥500g，性状：白色多孔性熔块或颗粒，级别：分析纯AR。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三氯化铁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≥500g，性状：黄褐色晶体或结晶体，级别：分析纯AR。FeCl3•6H2O含量≥98%。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≥500g，性状：无色结晶体或白色粉末，级别：分析纯AR。KI含量≥98%。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≥500g，性状：白色、无臭、有苦味的结晶或粉末，级别：分析纯AR。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硫酸铜</w:t>
                  </w:r>
                  <w:r>
                    <w:rPr>
                      <w:rFonts w:ascii="仿宋_GB2312" w:hAnsi="仿宋_GB2312" w:cs="仿宋_GB2312" w:eastAsia="仿宋_GB2312"/>
                      <w:sz w:val="21"/>
                      <w:color w:val="000000"/>
                    </w:rPr>
                    <w:t>(蓝矾、胆矾)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≥500g，(蓝矾,胆矾)。性状：蓝色结晶体，级别：分析纯AR。CUSO4•5H2O含量≥99%。</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≥500g，性状：无色或透明晶体，级别：分析纯AR。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≥500g，（熟石灰）。性状：白色粉末，级别：分析纯AR。含量≥93%。</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氢氧化铝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≥500g，性状：无色或透明晶体，级别：分析纯AR。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无水乙酸钠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柠檬酸钠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琼脂</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≥500g，性状：白色结晶性粉末，级别：分析纯AR。含量≥99.5%。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蔗糖</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≥500g，性状：白色结晶性粉末，级别：分析纯AR。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可溶性淀粉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≥500ml，含量：75%；医用。</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对氨基苯磺酸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≥10g，级别：分析纯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N-1-萘基乙二胺盐酸盐</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≥10g，级别：分析纯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海藻酸钠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DNA粗提取和鉴定试剂</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果胶酶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α-淀粉酶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≥250g，黄棕色冻干粉末；含水量5%-8%；溶于水，不溶于乙醇或乙醚，级别：分析纯。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≥25g，染料。性状：呈绿色有金属光泽的颗粒或深红色粉末，级别：工业级。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pH广范围试纸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性状：</w:t>
                  </w:r>
                  <w:r>
                    <w:rPr>
                      <w:rFonts w:ascii="仿宋_GB2312" w:hAnsi="仿宋_GB2312" w:cs="仿宋_GB2312" w:eastAsia="仿宋_GB2312"/>
                      <w:sz w:val="21"/>
                      <w:color w:val="000000"/>
                    </w:rPr>
                    <w:t>1—6试纸范围指示酸性，7为中性；8—14的试纸范围指示碱性。比较板上的示值色泽，应与标准色明显差异。包装：每本80条。</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甲基绿</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≥25g，碱性染料，性状：绿色结晶，带金黄色光泽或淡绿色粉末。级别：化学纯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亚甲基蓝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≥25g，指示剂，性状：深绿色青铜光泽结晶或粉末。级别：化学纯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定性滤纸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φ≥11mm，过滤速度：快速，包装：100张/（盒）。</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胭脂红</w:t>
                  </w:r>
                  <w:r>
                    <w:rPr>
                      <w:rFonts w:ascii="仿宋_GB2312" w:hAnsi="仿宋_GB2312" w:cs="仿宋_GB2312" w:eastAsia="仿宋_GB2312"/>
                      <w:sz w:val="21"/>
                      <w:color w:val="000000"/>
                    </w:rPr>
                    <w:t>(洋红)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≥25g，着色剂，性状：红色至深红色均匀颗粒或粉末。级别：分析纯。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龙胆紫</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≥25g，甲紫，有机染料。性状：溶液为紫色。级别：分析纯。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曙红</w:t>
                  </w:r>
                  <w:r>
                    <w:rPr>
                      <w:rFonts w:ascii="仿宋_GB2312" w:hAnsi="仿宋_GB2312" w:cs="仿宋_GB2312" w:eastAsia="仿宋_GB2312"/>
                      <w:sz w:val="21"/>
                      <w:color w:val="000000"/>
                    </w:rPr>
                    <w:t>B(伊红B)</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≥25g，生物染色剂。性状：红色粉末，易溶于水，溶液呈绿色荧光。级别：分析纯。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≥25g，指示剂、染料、生物染色剂。性状：深绿色青铜光泽结晶或粉末。级别：分析纯。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酚红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≥25g，酸碱指示剂。性状：深红色结晶粉末。级别：分析纯。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吡罗红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≥25g，有机碱性染料。含氧蒽杂环母核连接有氨基的结构，分别能与细胞内的DNA、RNA结合呈现不同颜色；级别：AR分析纯。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苏丹</w:t>
                  </w:r>
                  <w:r>
                    <w:rPr>
                      <w:rFonts w:ascii="仿宋_GB2312" w:hAnsi="仿宋_GB2312" w:cs="仿宋_GB2312" w:eastAsia="仿宋_GB2312"/>
                      <w:sz w:val="21"/>
                      <w:color w:val="000000"/>
                    </w:rPr>
                    <w:t>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≥25g，化学染色剂。性状：红棕色结晶性粉末。级别：化学纯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健那绿</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≥25g，活体染色剂。性状：红棕色结晶性粉末。用作线粒体专一性活体染色剂；级别：AR分析纯。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结晶紫</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≥25g，甲紫，有机染料。性状：溶液为紫色。级别：分析纯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刚果红</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考马斯亮蓝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溴麝香草酚蓝</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≥20g，染色剂，级别：分析纯。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乙醛酸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无水乙醇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≥500ml，纯度较高的乙醇水溶液，乙醇和水的混合物，级别：分析纯AR级。纯度：99.5%</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乙酸乙酯</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≥500ml，性状：无色液体，级别：分析纯AR级。熔点：-84℃</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原油</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500ml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过氧化氢</w:t>
                  </w:r>
                  <w:r>
                    <w:rPr>
                      <w:rFonts w:ascii="仿宋_GB2312" w:hAnsi="仿宋_GB2312" w:cs="仿宋_GB2312" w:eastAsia="仿宋_GB2312"/>
                      <w:sz w:val="21"/>
                      <w:color w:val="000000"/>
                    </w:rPr>
                    <w:t>≤8%</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试剂，含量</w:t>
                  </w:r>
                  <w:r>
                    <w:rPr>
                      <w:rFonts w:ascii="仿宋_GB2312" w:hAnsi="仿宋_GB2312" w:cs="仿宋_GB2312" w:eastAsia="仿宋_GB2312"/>
                      <w:sz w:val="21"/>
                      <w:color w:val="000000"/>
                    </w:rPr>
                    <w:t>≤8%  500ml</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酒石酸钾钠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硫酸钡</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乙酸铵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r>
                    <w:rPr>
                      <w:rFonts w:ascii="仿宋_GB2312" w:hAnsi="仿宋_GB2312" w:cs="仿宋_GB2312" w:eastAsia="仿宋_GB2312"/>
                      <w:sz w:val="21"/>
                      <w:color w:val="000000"/>
                    </w:rPr>
                    <w:t>500g</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氢氧化钠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≥500g，性状：白色粒状固体，级别：分析纯AR。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MTB分析液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≥500ml；级别：分析纯，真空包装。</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≥500ml，级别：分析纯，避光包装。</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生理盐水</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≥500ml，医用级。</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牛肉膏</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≥500g，生化试剂，级别：分析纯。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蛋白胨</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≥500g，生化试剂，基质：动物蛋白；级别：分析纯。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斐林试剂</w:t>
                  </w:r>
                  <w:r>
                    <w:rPr>
                      <w:rFonts w:ascii="仿宋_GB2312" w:hAnsi="仿宋_GB2312" w:cs="仿宋_GB2312" w:eastAsia="仿宋_GB2312"/>
                      <w:sz w:val="21"/>
                      <w:color w:val="000000"/>
                    </w:rPr>
                    <w:t>AB液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≥1000ml，A液：500ml，B液：500ml，精度：0.000N</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≥500g，性状：无色或白色晶体或粉末，级别：分析纯AR。</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磷酸二氢钾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四硼酸钠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硫酸锰</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硫酸锌</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钼酸钠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乙二胺四乙酸二钠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硫酸铁</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肌醇</w:t>
                  </w:r>
                  <w:r>
                    <w:rPr>
                      <w:rFonts w:ascii="仿宋_GB2312" w:hAnsi="仿宋_GB2312" w:cs="仿宋_GB2312" w:eastAsia="仿宋_GB2312"/>
                      <w:sz w:val="21"/>
                      <w:color w:val="000000"/>
                    </w:rPr>
                    <w:t xml:space="preserve">    </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烟酸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吡哆辛盐酸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B1试剂</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甘氨酸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吲丁萘乙酸</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磷酸二氢钾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磷酸氢二钠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脲</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酵母浸膏</w:t>
                  </w:r>
                  <w:r>
                    <w:rPr>
                      <w:rFonts w:ascii="仿宋_GB2312" w:hAnsi="仿宋_GB2312" w:cs="仿宋_GB2312" w:eastAsia="仿宋_GB2312"/>
                      <w:sz w:val="21"/>
                      <w:color w:val="000000"/>
                    </w:rPr>
                    <w:t xml:space="preserve">  </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≥500g，生物试剂，溶于水呈黄色或棕色，级别：分析纯。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水解酪素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≥500g，总氮：≥12%，易溶于水，级别：分析纯。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羧甲基纤维素钠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≥500g，白色到棕褐色粉末，CMC高粘度，级别：AR分析纯。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交联葡萄糖</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≥500g，三维网状结构珠状微粒；10倍吸水量；级别：AR分析纯。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丙烯酰胺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≥500g，含量：98%，级别：AR分析纯。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N，N-甲叉双丙烯酰胺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≥500g，含量：99%，生物高分子化合物，级别：AR分析纯。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十二烷基磺酸钠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≥500g，含量：99%，淡黄色结晶或粉末，级别：分析纯。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过硫酸铵</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≥500g，白色结晶性粉末，级别：分析纯。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三羟甲基氨基甲烷</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≥500g，含量：99%，白色结晶或粉末，级别：分析纯。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四甲基乙二胺</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≥250ml，无色透明液体，级别：分析纯。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碳酸钙</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≥500g，粉状；级别：分析纯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二氧化硅</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≥500g，级别：分析纯</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碳酸氢钠</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规格：每瓶</w:t>
                  </w:r>
                  <w:r>
                    <w:rPr>
                      <w:rFonts w:ascii="仿宋_GB2312" w:hAnsi="仿宋_GB2312" w:cs="仿宋_GB2312" w:eastAsia="仿宋_GB2312"/>
                      <w:sz w:val="21"/>
                      <w:color w:val="000000"/>
                    </w:rPr>
                    <w:t>≥500g，性状：白色结晶粉末，级别：分析纯AR。NaHCO3含量≥99.8%。</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载玻片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≥25.4×76.2×1.5mm（厚度），包装：50片/盒。材质：钠钙玻璃。玻片表面平整，薄厚均匀，无破损、无砂粒、无光斑等。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盖玻片（</w:t>
                  </w:r>
                  <w:r>
                    <w:rPr>
                      <w:rFonts w:ascii="仿宋_GB2312" w:hAnsi="仿宋_GB2312" w:cs="仿宋_GB2312" w:eastAsia="仿宋_GB2312"/>
                      <w:sz w:val="21"/>
                      <w:color w:val="000000"/>
                    </w:rPr>
                    <w:t>2*2cm) 每小盒100片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≥20×20mm，厚度≥0.2mm。包装：100片/盒。材质：钠钙玻璃。玻片表面平整，薄厚均匀，无破损、无砂粒、无光斑等。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血球计数板</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76.2×26mm，厚度：1.2mm，材质：石英玻璃。25×16型</w:t>
                  </w:r>
                  <w:r>
                    <w:rPr>
                      <w:rFonts w:ascii="仿宋_GB2312" w:hAnsi="仿宋_GB2312" w:cs="仿宋_GB2312" w:eastAsia="仿宋_GB2312"/>
                      <w:sz w:val="21"/>
                      <w:color w:val="000000"/>
                    </w:rPr>
                    <w:t>：计数室面积：</w:t>
                  </w:r>
                  <w:r>
                    <w:rPr>
                      <w:rFonts w:ascii="仿宋_GB2312" w:hAnsi="仿宋_GB2312" w:cs="仿宋_GB2312" w:eastAsia="仿宋_GB2312"/>
                      <w:sz w:val="21"/>
                      <w:color w:val="000000"/>
                    </w:rPr>
                    <w:t>1mm²，深度：0.1mm，总体积：0.1mm，一个大方格分为25个中格，每个中格再分16个小格，红血球计数区：1/25mm²，白血球计数区：1/16mm²。</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蚕豆叶下表皮装片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≥25.4×76.2×1.2mm（厚），材质：高硼硅玻璃。生物材料：蚕豆叶片的下表皮；用于观察植物叶片表皮细胞、保卫细胞及气孔结构，可清晰观察到表皮细胞、保卫细胞和气孔的完整形态。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植物细胞有丝分裂</w:t>
                  </w:r>
                  <w:r>
                    <w:rPr>
                      <w:rFonts w:ascii="仿宋_GB2312" w:hAnsi="仿宋_GB2312" w:cs="仿宋_GB2312" w:eastAsia="仿宋_GB2312"/>
                      <w:sz w:val="21"/>
                      <w:color w:val="000000"/>
                    </w:rPr>
                    <w:t>(洋葱根尖受精卵切片)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洋葱根尖；用于观察根尖分生区细胞在有丝分裂过程中染色体的动态变化，可识别间期、前期、中期、后期和末期各个阶段，高倍镜下清晰呈现至少三个分裂时期。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黑藻叶装片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≥25.4×76.2×1.2mm（厚），材质：高硼硅玻璃。生物材料：黑藻幼嫩小叶；可清晰观察叶绿体形态和细胞质流动现象。 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酵母菌装片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≥25.4×76.2×1.2mm（厚），材质：高硼硅玻璃。生物材料：活性干酵母；用于观察真菌结构，可观察酵母菌的形态、细胞结构及出芽生殖现象。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水绵装片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≥25.4×76.2×1.2mm（厚），材质：高硼硅玻璃。生物材料：丝状绿藻；用于观察水绵细胞结构和生殖过程，可清晰辨认整体结构。 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动物细胞有丝分裂</w:t>
                  </w:r>
                  <w:r>
                    <w:rPr>
                      <w:rFonts w:ascii="仿宋_GB2312" w:hAnsi="仿宋_GB2312" w:cs="仿宋_GB2312" w:eastAsia="仿宋_GB2312"/>
                      <w:sz w:val="21"/>
                      <w:color w:val="000000"/>
                    </w:rPr>
                    <w:t>(马蛔虫受精卵切片)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≥25.4×76.2×1.2mm（厚），材质：高硼硅玻璃。生物材料：马蛔虫受精卵；用于观察动物细胞有丝分裂各时期形态变化，可观察到间期、前期、中期、后期和末期等多个时期的细胞。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草履虫分裂生殖装片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≥25.4×76.2×1.2mm（厚），材质：高硼硅玻璃。生物材料：大草履虫；用于观察草履虫无性繁殖过程，可清晰展示其细胞核与细胞质的分裂动态。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蝗虫精巢减数分裂装片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≥25.4×76.2×1.2mm（厚），材质：高硼硅玻璃。生物材料：繁殖期雄蝗虫；用于观察减数分裂过程，可观察到多种染色体数目的细胞。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人体基本组织装片（一）</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≥25.4×76.2×1.2mm（厚），材质：高硼硅玻璃，结构特点：细胞排列紧密，形态规则（如柱状、扁平状），细胞间质少。</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人体基本组织装片（二）</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≥25.4×76.2×1.2mm（厚），材质：高硼硅玻璃，结构特点：细胞排列疏松，细胞间质发达，含纤维（胶原纤维、弹性纤维）</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人体基本组织装片（三）</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≥25.4×76.2×1.2mm（厚），材质：高硼硅玻璃，结构特点：主要由肌细胞构成，有明显横纹或梭形结构，细胞间质少</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359</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人体基本组织装片（四）</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≥25.4×76.2×1.2mm（厚），材质：高硼硅玻璃，结构特点：由神经元和神经胶质细胞组成，神经元具多个突起（树突、轴突）</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胰腺切片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≥25.4×76.2×1.2mm（厚），材质：高硼硅玻璃。生物材料：人体或实验动物的胰腺组织；用于观察胰腺组织结构。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361</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正常人染色体装片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外周血淋巴细胞；用于观察人类染色体形态和数目，可清晰的观察到多数细胞为间期，少数为有丝分裂中期；中期细胞中可见46条染色体，呈分散、清晰的长条状，能分辨大小、着丝粒位置；女性为 46,XX，男性为 46,XY。染色体不严重重叠、染色适中、背景干净。</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示线粒体切片</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≥25.4×76.2×1.2mm（厚），材质：高硼硅玻璃。生物材料：动物细胞或植物幼嫩组织；，可清晰展示蓝绿色的小颗粒或短棒状结构（健那绿染色），分布在细胞质中。 染色适度，细胞结构清晰可见，封片牢固，适合长期观察。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标本盒</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≥300×240×45mm，材质：松木；表面喷涂环保清漆，内衬白色海绵卡槽用于固定玻片。盒盖：斜口盖，带锁扣设计，便于密封防尘。标签：盒盖内侧留有空白标签栏，用于填写盒内标本目录。</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柜签卡盒</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≥140×100mm，材质：透明亚克力材质；双层横款，U型插口，后部背胶，正面表面覆膜</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仪器标签（柜签）</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≥297×210mm，材质：300g铜版纸材质；背面不干胶，每包120张。</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标本展示架</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≥170×170×260mm，壁厚：5mm材质：高透明亚克力材质；弧形构造，力学龙骨设计。数量：75个。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1"/>
              </w:rPr>
              <w:t>供货商必须按合同约定时间将全部教学仪器设备负责送货至指定学校实验室，完成开箱清点、安装调试、质量验收；同时负责将仪器设备分类上柜、规范上架、整齐摆放，并按采购人要求统一粘贴资产标签、设备标识，确保摆放有序、标识清晰、符合教学及资产管理规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标的名称：西安市第八十九中学分校图书采购项目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书单：详见附件，共计</w:t>
            </w:r>
            <w:r>
              <w:rPr>
                <w:rFonts w:ascii="仿宋_GB2312" w:hAnsi="仿宋_GB2312" w:cs="仿宋_GB2312" w:eastAsia="仿宋_GB2312"/>
              </w:rPr>
              <w:t>25000册</w:t>
            </w:r>
          </w:p>
          <w:p>
            <w:pPr>
              <w:pStyle w:val="null3"/>
            </w:pPr>
            <w:r>
              <w:rPr>
                <w:rFonts w:ascii="仿宋_GB2312" w:hAnsi="仿宋_GB2312" w:cs="仿宋_GB2312" w:eastAsia="仿宋_GB2312"/>
              </w:rPr>
              <w:t>2</w:t>
            </w:r>
            <w:r>
              <w:rPr>
                <w:rFonts w:ascii="仿宋_GB2312" w:hAnsi="仿宋_GB2312" w:cs="仿宋_GB2312" w:eastAsia="仿宋_GB2312"/>
              </w:rPr>
              <w:t>、图书要求：投标人必须按照本</w:t>
            </w:r>
            <w:r>
              <w:rPr>
                <w:rFonts w:ascii="仿宋_GB2312" w:hAnsi="仿宋_GB2312" w:cs="仿宋_GB2312" w:eastAsia="仿宋_GB2312"/>
              </w:rPr>
              <w:t>磋商文件</w:t>
            </w:r>
            <w:r>
              <w:rPr>
                <w:rFonts w:ascii="仿宋_GB2312" w:hAnsi="仿宋_GB2312" w:cs="仿宋_GB2312" w:eastAsia="仿宋_GB2312"/>
              </w:rPr>
              <w:t>采购书目中所有要求的招标图书进行投标。每本图书的书号、书名、出版社、定价须与采购目录中公布的相一致，图书供货率必须</w:t>
            </w:r>
            <w:r>
              <w:rPr>
                <w:rFonts w:ascii="仿宋_GB2312" w:hAnsi="仿宋_GB2312" w:cs="仿宋_GB2312" w:eastAsia="仿宋_GB2312"/>
              </w:rPr>
              <w:t>100%。</w:t>
            </w:r>
          </w:p>
          <w:p>
            <w:pPr>
              <w:pStyle w:val="null3"/>
            </w:pPr>
            <w:r>
              <w:rPr>
                <w:rFonts w:ascii="仿宋_GB2312" w:hAnsi="仿宋_GB2312" w:cs="仿宋_GB2312" w:eastAsia="仿宋_GB2312"/>
              </w:rPr>
              <w:t>3</w:t>
            </w:r>
            <w:r>
              <w:rPr>
                <w:rFonts w:ascii="仿宋_GB2312" w:hAnsi="仿宋_GB2312" w:cs="仿宋_GB2312" w:eastAsia="仿宋_GB2312"/>
              </w:rPr>
              <w:t>、图书配置：</w:t>
            </w:r>
          </w:p>
          <w:p>
            <w:pPr>
              <w:pStyle w:val="null3"/>
            </w:pPr>
            <w:r>
              <w:rPr>
                <w:rFonts w:ascii="仿宋_GB2312" w:hAnsi="仿宋_GB2312" w:cs="仿宋_GB2312" w:eastAsia="仿宋_GB2312"/>
              </w:rPr>
              <w:t>（</w:t>
            </w:r>
            <w:r>
              <w:rPr>
                <w:rFonts w:ascii="仿宋_GB2312" w:hAnsi="仿宋_GB2312" w:cs="仿宋_GB2312" w:eastAsia="仿宋_GB2312"/>
              </w:rPr>
              <w:t>1）供应商应保证所供图书均为国家正式出版物；要求投标图书必须适合于读者阅读的原装正版、健康有益的图书，杜绝色情、淫秽、暴力书刊。</w:t>
            </w:r>
          </w:p>
          <w:p>
            <w:pPr>
              <w:pStyle w:val="null3"/>
            </w:pPr>
            <w:r>
              <w:rPr>
                <w:rFonts w:ascii="仿宋_GB2312" w:hAnsi="仿宋_GB2312" w:cs="仿宋_GB2312" w:eastAsia="仿宋_GB2312"/>
              </w:rPr>
              <w:t>（</w:t>
            </w:r>
            <w:r>
              <w:rPr>
                <w:rFonts w:ascii="仿宋_GB2312" w:hAnsi="仿宋_GB2312" w:cs="仿宋_GB2312" w:eastAsia="仿宋_GB2312"/>
              </w:rPr>
              <w:t>2）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w:t>
            </w:r>
          </w:p>
          <w:p>
            <w:pPr>
              <w:pStyle w:val="null3"/>
            </w:pPr>
            <w:r>
              <w:rPr>
                <w:rFonts w:ascii="仿宋_GB2312" w:hAnsi="仿宋_GB2312" w:cs="仿宋_GB2312" w:eastAsia="仿宋_GB2312"/>
              </w:rPr>
              <w:t>（</w:t>
            </w:r>
            <w:r>
              <w:rPr>
                <w:rFonts w:ascii="仿宋_GB2312" w:hAnsi="仿宋_GB2312" w:cs="仿宋_GB2312" w:eastAsia="仿宋_GB2312"/>
              </w:rPr>
              <w:t>3）投标人在中标后应严格按照招标目录供货，并负责免费送书到指定地点。未经采购人同意，供应商不得随意搭配其他未选书目。送书清单一式两份，内容包括书名、书号、出版社名称、码洋、实洋、册数、总价等相关信息。</w:t>
            </w:r>
          </w:p>
          <w:p>
            <w:pPr>
              <w:pStyle w:val="null3"/>
            </w:pPr>
            <w:r>
              <w:rPr>
                <w:rFonts w:ascii="仿宋_GB2312" w:hAnsi="仿宋_GB2312" w:cs="仿宋_GB2312" w:eastAsia="仿宋_GB2312"/>
              </w:rPr>
              <w:t>（</w:t>
            </w:r>
            <w:r>
              <w:rPr>
                <w:rFonts w:ascii="仿宋_GB2312" w:hAnsi="仿宋_GB2312" w:cs="仿宋_GB2312" w:eastAsia="仿宋_GB2312"/>
              </w:rPr>
              <w:t>4）图书加工要求：图书编目、贴书标、贴条码、录入图书馆管理系统、按照图书分类进行上架。</w:t>
            </w:r>
          </w:p>
          <w:p>
            <w:pPr>
              <w:pStyle w:val="null3"/>
            </w:pPr>
            <w:r>
              <w:rPr>
                <w:rFonts w:ascii="仿宋_GB2312" w:hAnsi="仿宋_GB2312" w:cs="仿宋_GB2312" w:eastAsia="仿宋_GB2312"/>
              </w:rPr>
              <w:t>4</w:t>
            </w:r>
            <w:r>
              <w:rPr>
                <w:rFonts w:ascii="仿宋_GB2312" w:hAnsi="仿宋_GB2312" w:cs="仿宋_GB2312" w:eastAsia="仿宋_GB2312"/>
              </w:rPr>
              <w:t>、图书质量要求：</w:t>
            </w:r>
          </w:p>
          <w:p>
            <w:pPr>
              <w:pStyle w:val="null3"/>
            </w:pPr>
            <w:r>
              <w:rPr>
                <w:rFonts w:ascii="仿宋_GB2312" w:hAnsi="仿宋_GB2312" w:cs="仿宋_GB2312" w:eastAsia="仿宋_GB2312"/>
              </w:rPr>
              <w:t>（</w:t>
            </w:r>
            <w:r>
              <w:rPr>
                <w:rFonts w:ascii="仿宋_GB2312" w:hAnsi="仿宋_GB2312" w:cs="仿宋_GB2312" w:eastAsia="仿宋_GB2312"/>
              </w:rPr>
              <w:t>1）封面印刷套印准确，字、图、点、线印迹清楚，不花、不毛、不糊，实地版墨包均匀，无回胶印，背面不脏。</w:t>
            </w:r>
          </w:p>
          <w:p>
            <w:pPr>
              <w:pStyle w:val="null3"/>
            </w:pPr>
            <w:r>
              <w:rPr>
                <w:rFonts w:ascii="仿宋_GB2312" w:hAnsi="仿宋_GB2312" w:cs="仿宋_GB2312" w:eastAsia="仿宋_GB2312"/>
              </w:rPr>
              <w:t>（</w:t>
            </w:r>
            <w:r>
              <w:rPr>
                <w:rFonts w:ascii="仿宋_GB2312" w:hAnsi="仿宋_GB2312" w:cs="仿宋_GB2312" w:eastAsia="仿宋_GB2312"/>
              </w:rPr>
              <w:t>2）插图印刷</w:t>
            </w:r>
          </w:p>
          <w:p>
            <w:pPr>
              <w:pStyle w:val="null3"/>
            </w:pPr>
            <w:r>
              <w:rPr>
                <w:rFonts w:ascii="仿宋_GB2312" w:hAnsi="仿宋_GB2312" w:cs="仿宋_GB2312" w:eastAsia="仿宋_GB2312"/>
              </w:rPr>
              <w:t>①套印准确、层次分明、轮廓实，电分制版无浮雕印。</w:t>
            </w:r>
          </w:p>
          <w:p>
            <w:pPr>
              <w:pStyle w:val="null3"/>
            </w:pPr>
            <w:r>
              <w:rPr>
                <w:rFonts w:ascii="仿宋_GB2312" w:hAnsi="仿宋_GB2312" w:cs="仿宋_GB2312" w:eastAsia="仿宋_GB2312"/>
              </w:rPr>
              <w:t>②网点清晰饱满，小点不秃、大点光洁不糊，质感好。</w:t>
            </w:r>
          </w:p>
          <w:p>
            <w:pPr>
              <w:pStyle w:val="null3"/>
            </w:pPr>
            <w:r>
              <w:rPr>
                <w:rFonts w:ascii="仿宋_GB2312" w:hAnsi="仿宋_GB2312" w:cs="仿宋_GB2312" w:eastAsia="仿宋_GB2312"/>
              </w:rPr>
              <w:t>③墨色均匀实，色彩鲜艳有光泽，肤色正，接版准确，色调深浅一致。</w:t>
            </w:r>
          </w:p>
          <w:p>
            <w:pPr>
              <w:pStyle w:val="null3"/>
            </w:pPr>
            <w:r>
              <w:rPr>
                <w:rFonts w:ascii="仿宋_GB2312" w:hAnsi="仿宋_GB2312" w:cs="仿宋_GB2312" w:eastAsia="仿宋_GB2312"/>
              </w:rPr>
              <w:t>（</w:t>
            </w:r>
            <w:r>
              <w:rPr>
                <w:rFonts w:ascii="仿宋_GB2312" w:hAnsi="仿宋_GB2312" w:cs="仿宋_GB2312" w:eastAsia="仿宋_GB2312"/>
              </w:rPr>
              <w:t>3）正文印刷</w:t>
            </w:r>
          </w:p>
          <w:p>
            <w:pPr>
              <w:pStyle w:val="null3"/>
            </w:pPr>
            <w:r>
              <w:rPr>
                <w:rFonts w:ascii="仿宋_GB2312" w:hAnsi="仿宋_GB2312" w:cs="仿宋_GB2312" w:eastAsia="仿宋_GB2312"/>
              </w:rPr>
              <w:t>①压力：压力适度，全书前后轻重一致。</w:t>
            </w:r>
          </w:p>
          <w:p>
            <w:pPr>
              <w:pStyle w:val="null3"/>
            </w:pPr>
            <w:r>
              <w:rPr>
                <w:rFonts w:ascii="仿宋_GB2312" w:hAnsi="仿宋_GB2312" w:cs="仿宋_GB2312" w:eastAsia="仿宋_GB2312"/>
              </w:rPr>
              <w:t>②墨色：全书前后一致，浓淡适度。</w:t>
            </w:r>
          </w:p>
          <w:p>
            <w:pPr>
              <w:pStyle w:val="null3"/>
            </w:pPr>
            <w:r>
              <w:rPr>
                <w:rFonts w:ascii="仿宋_GB2312" w:hAnsi="仿宋_GB2312" w:cs="仿宋_GB2312" w:eastAsia="仿宋_GB2312"/>
              </w:rPr>
              <w:t>③套印：版面端正，正反套印准确。</w:t>
            </w:r>
          </w:p>
          <w:p>
            <w:pPr>
              <w:pStyle w:val="null3"/>
            </w:pPr>
            <w:r>
              <w:rPr>
                <w:rFonts w:ascii="仿宋_GB2312" w:hAnsi="仿宋_GB2312" w:cs="仿宋_GB2312" w:eastAsia="仿宋_GB2312"/>
              </w:rPr>
              <w:t>④文字：文字、标点清晰，笔锋挺秀，无缺笔断划，标题黑实不花，小字不糊不瞎。</w:t>
            </w:r>
          </w:p>
          <w:p>
            <w:pPr>
              <w:pStyle w:val="null3"/>
            </w:pPr>
            <w:r>
              <w:rPr>
                <w:rFonts w:ascii="仿宋_GB2312" w:hAnsi="仿宋_GB2312" w:cs="仿宋_GB2312" w:eastAsia="仿宋_GB2312"/>
              </w:rPr>
              <w:t>⑤书目无脏污，破损，无钉花，野黑。</w:t>
            </w:r>
          </w:p>
          <w:p>
            <w:pPr>
              <w:pStyle w:val="null3"/>
            </w:pPr>
            <w:r>
              <w:rPr>
                <w:rFonts w:ascii="仿宋_GB2312" w:hAnsi="仿宋_GB2312" w:cs="仿宋_GB2312" w:eastAsia="仿宋_GB2312"/>
              </w:rPr>
              <w:t>（</w:t>
            </w:r>
            <w:r>
              <w:rPr>
                <w:rFonts w:ascii="仿宋_GB2312" w:hAnsi="仿宋_GB2312" w:cs="仿宋_GB2312" w:eastAsia="仿宋_GB2312"/>
              </w:rPr>
              <w:t>4）装订</w:t>
            </w:r>
          </w:p>
          <w:p>
            <w:pPr>
              <w:pStyle w:val="null3"/>
            </w:pPr>
            <w:r>
              <w:rPr>
                <w:rFonts w:ascii="仿宋_GB2312" w:hAnsi="仿宋_GB2312" w:cs="仿宋_GB2312" w:eastAsia="仿宋_GB2312"/>
              </w:rPr>
              <w:t>①开本尺寸符合设计要求，套收规格一致，成品切方正，无明显刀花，无连接页、折角、破头。</w:t>
            </w:r>
          </w:p>
          <w:p>
            <w:pPr>
              <w:pStyle w:val="null3"/>
            </w:pPr>
            <w:r>
              <w:rPr>
                <w:rFonts w:ascii="仿宋_GB2312" w:hAnsi="仿宋_GB2312" w:cs="仿宋_GB2312" w:eastAsia="仿宋_GB2312"/>
              </w:rPr>
              <w:t>②书背平整，无空背、起泡、明显皱纹，书脊字居中封面齐色，边框要色正。</w:t>
            </w:r>
          </w:p>
          <w:p>
            <w:pPr>
              <w:pStyle w:val="null3"/>
            </w:pPr>
            <w:r>
              <w:rPr>
                <w:rFonts w:ascii="仿宋_GB2312" w:hAnsi="仿宋_GB2312" w:cs="仿宋_GB2312" w:eastAsia="仿宋_GB2312"/>
              </w:rPr>
              <w:t>③全书页码折正，书面平服，无皱折（八字折等）</w:t>
            </w:r>
          </w:p>
          <w:p>
            <w:pPr>
              <w:pStyle w:val="null3"/>
            </w:pPr>
            <w:r>
              <w:rPr>
                <w:rFonts w:ascii="仿宋_GB2312" w:hAnsi="仿宋_GB2312" w:cs="仿宋_GB2312" w:eastAsia="仿宋_GB2312"/>
              </w:rPr>
              <w:t>④骑马钉、平钉的钉脚不翘，无断丝，凸肚，钉距匀称，坚实牢固易翻不脱页</w:t>
            </w:r>
          </w:p>
          <w:p>
            <w:pPr>
              <w:pStyle w:val="null3"/>
            </w:pPr>
            <w:r>
              <w:rPr>
                <w:rFonts w:ascii="仿宋_GB2312" w:hAnsi="仿宋_GB2312" w:cs="仿宋_GB2312" w:eastAsia="仿宋_GB2312"/>
              </w:rPr>
              <w:t>（</w:t>
            </w:r>
            <w:r>
              <w:rPr>
                <w:rFonts w:ascii="仿宋_GB2312" w:hAnsi="仿宋_GB2312" w:cs="仿宋_GB2312" w:eastAsia="仿宋_GB2312"/>
              </w:rPr>
              <w:t>5）图书包装用纸要有足够的厚度和韧性，包装应规范，以免运输过程造成破损。</w:t>
            </w:r>
          </w:p>
          <w:p>
            <w:pPr>
              <w:pStyle w:val="null3"/>
            </w:pPr>
            <w:r>
              <w:rPr>
                <w:rFonts w:ascii="仿宋_GB2312" w:hAnsi="仿宋_GB2312" w:cs="仿宋_GB2312" w:eastAsia="仿宋_GB2312"/>
              </w:rPr>
              <w:t>（</w:t>
            </w:r>
            <w:r>
              <w:rPr>
                <w:rFonts w:ascii="仿宋_GB2312" w:hAnsi="仿宋_GB2312" w:cs="仿宋_GB2312" w:eastAsia="仿宋_GB2312"/>
              </w:rPr>
              <w:t>6）所有图书质保期为验收合格后</w:t>
            </w:r>
            <w:r>
              <w:rPr>
                <w:rFonts w:ascii="仿宋_GB2312" w:hAnsi="仿宋_GB2312" w:cs="仿宋_GB2312" w:eastAsia="仿宋_GB2312"/>
              </w:rPr>
              <w:t>1</w:t>
            </w:r>
            <w:r>
              <w:rPr>
                <w:rFonts w:ascii="仿宋_GB2312" w:hAnsi="仿宋_GB2312" w:cs="仿宋_GB2312" w:eastAsia="仿宋_GB2312"/>
              </w:rPr>
              <w:t>年。</w:t>
            </w:r>
          </w:p>
          <w:p>
            <w:pPr>
              <w:pStyle w:val="null3"/>
            </w:pPr>
            <w:r>
              <w:rPr>
                <w:rFonts w:ascii="仿宋_GB2312" w:hAnsi="仿宋_GB2312" w:cs="仿宋_GB2312" w:eastAsia="仿宋_GB2312"/>
              </w:rPr>
              <w:t>5、</w:t>
            </w:r>
            <w:r>
              <w:rPr>
                <w:rFonts w:ascii="仿宋_GB2312" w:hAnsi="仿宋_GB2312" w:cs="仿宋_GB2312" w:eastAsia="仿宋_GB2312"/>
              </w:rPr>
              <w:t>图书馆馆情大数据分析管理软件</w:t>
            </w:r>
            <w:r>
              <w:rPr>
                <w:rFonts w:ascii="仿宋_GB2312" w:hAnsi="仿宋_GB2312" w:cs="仿宋_GB2312" w:eastAsia="仿宋_GB2312"/>
              </w:rPr>
              <w:t>，</w:t>
            </w:r>
            <w:r>
              <w:rPr>
                <w:rFonts w:ascii="仿宋_GB2312" w:hAnsi="仿宋_GB2312" w:cs="仿宋_GB2312" w:eastAsia="仿宋_GB2312"/>
              </w:rPr>
              <w:t>1套</w:t>
            </w:r>
          </w:p>
          <w:p>
            <w:pPr>
              <w:pStyle w:val="null3"/>
            </w:pPr>
            <w:r>
              <w:rPr>
                <w:rFonts w:ascii="仿宋_GB2312" w:hAnsi="仿宋_GB2312" w:cs="仿宋_GB2312" w:eastAsia="仿宋_GB2312"/>
              </w:rPr>
              <w:t>5.1、功能要求：</w:t>
            </w:r>
          </w:p>
          <w:p>
            <w:pPr>
              <w:pStyle w:val="null3"/>
            </w:pPr>
            <w:r>
              <w:rPr>
                <w:rFonts w:ascii="仿宋_GB2312" w:hAnsi="仿宋_GB2312" w:cs="仿宋_GB2312" w:eastAsia="仿宋_GB2312"/>
              </w:rPr>
              <w:t>（</w:t>
            </w:r>
            <w:r>
              <w:rPr>
                <w:rFonts w:ascii="仿宋_GB2312" w:hAnsi="仿宋_GB2312" w:cs="仿宋_GB2312" w:eastAsia="仿宋_GB2312"/>
              </w:rPr>
              <w:t>1）具有可视化人性化的直观交互界面；</w:t>
            </w:r>
          </w:p>
          <w:p>
            <w:pPr>
              <w:pStyle w:val="null3"/>
            </w:pPr>
            <w:r>
              <w:rPr>
                <w:rFonts w:ascii="仿宋_GB2312" w:hAnsi="仿宋_GB2312" w:cs="仿宋_GB2312" w:eastAsia="仿宋_GB2312"/>
              </w:rPr>
              <w:t>（</w:t>
            </w:r>
            <w:r>
              <w:rPr>
                <w:rFonts w:ascii="仿宋_GB2312" w:hAnsi="仿宋_GB2312" w:cs="仿宋_GB2312" w:eastAsia="仿宋_GB2312"/>
              </w:rPr>
              <w:t>2）可实现实时统计在馆人数、到馆人数、借书数量、还书数量及办证数量；</w:t>
            </w:r>
          </w:p>
          <w:p>
            <w:pPr>
              <w:pStyle w:val="null3"/>
            </w:pPr>
            <w:r>
              <w:rPr>
                <w:rFonts w:ascii="仿宋_GB2312" w:hAnsi="仿宋_GB2312" w:cs="仿宋_GB2312" w:eastAsia="仿宋_GB2312"/>
              </w:rPr>
              <w:t>（</w:t>
            </w:r>
            <w:r>
              <w:rPr>
                <w:rFonts w:ascii="仿宋_GB2312" w:hAnsi="仿宋_GB2312" w:cs="仿宋_GB2312" w:eastAsia="仿宋_GB2312"/>
              </w:rPr>
              <w:t>3）可实时监控在馆人数、阅读趋势、统计分析；</w:t>
            </w:r>
          </w:p>
          <w:p>
            <w:pPr>
              <w:pStyle w:val="null3"/>
            </w:pPr>
            <w:r>
              <w:rPr>
                <w:rFonts w:ascii="仿宋_GB2312" w:hAnsi="仿宋_GB2312" w:cs="仿宋_GB2312" w:eastAsia="仿宋_GB2312"/>
              </w:rPr>
              <w:t>（</w:t>
            </w:r>
            <w:r>
              <w:rPr>
                <w:rFonts w:ascii="仿宋_GB2312" w:hAnsi="仿宋_GB2312" w:cs="仿宋_GB2312" w:eastAsia="仿宋_GB2312"/>
              </w:rPr>
              <w:t>4）可以在图书馆主页或大屏幕上，以柱状、饼状图等信息显示各时间段进馆人数、办证、借还数量；</w:t>
            </w:r>
          </w:p>
          <w:p>
            <w:pPr>
              <w:pStyle w:val="null3"/>
            </w:pPr>
            <w:r>
              <w:rPr>
                <w:rFonts w:ascii="仿宋_GB2312" w:hAnsi="仿宋_GB2312" w:cs="仿宋_GB2312" w:eastAsia="仿宋_GB2312"/>
              </w:rPr>
              <w:t>（</w:t>
            </w:r>
            <w:r>
              <w:rPr>
                <w:rFonts w:ascii="仿宋_GB2312" w:hAnsi="仿宋_GB2312" w:cs="仿宋_GB2312" w:eastAsia="仿宋_GB2312"/>
              </w:rPr>
              <w:t>5）可实时监控RFID系统终端设备的数据信息，也可单独监控某个设备的数据信息；</w:t>
            </w:r>
          </w:p>
          <w:p>
            <w:pPr>
              <w:pStyle w:val="null3"/>
            </w:pPr>
            <w:r>
              <w:rPr>
                <w:rFonts w:ascii="仿宋_GB2312" w:hAnsi="仿宋_GB2312" w:cs="仿宋_GB2312" w:eastAsia="仿宋_GB2312"/>
              </w:rPr>
              <w:t>（</w:t>
            </w:r>
            <w:r>
              <w:rPr>
                <w:rFonts w:ascii="仿宋_GB2312" w:hAnsi="仿宋_GB2312" w:cs="仿宋_GB2312" w:eastAsia="仿宋_GB2312"/>
              </w:rPr>
              <w:t>6）可与安全门禁实时动态联动，实现数据交互，读者通过安全门，系统自动实时更新进出馆人流量数据；</w:t>
            </w:r>
          </w:p>
          <w:p>
            <w:pPr>
              <w:pStyle w:val="null3"/>
            </w:pPr>
            <w:r>
              <w:rPr>
                <w:rFonts w:ascii="仿宋_GB2312" w:hAnsi="仿宋_GB2312" w:cs="仿宋_GB2312" w:eastAsia="仿宋_GB2312"/>
              </w:rPr>
              <w:t>（</w:t>
            </w:r>
            <w:r>
              <w:rPr>
                <w:rFonts w:ascii="仿宋_GB2312" w:hAnsi="仿宋_GB2312" w:cs="仿宋_GB2312" w:eastAsia="仿宋_GB2312"/>
              </w:rPr>
              <w:t>7）读者办证数据：在自助设备上进行办证，办证成功系统自动实时更新当天办证人数等数据；</w:t>
            </w:r>
          </w:p>
          <w:p>
            <w:pPr>
              <w:pStyle w:val="null3"/>
            </w:pPr>
            <w:r>
              <w:rPr>
                <w:rFonts w:ascii="仿宋_GB2312" w:hAnsi="仿宋_GB2312" w:cs="仿宋_GB2312" w:eastAsia="仿宋_GB2312"/>
              </w:rPr>
              <w:t>（</w:t>
            </w:r>
            <w:r>
              <w:rPr>
                <w:rFonts w:ascii="仿宋_GB2312" w:hAnsi="仿宋_GB2312" w:cs="仿宋_GB2312" w:eastAsia="仿宋_GB2312"/>
              </w:rPr>
              <w:t>8）读者借书数据：读者借书成功系统自动实时更新借书数、借还历史记录等数据；</w:t>
            </w:r>
          </w:p>
          <w:p>
            <w:pPr>
              <w:pStyle w:val="null3"/>
            </w:pPr>
            <w:r>
              <w:rPr>
                <w:rFonts w:ascii="仿宋_GB2312" w:hAnsi="仿宋_GB2312" w:cs="仿宋_GB2312" w:eastAsia="仿宋_GB2312"/>
              </w:rPr>
              <w:t>（</w:t>
            </w:r>
            <w:r>
              <w:rPr>
                <w:rFonts w:ascii="仿宋_GB2312" w:hAnsi="仿宋_GB2312" w:cs="仿宋_GB2312" w:eastAsia="仿宋_GB2312"/>
              </w:rPr>
              <w:t>9）读者还书数据：读者还书成功系统自动实时更新还书数、借还历史记录等数据。</w:t>
            </w:r>
          </w:p>
          <w:p>
            <w:pPr>
              <w:pStyle w:val="null3"/>
            </w:pPr>
            <w:r>
              <w:rPr>
                <w:rFonts w:ascii="仿宋_GB2312" w:hAnsi="仿宋_GB2312" w:cs="仿宋_GB2312" w:eastAsia="仿宋_GB2312"/>
              </w:rPr>
              <w:t>★</w:t>
            </w:r>
            <w:r>
              <w:rPr>
                <w:rFonts w:ascii="仿宋_GB2312" w:hAnsi="仿宋_GB2312" w:cs="仿宋_GB2312" w:eastAsia="仿宋_GB2312"/>
              </w:rPr>
              <w:t>5.2、</w:t>
            </w:r>
            <w:r>
              <w:rPr>
                <w:rFonts w:ascii="仿宋_GB2312" w:hAnsi="仿宋_GB2312" w:cs="仿宋_GB2312" w:eastAsia="仿宋_GB2312"/>
              </w:rPr>
              <w:t>与现有图书馆业务系统</w:t>
            </w:r>
            <w:r>
              <w:rPr>
                <w:rFonts w:ascii="仿宋_GB2312" w:hAnsi="仿宋_GB2312" w:cs="仿宋_GB2312" w:eastAsia="仿宋_GB2312"/>
              </w:rPr>
              <w:t>(信昇达图书馆管理系统V2.0)适配，提供适配</w:t>
            </w:r>
            <w:r>
              <w:rPr>
                <w:rFonts w:ascii="仿宋_GB2312" w:hAnsi="仿宋_GB2312" w:cs="仿宋_GB2312" w:eastAsia="仿宋_GB2312"/>
              </w:rPr>
              <w:t>相关</w:t>
            </w:r>
            <w:r>
              <w:rPr>
                <w:rFonts w:ascii="仿宋_GB2312" w:hAnsi="仿宋_GB2312" w:cs="仿宋_GB2312" w:eastAsia="仿宋_GB2312"/>
              </w:rPr>
              <w:t>证明函</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5.3、具有</w:t>
            </w:r>
            <w:r>
              <w:rPr>
                <w:rFonts w:ascii="仿宋_GB2312" w:hAnsi="仿宋_GB2312" w:cs="仿宋_GB2312" w:eastAsia="仿宋_GB2312"/>
              </w:rPr>
              <w:t>图书馆馆情大数据分析管理软件计算机软件著作权登记证书，提供证书复印件。</w:t>
            </w:r>
          </w:p>
          <w:p>
            <w:pPr>
              <w:pStyle w:val="null3"/>
            </w:pPr>
            <w:r>
              <w:rPr>
                <w:rFonts w:ascii="仿宋_GB2312" w:hAnsi="仿宋_GB2312" w:cs="仿宋_GB2312" w:eastAsia="仿宋_GB2312"/>
                <w:sz w:val="21"/>
              </w:rPr>
              <w:t>▲</w:t>
            </w:r>
            <w:r>
              <w:rPr>
                <w:rFonts w:ascii="仿宋_GB2312" w:hAnsi="仿宋_GB2312" w:cs="仿宋_GB2312" w:eastAsia="仿宋_GB2312"/>
                <w:sz w:val="21"/>
              </w:rPr>
              <w:t>5.4、具有</w:t>
            </w:r>
            <w:r>
              <w:rPr>
                <w:rFonts w:ascii="仿宋_GB2312" w:hAnsi="仿宋_GB2312" w:cs="仿宋_GB2312" w:eastAsia="仿宋_GB2312"/>
                <w:sz w:val="21"/>
              </w:rPr>
              <w:t>RFID流量统计分析软件计算机软件著作权登记证书，提供证书复印件。</w:t>
            </w:r>
          </w:p>
          <w:p>
            <w:pPr>
              <w:pStyle w:val="null3"/>
            </w:pPr>
            <w:r>
              <w:rPr>
                <w:rFonts w:ascii="仿宋_GB2312" w:hAnsi="仿宋_GB2312" w:cs="仿宋_GB2312" w:eastAsia="仿宋_GB2312"/>
              </w:rPr>
              <w:t>6、RFID图书标签，25000张</w:t>
            </w:r>
          </w:p>
          <w:p>
            <w:pPr>
              <w:pStyle w:val="null3"/>
            </w:pPr>
            <w:r>
              <w:rPr>
                <w:rFonts w:ascii="仿宋_GB2312" w:hAnsi="仿宋_GB2312" w:cs="仿宋_GB2312" w:eastAsia="仿宋_GB2312"/>
              </w:rPr>
              <w:t>6.1标签技术</w:t>
            </w:r>
            <w:r>
              <w:rPr>
                <w:rFonts w:ascii="仿宋_GB2312" w:hAnsi="仿宋_GB2312" w:cs="仿宋_GB2312" w:eastAsia="仿宋_GB2312"/>
              </w:rPr>
              <w:t>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工作频率：</w:t>
            </w:r>
            <w:r>
              <w:rPr>
                <w:rFonts w:ascii="仿宋_GB2312" w:hAnsi="仿宋_GB2312" w:cs="仿宋_GB2312" w:eastAsia="仿宋_GB2312"/>
              </w:rPr>
              <w:t>13.56MHz</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标签尺寸：</w:t>
            </w:r>
            <w:r>
              <w:rPr>
                <w:rFonts w:ascii="仿宋_GB2312" w:hAnsi="仿宋_GB2312" w:cs="仿宋_GB2312" w:eastAsia="仿宋_GB2312"/>
              </w:rPr>
              <w:t>50*50mm</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存储容量：</w:t>
            </w:r>
            <w:r>
              <w:rPr>
                <w:rFonts w:ascii="仿宋_GB2312" w:hAnsi="仿宋_GB2312" w:cs="仿宋_GB2312" w:eastAsia="仿宋_GB2312"/>
              </w:rPr>
              <w:t>≥1024 bits</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工作温度：</w:t>
            </w:r>
            <w:r>
              <w:rPr>
                <w:rFonts w:ascii="仿宋_GB2312" w:hAnsi="仿宋_GB2312" w:cs="仿宋_GB2312" w:eastAsia="仿宋_GB2312"/>
              </w:rPr>
              <w:t>-10℃～50℃</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读取速度</w:t>
            </w:r>
            <w:r>
              <w:rPr>
                <w:rFonts w:ascii="仿宋_GB2312" w:hAnsi="仿宋_GB2312" w:cs="仿宋_GB2312" w:eastAsia="仿宋_GB2312"/>
              </w:rPr>
              <w:t>≤0.1s</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数据保存时间</w:t>
            </w:r>
            <w:r>
              <w:rPr>
                <w:rFonts w:ascii="仿宋_GB2312" w:hAnsi="仿宋_GB2312" w:cs="仿宋_GB2312" w:eastAsia="仿宋_GB2312"/>
              </w:rPr>
              <w:t>≥10年</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有效使用寿命</w:t>
            </w:r>
            <w:r>
              <w:rPr>
                <w:rFonts w:ascii="仿宋_GB2312" w:hAnsi="仿宋_GB2312" w:cs="仿宋_GB2312" w:eastAsia="仿宋_GB2312"/>
              </w:rPr>
              <w:t>≥10 年</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有效使用次数</w:t>
            </w:r>
            <w:r>
              <w:rPr>
                <w:rFonts w:ascii="仿宋_GB2312" w:hAnsi="仿宋_GB2312" w:cs="仿宋_GB2312" w:eastAsia="仿宋_GB2312"/>
              </w:rPr>
              <w:t>≥10万次</w:t>
            </w:r>
          </w:p>
          <w:p>
            <w:pPr>
              <w:pStyle w:val="null3"/>
            </w:pPr>
            <w:r>
              <w:rPr>
                <w:rFonts w:ascii="仿宋_GB2312" w:hAnsi="仿宋_GB2312" w:cs="仿宋_GB2312" w:eastAsia="仿宋_GB2312"/>
              </w:rPr>
              <w:t>6.2</w:t>
            </w:r>
            <w:r>
              <w:rPr>
                <w:rFonts w:ascii="仿宋_GB2312" w:hAnsi="仿宋_GB2312" w:cs="仿宋_GB2312" w:eastAsia="仿宋_GB2312"/>
              </w:rPr>
              <w:t>功能要求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标签中有存储器，存储在其中的资料可重复读、写标签中须存储一些基本信息；</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标签可以非接触式地读取和写入，加快文献流通的处理速度；</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标签必须使用防冲突的运算法则，能保证多个标签同时可靠识别；</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标签具有较高的安全性，有不可改写的唯一序列号（</w:t>
            </w:r>
            <w:r>
              <w:rPr>
                <w:rFonts w:ascii="仿宋_GB2312" w:hAnsi="仿宋_GB2312" w:cs="仿宋_GB2312" w:eastAsia="仿宋_GB2312"/>
              </w:rPr>
              <w:t>UID）供识别和加密，防止存储在其中的信息被泄露或随意改写；</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标签为无源标签，无需外接电源或者电池即可使用；</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图书标签采用</w:t>
            </w:r>
            <w:r>
              <w:rPr>
                <w:rFonts w:ascii="仿宋_GB2312" w:hAnsi="仿宋_GB2312" w:cs="仿宋_GB2312" w:eastAsia="仿宋_GB2312"/>
              </w:rPr>
              <w:t>AFI 或EAS 位作为防盗的安全标志方法，且AFI标志位必须可以用户自由修改；</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RFID阅读产品设备可在短时间内读取存储在标签中的资料；</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标签质保期内不开胶脱落，同时应保证采用中性粘胶对图书及其它介质黏贴表面无损害。</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标签上可印制由图书馆提供的</w:t>
            </w:r>
            <w:r>
              <w:rPr>
                <w:rFonts w:ascii="仿宋_GB2312" w:hAnsi="仿宋_GB2312" w:cs="仿宋_GB2312" w:eastAsia="仿宋_GB2312"/>
              </w:rPr>
              <w:t>LOGO图案</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所投产品需通过辐射骚扰、静电放电抗扰度。投标人须提供国家认监委认定的机构依据《</w:t>
            </w:r>
            <w:r>
              <w:rPr>
                <w:rFonts w:ascii="仿宋_GB2312" w:hAnsi="仿宋_GB2312" w:cs="仿宋_GB2312" w:eastAsia="仿宋_GB2312"/>
                <w:sz w:val="21"/>
              </w:rPr>
              <w:t>GB/T9254.1-2021》,《GB/T17626.2-2018》标准出具的带有CNAS</w:t>
            </w:r>
            <w:r>
              <w:rPr>
                <w:rFonts w:ascii="仿宋_GB2312" w:hAnsi="仿宋_GB2312" w:cs="仿宋_GB2312" w:eastAsia="仿宋_GB2312"/>
                <w:sz w:val="21"/>
              </w:rPr>
              <w:t>或</w:t>
            </w:r>
            <w:r>
              <w:rPr>
                <w:rFonts w:ascii="仿宋_GB2312" w:hAnsi="仿宋_GB2312" w:cs="仿宋_GB2312" w:eastAsia="仿宋_GB2312"/>
                <w:sz w:val="21"/>
              </w:rPr>
              <w:t>CMA标志的检测报告复印件加盖单位公章。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合同签订后7日内完成交货安装。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合同签订后7日内交货并完成服务。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供货完成后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三、中标供应商在领取中标通知书时提供一正二副纸质版投标文件，纸质版文件应于电子投标文件保持一致。 四、各供应商所有分项报价（与最后磋商报价比例一致）同比例下浮。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2、具有良好的商业信誉和健全的财务会计制度，提供2024或2025年度财务审计报告，或其开标前6个月内银行出具的资信证明，或财政部门认可的政府采购专业担保机构出具的投标担保函；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格式文本（包1）.docx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2、具有良好的商业信誉和健全的财务会计制度，提供2024或2025年度财务审计报告，或其开标前6个月内银行出具的资信证明，或财政部门认可的政府采购专业担保机构出具的投标担保函；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格式文本（包2）.docx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格式文本（包2）.docx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1.在评标过程中，磋商小组认为投标人报价异常的，应当启动异常低价投标（响应）审查程序（具体判定详见3.5其他要求） 2.投标人提交的相关说明和证明材料，应当加盖投标人（法定名称）电子印章，在磋商小组要求的时间内通过项目电子化交易系统进行提交，否则提交的相关证明材料无效。投标人不能证明其投标报价合理性的，磋商小组应当将其投标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法定代表人授权代表参加投标的，须提供法定代表人授权书及授权代表身份证（法定代表人直接参加投标的，须提供法定代表人身份证）。</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交货期要求完全响应</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付款方式及项目质保期完全响应</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报价未超预算及最高限价</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1.在评标过程中，磋商小组认为投标人报价异常的，应当启动异常低价投标（响应）审查程序（具体判定详见3.5其他要求） 2.投标人提交的相关说明和证明材料，应当加盖投标人（法定名称）电子印章，在磋商小组要求的时间内通过项目电子化交易系统进行提交，否则提交的相关证明材料无效。投标人不能证明其投标报价合理性的，磋商小组应当将其投标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法定代表人授权代表参加投标的，须提供法定代表人授权书及授权代表身份证（法定代表人直接参加投标的，须提供法定代表人身份证）。</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交货期要求完全响应</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付款方式及项目质保期完全响应</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报价未超预算及最高限价</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★指标满足磋商文件要求</w:t>
            </w:r>
          </w:p>
        </w:tc>
        <w:tc>
          <w:tcPr>
            <w:tcW w:type="dxa" w:w="1661"/>
          </w:tcPr>
          <w:p>
            <w:pPr>
              <w:pStyle w:val="null3"/>
            </w:pPr>
            <w:r>
              <w:rPr>
                <w:rFonts w:ascii="仿宋_GB2312" w:hAnsi="仿宋_GB2312" w:cs="仿宋_GB2312" w:eastAsia="仿宋_GB2312"/>
              </w:rPr>
              <w:t>格式文本（包2）.docx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功能的技术参数响应清晰明确，符合使用要求，技术指标和性能完全响应磋商文件要求，满足使用需求，计15分。结合规格、技术参数偏离表的响应证明材料，按磋商文件内配置最低要求，带“▲”号指标项每出现1个负偏离扣1分，非“▲”号指标项每出现0.5个负偏离，扣1分，扣完为止。 ▲指标提供相应的证明材料（包括但不限于加盖厂商公章的技术参数说明、产品彩页、检测报告和带网址链接的官网功能截图等技术支持性文件），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3分，满分9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实施计划及安排②使财务保障充足，财务分配计划③货物运送方案④供货计划保障方案⑤产品设备的安装调试方案⑥应急方案（针对实验室仪器破损、故障、泄漏、学生受伤等突发情况等）⑦验收方案。 每一项内容全面详细、阐述条理清晰得3分，满分21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拟投入本项目人力</w:t>
            </w:r>
          </w:p>
        </w:tc>
        <w:tc>
          <w:tcPr>
            <w:tcW w:type="dxa" w:w="2492"/>
          </w:tcPr>
          <w:p>
            <w:pPr>
              <w:pStyle w:val="null3"/>
            </w:pPr>
            <w:r>
              <w:rPr>
                <w:rFonts w:ascii="仿宋_GB2312" w:hAnsi="仿宋_GB2312" w:cs="仿宋_GB2312" w:eastAsia="仿宋_GB2312"/>
              </w:rPr>
              <w:t>评审内容包含:①拟派人员岗位安排、职责分工及管理。②人员姓名、从业经历及相关证书 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①安全管理计划②人员安全培训和考核机制。 每一项内容全面详细、阐述条理清晰得2分，满分4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评审内容包含:①售后服务人员配备②售后服务响应时间及方式③售后应急措施，备件供应准备及质量④质保期后的维修方案。 每一项内容全面详细、阐述条理清晰得2分，满分8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1.投标供应商具有有效的 ISO9001 质量管理体系认证，且认证范围包含教学仪器或实验设备相关产品，每提供一份得1分； 2.投标供应商或所投产品制造商具有有效的 ISO14001 环境管理体系认证，且认证范围包含教学仪器或实验设备相关产品，每提供一份得1分； 3. 投标供应商或所投产品制造商具有有效的 ISO45001 职业健康安全管理体系认证，且认证范围包含教学仪器或实验设备相关产品，每提供一份得1分； 注：提供证书复印件并加盖公章，以上认证须在国家认证认可监督管理委员会官网可查询，否则不得分。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供应商投标产品中每有一项为节能产品或环境标志产品经国家认证的得1分，最高1分。（以经国家确定的认证机构出具的、处于有效期内的节能产品、环境标志产品认证证书为准。）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具有2023年4月01日至今（以合同或协议签订时间为准）已完成的类似项目业绩，提供项目关键信息清晰的合同、中标通知书及发票复印件（包含不限于合同首页、签字盖章页、清单页等）加盖投标人公章，每提供一份得1分（未按要求提供不计分）。本项最多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满足磋商文件要求且投标价格最低的投标报价为评标基准价，其价格分为满分30分。其他供应商的价格分统一按照下列公式计算：投标报价得分=（评标基准价/投标报价）×30 符合磋商文件规定的小微企业、监狱企业、残疾人福利性单位优惠的供应商，价格给予10%的扣除；符合《关于在政府采购活动中实施本国产品标准及相关政策的通知》中的本国产品，投标人所投产品为本国产品或符合本国产品标准的产品成本之和占该投标人提供的全部产品成本之和的比例达到80%以上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方案中的技术参数响应清晰明确，书本种类、数量、技术指标完全响应磋商文件要求，计15分。非▲指标项每出现1个负偏离，扣1分，带▲指标项每出现1个负偏离扣2分，（▲指标项应按照要求提供相关证明材料）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格式文本（包2）.docx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评审内容包含:①无条件退补、错发、漏发、增订承诺②实施时间安排③应急事件处置方案④针对未到图书的提醒⑤售后安排专门人员情况。 每一项内容全面详细、阐述条理清晰得3分，满分15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格式文本（包2）.docx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评审内容包含:①人员配置②配送车辆③运输能力④图书保管措施⑤发货调配方案。 每一项内容全面详细、阐述条理清晰得3分，满分15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格式文本（包2）.docx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所投图书进货渠道正规，并提供所投图书的合法来源渠道证明文件（包括但不限于销售协议、代理协议、出版社进货发票等）得10分，提供一份得1分，相同出版社的只算1份。未提供来源渠道证明文件的不计分。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评审内容包含：①售前服务及承诺②售中服务及承诺③售后服务及承诺④培训方案⑤特色服务 每一项内容全面详细、阐述条理清晰得2分，满分10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投标人提供2020年1月1日至今在图书项目业绩，每提供一个类似业绩项目的合同得1分，最多得5分。（日期以合同签订日期为准）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满足磋商文件要求且投标价格最低的投标报价为评标基准价，其价格分为满分30分。其他供应商的价格分统一按照下列公式计算：投标报价得分=（评标基准价/投标报价）×30 符合磋商文件规定的小微企业、监狱企业、残疾人福利性单位优惠的供应商，价格给予10%的扣除；符合《关于在政府采购活动中实施本国产品标准及相关政策的通知》中的本国产品，投标人所投产品为本国产品或符合本国产品标准的产品成本之和占该投标人提供的全部产品成本之和的比例达到80%以上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详见附件：合同（1包2包）.docx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