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B9796">
      <w:pPr>
        <w:pStyle w:val="7"/>
        <w:outlineLvl w:val="2"/>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采购包1:</w:t>
      </w:r>
    </w:p>
    <w:p w14:paraId="2D64EEF1">
      <w:pPr>
        <w:spacing w:after="0" w:line="440" w:lineRule="exact"/>
        <w:jc w:val="center"/>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采购合同</w:t>
      </w:r>
    </w:p>
    <w:p w14:paraId="142F56C4">
      <w:pPr>
        <w:spacing w:after="0" w:line="440" w:lineRule="exact"/>
        <w:ind w:firstLine="240" w:firstLineChars="1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甲方（需方）:                        </w:t>
      </w:r>
      <w:r>
        <w:rPr>
          <w:rFonts w:hint="eastAsia" w:ascii="仿宋" w:hAnsi="仿宋" w:eastAsia="仿宋" w:cs="仿宋"/>
          <w:sz w:val="24"/>
          <w:szCs w:val="24"/>
          <w:highlight w:val="none"/>
        </w:rPr>
        <w:tab/>
      </w:r>
      <w:r>
        <w:rPr>
          <w:rFonts w:hint="eastAsia" w:ascii="仿宋" w:hAnsi="仿宋" w:eastAsia="仿宋" w:cs="仿宋"/>
          <w:sz w:val="24"/>
          <w:szCs w:val="24"/>
          <w:highlight w:val="none"/>
        </w:rPr>
        <w:t>合同编号:</w:t>
      </w:r>
    </w:p>
    <w:p w14:paraId="77204E0E">
      <w:pPr>
        <w:spacing w:after="0" w:line="440" w:lineRule="exact"/>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乙方（供方）:            </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tab/>
      </w:r>
      <w:r>
        <w:rPr>
          <w:rFonts w:hint="eastAsia" w:ascii="仿宋" w:hAnsi="仿宋" w:eastAsia="仿宋" w:cs="仿宋"/>
          <w:sz w:val="24"/>
          <w:szCs w:val="24"/>
          <w:highlight w:val="none"/>
        </w:rPr>
        <w:t>签订地点：中国西安</w:t>
      </w:r>
    </w:p>
    <w:p w14:paraId="2D5F5969">
      <w:pPr>
        <w:spacing w:after="0" w:line="440" w:lineRule="exact"/>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根据《中华人民共和国民法典》和《中华人民共和国政府采购法》等相关法律法规，遵循平等自愿、公平的原则，就乙方向甲方提供货物及服务事宜，经甲乙双方协商一致，订立本合同。</w:t>
      </w:r>
    </w:p>
    <w:p w14:paraId="3DF5E165">
      <w:pPr>
        <w:spacing w:after="0" w:line="440" w:lineRule="exact"/>
        <w:rPr>
          <w:rFonts w:hint="eastAsia" w:ascii="仿宋" w:hAnsi="仿宋" w:eastAsia="仿宋" w:cs="仿宋"/>
          <w:sz w:val="24"/>
          <w:szCs w:val="24"/>
          <w:highlight w:val="none"/>
        </w:rPr>
      </w:pPr>
      <w:bookmarkStart w:id="0" w:name="OLE_LINK4"/>
      <w:r>
        <w:rPr>
          <w:rFonts w:hint="eastAsia" w:ascii="仿宋" w:hAnsi="仿宋" w:eastAsia="仿宋" w:cs="仿宋"/>
          <w:sz w:val="24"/>
          <w:szCs w:val="24"/>
          <w:highlight w:val="none"/>
        </w:rPr>
        <w:t>第一条 采购设备名称、数量、价款</w:t>
      </w:r>
    </w:p>
    <w:p w14:paraId="1CD4A7C6">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1.1采购设备名称、数量价款、规格型号、设备详细配置清单见附件1。</w:t>
      </w:r>
    </w:p>
    <w:p w14:paraId="253526BB">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1.2合同总价款：（人民币大写）</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rPr>
        <w:t xml:space="preserve">；小写：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u w:val="single"/>
        </w:rPr>
        <w:tab/>
      </w:r>
      <w:r>
        <w:rPr>
          <w:rFonts w:hint="eastAsia" w:ascii="仿宋" w:hAnsi="仿宋" w:eastAsia="仿宋" w:cs="仿宋"/>
          <w:sz w:val="24"/>
          <w:szCs w:val="24"/>
          <w:highlight w:val="none"/>
        </w:rPr>
        <w:t>元。</w:t>
      </w:r>
    </w:p>
    <w:p w14:paraId="1CEBEDCE">
      <w:pPr>
        <w:spacing w:after="0" w:line="440" w:lineRule="exact"/>
        <w:ind w:firstLine="420" w:firstLineChars="175"/>
        <w:rPr>
          <w:rFonts w:hint="eastAsia" w:ascii="仿宋" w:hAnsi="仿宋" w:eastAsia="仿宋" w:cs="仿宋"/>
          <w:sz w:val="24"/>
          <w:szCs w:val="24"/>
          <w:highlight w:val="none"/>
        </w:rPr>
      </w:pPr>
      <w:r>
        <w:rPr>
          <w:rFonts w:hint="eastAsia" w:ascii="仿宋" w:hAnsi="仿宋" w:eastAsia="仿宋" w:cs="仿宋"/>
          <w:sz w:val="24"/>
          <w:szCs w:val="24"/>
          <w:highlight w:val="none"/>
        </w:rPr>
        <w:t>1.3合同总额为设备到达使用地点，验收合格达到正常使用条件前的所有费用。供货商须按合同约定时间，将全部教学仪器设备免费送货至指定学校实验室，完成开箱清点、安装调试及质量验收工作；并负责仪器设备分类上柜、规范上架、整齐摆放，按照采购人要求统一粘贴资产标签与设备标识，确保摆放有序、标识清晰，符合日常教学及资产管理相关规范要求。</w:t>
      </w:r>
    </w:p>
    <w:p w14:paraId="54B8DB33">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1.4除非本合同有特殊约定，否则，所有税费均已包含入本合同价款。乙方纳税人资格变更，合同价款不做调整。若因国家税务政策变化导致税率变动，双方协商解决。</w:t>
      </w:r>
    </w:p>
    <w:bookmarkEnd w:id="0"/>
    <w:p w14:paraId="52BE1C47">
      <w:pPr>
        <w:spacing w:after="0" w:line="440" w:lineRule="exact"/>
        <w:rPr>
          <w:rFonts w:hint="eastAsia" w:ascii="仿宋" w:hAnsi="仿宋" w:eastAsia="仿宋" w:cs="仿宋"/>
          <w:sz w:val="24"/>
          <w:szCs w:val="24"/>
          <w:highlight w:val="none"/>
        </w:rPr>
      </w:pPr>
      <w:bookmarkStart w:id="1" w:name="OLE_LINK2"/>
      <w:r>
        <w:rPr>
          <w:rFonts w:hint="eastAsia" w:ascii="仿宋" w:hAnsi="仿宋" w:eastAsia="仿宋" w:cs="仿宋"/>
          <w:sz w:val="24"/>
          <w:szCs w:val="24"/>
          <w:highlight w:val="none"/>
        </w:rPr>
        <w:t>第二条</w:t>
      </w:r>
      <w:r>
        <w:rPr>
          <w:rFonts w:hint="eastAsia" w:ascii="仿宋" w:hAnsi="仿宋" w:eastAsia="仿宋" w:cs="仿宋"/>
          <w:sz w:val="24"/>
          <w:szCs w:val="24"/>
          <w:highlight w:val="none"/>
        </w:rPr>
        <w:tab/>
      </w:r>
      <w:r>
        <w:rPr>
          <w:rFonts w:hint="eastAsia" w:ascii="仿宋" w:hAnsi="仿宋" w:eastAsia="仿宋" w:cs="仿宋"/>
          <w:sz w:val="24"/>
          <w:szCs w:val="24"/>
          <w:highlight w:val="none"/>
        </w:rPr>
        <w:t>设备质量要求</w:t>
      </w:r>
    </w:p>
    <w:p w14:paraId="1B6B3FAA">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2.1 乙方所供设备及配套产品须为原厂全新正品，无破损、瑕疵、返修、使用痕迹，各项参数、配置符合合同及附件技术要求，开箱合格率 100%。</w:t>
      </w:r>
    </w:p>
    <w:p w14:paraId="21BC7B6C">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2.2设备质量须符合国家、行业、地方标准及招标文件、本合同约定；无通用标准的执行企业标准。乙方须随货提供设备出厂合格证、产品说明书，确保设备满足正常教学使用要求。</w:t>
      </w:r>
    </w:p>
    <w:p w14:paraId="7C762536">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设备质量符合国家、行业、地方标准及招标文件、合同约定；无通用标准的执行企业标准。提供出厂合格证，满足正常教学使用要求。</w:t>
      </w:r>
    </w:p>
    <w:p w14:paraId="5B7E7B42">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2.3 乙方投标文件、报价资料、厂家宣传资料等书面承诺，均作为本合同质量履约依据。</w:t>
      </w:r>
    </w:p>
    <w:p w14:paraId="7C09AA6D">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2.4 本合同各项质量及技术要求，统一按最高标准执行。</w:t>
      </w:r>
    </w:p>
    <w:p w14:paraId="3763A5B1">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第三条</w:t>
      </w:r>
      <w:r>
        <w:rPr>
          <w:rFonts w:hint="eastAsia" w:ascii="仿宋" w:hAnsi="仿宋" w:eastAsia="仿宋" w:cs="仿宋"/>
          <w:sz w:val="24"/>
          <w:szCs w:val="24"/>
          <w:highlight w:val="none"/>
        </w:rPr>
        <w:tab/>
      </w:r>
      <w:r>
        <w:rPr>
          <w:rFonts w:hint="eastAsia" w:ascii="仿宋" w:hAnsi="仿宋" w:eastAsia="仿宋" w:cs="仿宋"/>
          <w:sz w:val="24"/>
          <w:szCs w:val="24"/>
          <w:highlight w:val="none"/>
        </w:rPr>
        <w:t>交货、运输费用</w:t>
      </w:r>
    </w:p>
    <w:p w14:paraId="04D85172">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3.1交货时间：自合同签订后</w:t>
      </w:r>
      <w:r>
        <w:rPr>
          <w:rFonts w:hint="eastAsia" w:ascii="仿宋" w:hAnsi="仿宋" w:eastAsia="仿宋" w:cs="仿宋"/>
          <w:sz w:val="24"/>
          <w:szCs w:val="24"/>
          <w:highlight w:val="none"/>
          <w:u w:val="single"/>
        </w:rPr>
        <w:t xml:space="preserve">     天</w:t>
      </w:r>
      <w:r>
        <w:rPr>
          <w:rFonts w:hint="eastAsia" w:ascii="仿宋" w:hAnsi="仿宋" w:eastAsia="仿宋" w:cs="仿宋"/>
          <w:sz w:val="24"/>
          <w:szCs w:val="24"/>
          <w:highlight w:val="none"/>
        </w:rPr>
        <w:t>内完成交货、安装、调试。</w:t>
      </w:r>
    </w:p>
    <w:p w14:paraId="79B9233B">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3.2交货地点为：采购人指定地点 </w:t>
      </w:r>
    </w:p>
    <w:p w14:paraId="59A27B96">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3.3乙方负责送货上门，原厂标准包装，包装物不予回收。运输、装卸、现场安全及途中一切损毁、事故、违章罚款等责任与费用，均由乙方承担。</w:t>
      </w:r>
    </w:p>
    <w:p w14:paraId="16CE15F7">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3.4 运输费、装卸费全部包含在合同总价内。</w:t>
      </w:r>
    </w:p>
    <w:p w14:paraId="7B2D6757">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3.5 设备所有权自最终验收合格之日起转移。</w:t>
      </w:r>
    </w:p>
    <w:p w14:paraId="52D68260">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3.6 设备安装完成后，乙方配合甲方试运行 1 个月。试运行不合格的，乙方须在约定期限内免费更换、升级，全部费用自理。</w:t>
      </w:r>
    </w:p>
    <w:p w14:paraId="6407EB69">
      <w:pPr>
        <w:spacing w:after="0" w:line="440" w:lineRule="exact"/>
        <w:ind w:firstLine="42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第四条 安装、调试与验收</w:t>
      </w:r>
    </w:p>
    <w:p w14:paraId="026C4D28">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4.1 货到后甲乙双方共同清点数量、查验外观；乙方 5 个工作日内完成安装、调试、通电测试，确保设备正常运行。</w:t>
      </w:r>
    </w:p>
    <w:p w14:paraId="0FD8B1E7">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4.2 设备存在质量缺陷、参数不达标的，乙方须限期免费补齐、更换或退货。</w:t>
      </w:r>
    </w:p>
    <w:p w14:paraId="072DB182">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4.3 乙方安排专业人员施工，安装调试正常运行后，方可申请最终验收。验收以合同、附件清单、投标参数为依据，验收合格后甲方出具验收报告。</w:t>
      </w:r>
    </w:p>
    <w:p w14:paraId="7EFF7062">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4.4 甲方对设备有异议，须货到 30 日内书面提出；产品本身质量瑕疵不受此限。</w:t>
      </w:r>
    </w:p>
    <w:p w14:paraId="6E3A8D3F">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4.5 甲方依法或依约退货的，乙方限期自行清运；逾期未取回，视为自动放弃所有权，甲方可自行处置，费用由乙方承担。</w:t>
      </w:r>
    </w:p>
    <w:p w14:paraId="78F10997">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第五条 其他约定</w:t>
      </w:r>
    </w:p>
    <w:p w14:paraId="43FF1479">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5.1 乙方免费提供操作、维护培训，确保人员独立使用；同步交付安装手册、使用说明书及全套技术资料，并做好关键事项技术交底。</w:t>
      </w:r>
    </w:p>
    <w:p w14:paraId="2BC1324F">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5.2 设备调试、检测所需工具、耗材由乙方自备，费用含在合同总价内。</w:t>
      </w:r>
    </w:p>
    <w:p w14:paraId="2DB3DE10">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5.3 乙方保证设备来源合法，无知识产权纠纷；如需授权文件须完整提供，否则承担全部违约及赔偿责任。</w:t>
      </w:r>
    </w:p>
    <w:p w14:paraId="5FAC2C21">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5.4 乙方人员、车辆进入现场须遵守甲方管理制度，自行做好安全防护、环境卫生及降噪保洁，安全事故责任由乙方自行承担。</w:t>
      </w:r>
    </w:p>
    <w:p w14:paraId="22EE8782">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第六条 保修及售后服务</w:t>
      </w:r>
    </w:p>
    <w:p w14:paraId="2D2929EB">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6.1 质保期自最终验收合格之日起算，质保期内免费上门维修、更换配件。质保期满后提供终身维修，仅收取配件成本费。</w:t>
      </w:r>
    </w:p>
    <w:p w14:paraId="1F39F876">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6.2 甲方咨询及报修后，乙方 ___ 小时内响应，___ 小时内到场维修。</w:t>
      </w:r>
    </w:p>
    <w:p w14:paraId="0DFD836A">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6.3 故障逾期未修复，甲方可委托第三方维修，费用全部由乙方承担。</w:t>
      </w:r>
    </w:p>
    <w:p w14:paraId="78CF2248">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6.4 质保期满后，乙方仍需承担法定质量瑕疵担保责任。</w:t>
      </w:r>
    </w:p>
    <w:p w14:paraId="12C6AA98">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第七条</w:t>
      </w:r>
      <w:r>
        <w:rPr>
          <w:rFonts w:hint="eastAsia" w:ascii="仿宋" w:hAnsi="仿宋" w:eastAsia="仿宋" w:cs="仿宋"/>
          <w:sz w:val="24"/>
          <w:szCs w:val="24"/>
          <w:highlight w:val="none"/>
        </w:rPr>
        <w:tab/>
      </w:r>
      <w:r>
        <w:rPr>
          <w:rFonts w:hint="eastAsia" w:ascii="仿宋" w:hAnsi="仿宋" w:eastAsia="仿宋" w:cs="仿宋"/>
          <w:sz w:val="24"/>
          <w:szCs w:val="24"/>
          <w:highlight w:val="none"/>
        </w:rPr>
        <w:t>合同价款的支付方式</w:t>
      </w:r>
    </w:p>
    <w:p w14:paraId="7B5BC769">
      <w:pPr>
        <w:pStyle w:val="7"/>
        <w:ind w:firstLine="480" w:firstLineChars="200"/>
        <w:rPr>
          <w:rFonts w:hint="eastAsia" w:ascii="仿宋" w:hAnsi="仿宋" w:eastAsia="仿宋" w:cs="仿宋"/>
          <w:kern w:val="2"/>
          <w:sz w:val="24"/>
          <w:szCs w:val="24"/>
          <w:highlight w:val="none"/>
          <w:lang w:eastAsia="zh-CN"/>
        </w:rPr>
      </w:pPr>
      <w:r>
        <w:rPr>
          <w:rFonts w:hint="eastAsia" w:ascii="仿宋" w:hAnsi="仿宋" w:eastAsia="仿宋" w:cs="仿宋"/>
          <w:sz w:val="24"/>
          <w:szCs w:val="24"/>
          <w:highlight w:val="none"/>
        </w:rPr>
        <w:t>7.1</w:t>
      </w:r>
      <w:r>
        <w:rPr>
          <w:rFonts w:hint="eastAsia" w:ascii="仿宋" w:hAnsi="仿宋" w:eastAsia="仿宋" w:cs="仿宋"/>
          <w:kern w:val="2"/>
          <w:sz w:val="24"/>
          <w:szCs w:val="24"/>
          <w:highlight w:val="none"/>
          <w:lang w:eastAsia="zh-CN"/>
        </w:rPr>
        <w:t>供货完成后，达到付款条件起14日内，支付合同总金额的75%；货物验收合格后，达到付款条件起14日内，支付合同总金额的25%。</w:t>
      </w:r>
    </w:p>
    <w:p w14:paraId="63BCDEC3">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7.2付款前，乙方须提供合规足额增值税发票及完整资料，否则甲方顺延付款。</w:t>
      </w:r>
    </w:p>
    <w:p w14:paraId="263130B6">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7.3 发货单、收货单仅作为到货依据，最终结算以甲方盖章验收报告为准。</w:t>
      </w:r>
    </w:p>
    <w:p w14:paraId="48268CE2">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第八条</w:t>
      </w:r>
      <w:r>
        <w:rPr>
          <w:rFonts w:hint="eastAsia" w:ascii="仿宋" w:hAnsi="仿宋" w:eastAsia="仿宋" w:cs="仿宋"/>
          <w:sz w:val="24"/>
          <w:szCs w:val="24"/>
          <w:highlight w:val="none"/>
        </w:rPr>
        <w:tab/>
      </w:r>
      <w:r>
        <w:rPr>
          <w:rFonts w:hint="eastAsia" w:ascii="仿宋" w:hAnsi="仿宋" w:eastAsia="仿宋" w:cs="仿宋"/>
          <w:sz w:val="24"/>
          <w:szCs w:val="24"/>
          <w:highlight w:val="none"/>
        </w:rPr>
        <w:t>违约责任</w:t>
      </w:r>
    </w:p>
    <w:p w14:paraId="3D619DF5">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8.1 乙方逾期交货，每日按合同总价 0.1% 支付违约金；逾期 10 日，甲方有权解除合同，乙方退还全款并承担合同总价 20% 违约金。</w:t>
      </w:r>
    </w:p>
    <w:p w14:paraId="64F5A634">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8.2 因乙方原因引发纠纷、诉讼的，乙方承担诉讼费、律师费、鉴定费等全部损失及赔偿。</w:t>
      </w:r>
    </w:p>
    <w:p w14:paraId="3EF60FCD">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8.3 质量、规格、参数不符约定的，甲方可解除合同，乙方承担违约金及全部损失。</w:t>
      </w:r>
    </w:p>
    <w:p w14:paraId="00C90F6E">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8.4 乙方须保证发票合法有效，违规开票需承担相应赔偿及违约责任。</w:t>
      </w:r>
    </w:p>
    <w:p w14:paraId="00FC68B7">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8.5 本合同违约金、赔偿金包含全部直接及间接损失。</w:t>
      </w:r>
    </w:p>
    <w:p w14:paraId="4CC6C21B">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第九条 保密条款</w:t>
      </w:r>
    </w:p>
    <w:p w14:paraId="5459F776">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甲乙双方对合同价格、资料等商业信息保密，不得擅自向第三方泄露，违约方承担合同总价 20% 违约金及全部损失。</w:t>
      </w:r>
    </w:p>
    <w:p w14:paraId="22129103">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第十条 通知与送达</w:t>
      </w:r>
    </w:p>
    <w:p w14:paraId="79569FD7">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双方联络地址、联系方式为有效送达地址，文书、通知按约定送达即生效，地址变更须书面告知。</w:t>
      </w:r>
    </w:p>
    <w:p w14:paraId="0958FA64">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第十一条 争议解决</w:t>
      </w:r>
    </w:p>
    <w:p w14:paraId="358A8B9F">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本合同在履行过程中如发生争议，将采取下列解决方式：</w:t>
      </w:r>
    </w:p>
    <w:p w14:paraId="1F1B1C92">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11.1由甲乙双方协商解决；</w:t>
      </w:r>
    </w:p>
    <w:p w14:paraId="6E23BD4A">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11.2经上述程序仍不能解决时，可向甲方所在地人民法院提请诉讼。</w:t>
      </w:r>
    </w:p>
    <w:p w14:paraId="6C21BF2F">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第十二条 合同变更</w:t>
      </w:r>
    </w:p>
    <w:p w14:paraId="65B05F4A">
      <w:pPr>
        <w:spacing w:after="0" w:line="440" w:lineRule="exact"/>
        <w:ind w:firstLine="420"/>
        <w:rPr>
          <w:rFonts w:hint="eastAsia" w:ascii="仿宋" w:hAnsi="仿宋" w:eastAsia="仿宋" w:cs="仿宋"/>
          <w:sz w:val="24"/>
          <w:szCs w:val="24"/>
          <w:highlight w:val="none"/>
        </w:rPr>
      </w:pPr>
      <w:r>
        <w:rPr>
          <w:rFonts w:hint="eastAsia" w:ascii="仿宋" w:hAnsi="仿宋" w:eastAsia="仿宋" w:cs="仿宋"/>
          <w:sz w:val="24"/>
          <w:szCs w:val="24"/>
          <w:highlight w:val="none"/>
        </w:rPr>
        <w:t>如需变更本合同条款，双方另行签订补充协议，法定代表人或委托代理人签字，盖单位公章或合同专用章后与本合同具有同等法律效力。</w:t>
      </w:r>
    </w:p>
    <w:p w14:paraId="3A448568">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第十三条 其他</w:t>
      </w:r>
    </w:p>
    <w:p w14:paraId="4C799837">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13.1 本合同权利义务不得擅自转让、分包。</w:t>
      </w:r>
    </w:p>
    <w:p w14:paraId="6FD140E8">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13.2 乙方保证所提供资料真实合法，不得用于抵押、融资等其他用途。</w:t>
      </w:r>
    </w:p>
    <w:p w14:paraId="49B3F6B2">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13.3 因政策原因甲方延期付款，不承担违约责任。</w:t>
      </w:r>
    </w:p>
    <w:p w14:paraId="77D803CD">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13.4 不可抗力导致无法履约的，按法律法规协商处理。第十四条</w:t>
      </w:r>
      <w:r>
        <w:rPr>
          <w:rFonts w:hint="eastAsia" w:ascii="仿宋" w:hAnsi="仿宋" w:eastAsia="仿宋" w:cs="仿宋"/>
          <w:sz w:val="24"/>
          <w:szCs w:val="24"/>
          <w:highlight w:val="none"/>
        </w:rPr>
        <w:tab/>
      </w:r>
      <w:r>
        <w:rPr>
          <w:rFonts w:hint="eastAsia" w:ascii="仿宋" w:hAnsi="仿宋" w:eastAsia="仿宋" w:cs="仿宋"/>
          <w:sz w:val="24"/>
          <w:szCs w:val="24"/>
          <w:highlight w:val="none"/>
        </w:rPr>
        <w:t>合同履行期限及份数</w:t>
      </w:r>
    </w:p>
    <w:p w14:paraId="7195D660">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第十四条 生效及份数</w:t>
      </w:r>
    </w:p>
    <w:p w14:paraId="1C4E2234">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14.1 本合同一式陆份，甲方肆份、乙方贰份，附件与本合同具有同等法律效力。</w:t>
      </w:r>
    </w:p>
    <w:p w14:paraId="7C82EC25">
      <w:pPr>
        <w:spacing w:after="0" w:line="44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14.2 双方签字盖章后生效，履约完毕、款项结清后合同终止。</w:t>
      </w:r>
    </w:p>
    <w:bookmarkEnd w:id="1"/>
    <w:p w14:paraId="5C97B0A5">
      <w:pPr>
        <w:spacing w:after="0" w:line="440" w:lineRule="exact"/>
        <w:rPr>
          <w:rFonts w:hint="eastAsia" w:ascii="仿宋" w:hAnsi="仿宋" w:eastAsia="仿宋" w:cs="仿宋"/>
          <w:sz w:val="24"/>
          <w:szCs w:val="24"/>
          <w:highlight w:val="none"/>
        </w:rPr>
      </w:pPr>
    </w:p>
    <w:p w14:paraId="42607FF6">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甲方（公章）</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乙方（公章）</w:t>
      </w:r>
    </w:p>
    <w:p w14:paraId="0B19C7ED">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法定代表人：</w:t>
      </w:r>
    </w:p>
    <w:p w14:paraId="7717947A">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委托代理人：</w:t>
      </w:r>
    </w:p>
    <w:p w14:paraId="5EA8142A">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联系电话：</w:t>
      </w:r>
    </w:p>
    <w:p w14:paraId="711A753C">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开户银行：</w:t>
      </w:r>
    </w:p>
    <w:p w14:paraId="1F1060CE">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帐号：</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帐号：</w:t>
      </w:r>
    </w:p>
    <w:p w14:paraId="525E88CA">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地址：</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地址：</w:t>
      </w:r>
    </w:p>
    <w:p w14:paraId="0FB291F1">
      <w:pPr>
        <w:spacing w:after="0" w:line="44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电子邮箱：</w:t>
      </w:r>
    </w:p>
    <w:p w14:paraId="08722E6A">
      <w:pPr>
        <w:rPr>
          <w:rFonts w:hint="eastAsia" w:ascii="仿宋" w:hAnsi="仿宋" w:eastAsia="仿宋" w:cs="仿宋"/>
          <w:sz w:val="24"/>
          <w:szCs w:val="24"/>
          <w:highlight w:val="none"/>
        </w:rPr>
      </w:pPr>
      <w:r>
        <w:rPr>
          <w:rFonts w:hint="eastAsia" w:ascii="仿宋" w:hAnsi="仿宋" w:eastAsia="仿宋" w:cs="仿宋"/>
          <w:sz w:val="24"/>
          <w:szCs w:val="24"/>
          <w:highlight w:val="none"/>
        </w:rPr>
        <w:t>签订日期：</w:t>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签订日期：</w:t>
      </w:r>
    </w:p>
    <w:p w14:paraId="7F4446A6">
      <w:pPr>
        <w:pStyle w:val="7"/>
        <w:rPr>
          <w:rFonts w:hint="default" w:ascii="仿宋_GB2312" w:hAnsi="仿宋_GB2312" w:eastAsia="仿宋_GB2312" w:cs="仿宋_GB2312"/>
          <w:highlight w:val="none"/>
          <w:lang w:val="en-US" w:eastAsia="zh-CN"/>
        </w:rPr>
      </w:pPr>
    </w:p>
    <w:p w14:paraId="527F5558">
      <w:p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br w:type="page"/>
      </w:r>
    </w:p>
    <w:p w14:paraId="706CB162">
      <w:pPr>
        <w:pStyle w:val="7"/>
        <w:outlineLvl w:val="2"/>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采购包2:</w:t>
      </w:r>
    </w:p>
    <w:p w14:paraId="1A6BC263">
      <w:pPr>
        <w:jc w:val="center"/>
        <w:outlineLvl w:val="9"/>
        <w:rPr>
          <w:rFonts w:hint="eastAsia" w:ascii="仿宋" w:hAnsi="仿宋" w:eastAsia="仿宋" w:cs="仿宋"/>
          <w:bCs/>
          <w:sz w:val="24"/>
          <w:szCs w:val="24"/>
          <w:highlight w:val="none"/>
        </w:rPr>
      </w:pPr>
      <w:bookmarkStart w:id="2" w:name="_Toc24068"/>
      <w:bookmarkStart w:id="3" w:name="_Toc28741"/>
      <w:bookmarkStart w:id="4" w:name="_Toc9790"/>
      <w:r>
        <w:rPr>
          <w:rFonts w:hint="eastAsia" w:ascii="仿宋" w:hAnsi="仿宋" w:eastAsia="仿宋" w:cs="仿宋"/>
          <w:bCs/>
          <w:sz w:val="24"/>
          <w:szCs w:val="24"/>
          <w:highlight w:val="none"/>
        </w:rPr>
        <w:t>合同主要条款</w:t>
      </w:r>
      <w:bookmarkEnd w:id="2"/>
      <w:bookmarkEnd w:id="3"/>
      <w:bookmarkEnd w:id="4"/>
    </w:p>
    <w:p w14:paraId="5E630552">
      <w:pPr>
        <w:adjustRightInd w:val="0"/>
        <w:snapToGrid w:val="0"/>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采购人（全称）：                                  </w:t>
      </w:r>
    </w:p>
    <w:p w14:paraId="3EA20E90">
      <w:pPr>
        <w:adjustRightInd w:val="0"/>
        <w:snapToGrid w:val="0"/>
        <w:spacing w:line="360" w:lineRule="auto"/>
        <w:rPr>
          <w:rFonts w:hint="eastAsia" w:ascii="仿宋" w:hAnsi="仿宋" w:eastAsia="仿宋" w:cs="仿宋"/>
          <w:sz w:val="24"/>
          <w:szCs w:val="24"/>
          <w:highlight w:val="none"/>
        </w:rPr>
      </w:pPr>
      <w:r>
        <w:rPr>
          <w:rFonts w:hint="eastAsia" w:ascii="仿宋" w:hAnsi="仿宋" w:eastAsia="仿宋" w:cs="仿宋"/>
          <w:b/>
          <w:bCs/>
          <w:sz w:val="24"/>
          <w:szCs w:val="24"/>
          <w:highlight w:val="none"/>
        </w:rPr>
        <w:t xml:space="preserve">供应商（全称）：         </w:t>
      </w:r>
      <w:r>
        <w:rPr>
          <w:rFonts w:hint="eastAsia" w:ascii="仿宋" w:hAnsi="仿宋" w:eastAsia="仿宋" w:cs="仿宋"/>
          <w:sz w:val="24"/>
          <w:szCs w:val="24"/>
          <w:highlight w:val="none"/>
        </w:rPr>
        <w:t xml:space="preserve">                         </w:t>
      </w:r>
    </w:p>
    <w:p w14:paraId="02D422BE">
      <w:pPr>
        <w:adjustRightInd w:val="0"/>
        <w:snapToGrid w:val="0"/>
        <w:spacing w:line="360" w:lineRule="auto"/>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根据</w:t>
      </w:r>
      <w:r>
        <w:rPr>
          <w:rFonts w:hint="eastAsia" w:ascii="仿宋" w:hAnsi="仿宋" w:eastAsia="仿宋" w:cs="仿宋"/>
          <w:sz w:val="24"/>
          <w:szCs w:val="24"/>
          <w:highlight w:val="none"/>
          <w:u w:val="single"/>
        </w:rPr>
        <w:t xml:space="preserve">                   采购项目</w:t>
      </w:r>
      <w:r>
        <w:rPr>
          <w:rFonts w:hint="eastAsia" w:ascii="仿宋" w:hAnsi="仿宋" w:eastAsia="仿宋" w:cs="仿宋"/>
          <w:sz w:val="24"/>
          <w:szCs w:val="24"/>
          <w:highlight w:val="none"/>
        </w:rPr>
        <w:t>的采购结果，按照《中华人民共和</w:t>
      </w:r>
      <w:r>
        <w:rPr>
          <w:rFonts w:hint="eastAsia"/>
          <w:highlight w:val="none"/>
          <w:lang w:val="en-US" w:eastAsia="zh-CN"/>
        </w:rPr>
        <w:t>民法典</w:t>
      </w:r>
      <w:r>
        <w:rPr>
          <w:rFonts w:hint="eastAsia" w:ascii="仿宋" w:hAnsi="仿宋" w:eastAsia="仿宋" w:cs="仿宋"/>
          <w:sz w:val="24"/>
          <w:szCs w:val="24"/>
          <w:highlight w:val="none"/>
        </w:rPr>
        <w:t>》及其他有关法律、法规，遵循平等、自愿、公平和诚信的原则，双方就下述项目范围与相关服务事项协商一致，订立本合同。</w:t>
      </w:r>
    </w:p>
    <w:p w14:paraId="077DF3B1">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一、项目概况</w:t>
      </w:r>
    </w:p>
    <w:p w14:paraId="122BD1ED">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1、项目名称：</w:t>
      </w:r>
      <w:r>
        <w:rPr>
          <w:rFonts w:hint="eastAsia" w:ascii="仿宋" w:hAnsi="仿宋" w:eastAsia="仿宋" w:cs="仿宋"/>
          <w:sz w:val="24"/>
          <w:szCs w:val="24"/>
          <w:highlight w:val="none"/>
          <w:u w:val="single"/>
        </w:rPr>
        <w:t xml:space="preserve">                           采购项目</w:t>
      </w:r>
      <w:r>
        <w:rPr>
          <w:rFonts w:hint="eastAsia" w:ascii="仿宋" w:hAnsi="仿宋" w:eastAsia="仿宋" w:cs="仿宋"/>
          <w:sz w:val="24"/>
          <w:szCs w:val="24"/>
          <w:highlight w:val="none"/>
        </w:rPr>
        <w:t>；</w:t>
      </w:r>
    </w:p>
    <w:p w14:paraId="5D6DC4C3">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2、项目地点：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4EBB3CB6">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二、组成本合同的文件</w:t>
      </w:r>
    </w:p>
    <w:p w14:paraId="543EE25C">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1、成交通知书、磋商响应文件、磋商文件、澄清、磋商补充文件；</w:t>
      </w:r>
    </w:p>
    <w:p w14:paraId="7E610601">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2、相关服务建议书；</w:t>
      </w:r>
    </w:p>
    <w:p w14:paraId="59194989">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3、本合同签订后，双方依法签订的补充协议也是本合同文件的组成部分。</w:t>
      </w:r>
    </w:p>
    <w:p w14:paraId="4B1E1CB0">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三、合同总价</w:t>
      </w:r>
    </w:p>
    <w:p w14:paraId="67FC3AFE">
      <w:pPr>
        <w:adjustRightInd w:val="0"/>
        <w:snapToGrid w:val="0"/>
        <w:spacing w:line="360" w:lineRule="auto"/>
        <w:ind w:firstLine="482" w:firstLineChars="200"/>
        <w:rPr>
          <w:rFonts w:hint="eastAsia" w:ascii="仿宋" w:hAnsi="仿宋" w:eastAsia="仿宋" w:cs="仿宋"/>
          <w:sz w:val="24"/>
          <w:szCs w:val="24"/>
          <w:highlight w:val="none"/>
        </w:rPr>
      </w:pPr>
      <w:r>
        <w:rPr>
          <w:rFonts w:hint="eastAsia" w:ascii="仿宋" w:hAnsi="仿宋" w:eastAsia="仿宋" w:cs="仿宋"/>
          <w:b/>
          <w:sz w:val="24"/>
          <w:szCs w:val="24"/>
          <w:highlight w:val="none"/>
        </w:rPr>
        <w:t>合同总价</w:t>
      </w:r>
      <w:r>
        <w:rPr>
          <w:rFonts w:hint="eastAsia" w:ascii="仿宋" w:hAnsi="仿宋" w:eastAsia="仿宋" w:cs="仿宋"/>
          <w:sz w:val="24"/>
          <w:szCs w:val="24"/>
          <w:highlight w:val="none"/>
        </w:rPr>
        <w:t>（大写）：</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w:t>
      </w:r>
    </w:p>
    <w:p w14:paraId="7BB582E4">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合同总价即成交价，合同总价一次包死，不受市场价变化或实际工作量变化的影响。合同价格为含税价，供应商提供产品发生的一切税（包括增值税）费等都已包含于合同价款中。</w:t>
      </w:r>
    </w:p>
    <w:p w14:paraId="0BEF4EE9">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附分项清单：</w:t>
      </w:r>
    </w:p>
    <w:tbl>
      <w:tblPr>
        <w:tblStyle w:val="5"/>
        <w:tblW w:w="8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1017"/>
        <w:gridCol w:w="963"/>
        <w:gridCol w:w="1275"/>
        <w:gridCol w:w="1125"/>
        <w:gridCol w:w="1080"/>
        <w:gridCol w:w="1290"/>
        <w:gridCol w:w="1116"/>
      </w:tblGrid>
      <w:tr w14:paraId="5817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894" w:type="dxa"/>
            <w:vAlign w:val="center"/>
          </w:tcPr>
          <w:p w14:paraId="25B56886">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017" w:type="dxa"/>
            <w:vAlign w:val="center"/>
          </w:tcPr>
          <w:p w14:paraId="6B620943">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名称</w:t>
            </w:r>
          </w:p>
        </w:tc>
        <w:tc>
          <w:tcPr>
            <w:tcW w:w="963" w:type="dxa"/>
            <w:vAlign w:val="center"/>
          </w:tcPr>
          <w:p w14:paraId="4554F347">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品牌</w:t>
            </w:r>
          </w:p>
        </w:tc>
        <w:tc>
          <w:tcPr>
            <w:tcW w:w="1275" w:type="dxa"/>
            <w:vAlign w:val="center"/>
          </w:tcPr>
          <w:p w14:paraId="556C0B05">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规格型号</w:t>
            </w:r>
          </w:p>
        </w:tc>
        <w:tc>
          <w:tcPr>
            <w:tcW w:w="1125" w:type="dxa"/>
            <w:vAlign w:val="center"/>
          </w:tcPr>
          <w:p w14:paraId="29CB44E0">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c>
          <w:tcPr>
            <w:tcW w:w="1080" w:type="dxa"/>
            <w:vAlign w:val="center"/>
          </w:tcPr>
          <w:p w14:paraId="3A4F1825">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w:t>
            </w:r>
          </w:p>
        </w:tc>
        <w:tc>
          <w:tcPr>
            <w:tcW w:w="1290" w:type="dxa"/>
            <w:vAlign w:val="center"/>
          </w:tcPr>
          <w:p w14:paraId="207D5DFF">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单价</w:t>
            </w:r>
          </w:p>
          <w:p w14:paraId="2BB21F6B">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（元）</w:t>
            </w:r>
          </w:p>
        </w:tc>
        <w:tc>
          <w:tcPr>
            <w:tcW w:w="1116" w:type="dxa"/>
            <w:vAlign w:val="center"/>
          </w:tcPr>
          <w:p w14:paraId="377E440B">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合计</w:t>
            </w:r>
          </w:p>
          <w:p w14:paraId="79236108">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（万元）</w:t>
            </w:r>
          </w:p>
        </w:tc>
      </w:tr>
      <w:tr w14:paraId="7064D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64F1868A">
            <w:pPr>
              <w:adjustRightInd w:val="0"/>
              <w:snapToGrid w:val="0"/>
              <w:jc w:val="center"/>
              <w:rPr>
                <w:rFonts w:hint="eastAsia" w:ascii="仿宋" w:hAnsi="仿宋" w:eastAsia="仿宋" w:cs="仿宋"/>
                <w:sz w:val="24"/>
                <w:szCs w:val="24"/>
                <w:highlight w:val="none"/>
              </w:rPr>
            </w:pPr>
          </w:p>
        </w:tc>
        <w:tc>
          <w:tcPr>
            <w:tcW w:w="1017" w:type="dxa"/>
            <w:vAlign w:val="center"/>
          </w:tcPr>
          <w:p w14:paraId="6767CD59">
            <w:pPr>
              <w:adjustRightInd w:val="0"/>
              <w:snapToGrid w:val="0"/>
              <w:jc w:val="center"/>
              <w:rPr>
                <w:rFonts w:hint="eastAsia" w:ascii="仿宋" w:hAnsi="仿宋" w:eastAsia="仿宋" w:cs="仿宋"/>
                <w:sz w:val="24"/>
                <w:szCs w:val="24"/>
                <w:highlight w:val="none"/>
              </w:rPr>
            </w:pPr>
          </w:p>
        </w:tc>
        <w:tc>
          <w:tcPr>
            <w:tcW w:w="963" w:type="dxa"/>
            <w:vAlign w:val="center"/>
          </w:tcPr>
          <w:p w14:paraId="69C52137">
            <w:pPr>
              <w:adjustRightInd w:val="0"/>
              <w:snapToGrid w:val="0"/>
              <w:jc w:val="center"/>
              <w:rPr>
                <w:rFonts w:hint="eastAsia" w:ascii="仿宋" w:hAnsi="仿宋" w:eastAsia="仿宋" w:cs="仿宋"/>
                <w:sz w:val="24"/>
                <w:szCs w:val="24"/>
                <w:highlight w:val="none"/>
              </w:rPr>
            </w:pPr>
          </w:p>
        </w:tc>
        <w:tc>
          <w:tcPr>
            <w:tcW w:w="1275" w:type="dxa"/>
            <w:vAlign w:val="center"/>
          </w:tcPr>
          <w:p w14:paraId="5663069D">
            <w:pPr>
              <w:adjustRightInd w:val="0"/>
              <w:snapToGrid w:val="0"/>
              <w:jc w:val="center"/>
              <w:rPr>
                <w:rFonts w:hint="eastAsia" w:ascii="仿宋" w:hAnsi="仿宋" w:eastAsia="仿宋" w:cs="仿宋"/>
                <w:sz w:val="24"/>
                <w:szCs w:val="24"/>
                <w:highlight w:val="none"/>
              </w:rPr>
            </w:pPr>
          </w:p>
        </w:tc>
        <w:tc>
          <w:tcPr>
            <w:tcW w:w="1125" w:type="dxa"/>
            <w:vAlign w:val="center"/>
          </w:tcPr>
          <w:p w14:paraId="7A41C655">
            <w:pPr>
              <w:adjustRightInd w:val="0"/>
              <w:snapToGrid w:val="0"/>
              <w:jc w:val="center"/>
              <w:rPr>
                <w:rFonts w:hint="eastAsia" w:ascii="仿宋" w:hAnsi="仿宋" w:eastAsia="仿宋" w:cs="仿宋"/>
                <w:sz w:val="24"/>
                <w:szCs w:val="24"/>
                <w:highlight w:val="none"/>
              </w:rPr>
            </w:pPr>
          </w:p>
        </w:tc>
        <w:tc>
          <w:tcPr>
            <w:tcW w:w="1080" w:type="dxa"/>
            <w:vAlign w:val="center"/>
          </w:tcPr>
          <w:p w14:paraId="097AED95">
            <w:pPr>
              <w:adjustRightInd w:val="0"/>
              <w:snapToGrid w:val="0"/>
              <w:jc w:val="center"/>
              <w:rPr>
                <w:rFonts w:hint="eastAsia" w:ascii="仿宋" w:hAnsi="仿宋" w:eastAsia="仿宋" w:cs="仿宋"/>
                <w:sz w:val="24"/>
                <w:szCs w:val="24"/>
                <w:highlight w:val="none"/>
              </w:rPr>
            </w:pPr>
          </w:p>
        </w:tc>
        <w:tc>
          <w:tcPr>
            <w:tcW w:w="1290" w:type="dxa"/>
            <w:vAlign w:val="center"/>
          </w:tcPr>
          <w:p w14:paraId="695829EF">
            <w:pPr>
              <w:adjustRightInd w:val="0"/>
              <w:snapToGrid w:val="0"/>
              <w:jc w:val="center"/>
              <w:rPr>
                <w:rFonts w:hint="eastAsia" w:ascii="仿宋" w:hAnsi="仿宋" w:eastAsia="仿宋" w:cs="仿宋"/>
                <w:sz w:val="24"/>
                <w:szCs w:val="24"/>
                <w:highlight w:val="none"/>
              </w:rPr>
            </w:pPr>
          </w:p>
        </w:tc>
        <w:tc>
          <w:tcPr>
            <w:tcW w:w="1116" w:type="dxa"/>
            <w:vAlign w:val="center"/>
          </w:tcPr>
          <w:p w14:paraId="30EAE5E1">
            <w:pPr>
              <w:adjustRightInd w:val="0"/>
              <w:snapToGrid w:val="0"/>
              <w:jc w:val="center"/>
              <w:rPr>
                <w:rFonts w:hint="eastAsia" w:ascii="仿宋" w:hAnsi="仿宋" w:eastAsia="仿宋" w:cs="仿宋"/>
                <w:sz w:val="24"/>
                <w:szCs w:val="24"/>
                <w:highlight w:val="none"/>
              </w:rPr>
            </w:pPr>
          </w:p>
        </w:tc>
      </w:tr>
      <w:tr w14:paraId="31173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jc w:val="center"/>
        </w:trPr>
        <w:tc>
          <w:tcPr>
            <w:tcW w:w="894" w:type="dxa"/>
            <w:vAlign w:val="center"/>
          </w:tcPr>
          <w:p w14:paraId="28011A3F">
            <w:pPr>
              <w:adjustRightInd w:val="0"/>
              <w:snapToGrid w:val="0"/>
              <w:jc w:val="center"/>
              <w:rPr>
                <w:rFonts w:hint="eastAsia" w:ascii="仿宋" w:hAnsi="仿宋" w:eastAsia="仿宋" w:cs="仿宋"/>
                <w:sz w:val="24"/>
                <w:szCs w:val="24"/>
                <w:highlight w:val="none"/>
              </w:rPr>
            </w:pPr>
          </w:p>
        </w:tc>
        <w:tc>
          <w:tcPr>
            <w:tcW w:w="1017" w:type="dxa"/>
            <w:vAlign w:val="center"/>
          </w:tcPr>
          <w:p w14:paraId="4557A02C">
            <w:pPr>
              <w:adjustRightInd w:val="0"/>
              <w:snapToGrid w:val="0"/>
              <w:jc w:val="center"/>
              <w:rPr>
                <w:rFonts w:hint="eastAsia" w:ascii="仿宋" w:hAnsi="仿宋" w:eastAsia="仿宋" w:cs="仿宋"/>
                <w:sz w:val="24"/>
                <w:szCs w:val="24"/>
                <w:highlight w:val="none"/>
              </w:rPr>
            </w:pPr>
          </w:p>
        </w:tc>
        <w:tc>
          <w:tcPr>
            <w:tcW w:w="963" w:type="dxa"/>
            <w:vAlign w:val="center"/>
          </w:tcPr>
          <w:p w14:paraId="7FABBD94">
            <w:pPr>
              <w:adjustRightInd w:val="0"/>
              <w:snapToGrid w:val="0"/>
              <w:jc w:val="center"/>
              <w:rPr>
                <w:rFonts w:hint="eastAsia" w:ascii="仿宋" w:hAnsi="仿宋" w:eastAsia="仿宋" w:cs="仿宋"/>
                <w:sz w:val="24"/>
                <w:szCs w:val="24"/>
                <w:highlight w:val="none"/>
              </w:rPr>
            </w:pPr>
          </w:p>
        </w:tc>
        <w:tc>
          <w:tcPr>
            <w:tcW w:w="1275" w:type="dxa"/>
            <w:vAlign w:val="center"/>
          </w:tcPr>
          <w:p w14:paraId="693BC26C">
            <w:pPr>
              <w:adjustRightInd w:val="0"/>
              <w:snapToGrid w:val="0"/>
              <w:jc w:val="center"/>
              <w:rPr>
                <w:rFonts w:hint="eastAsia" w:ascii="仿宋" w:hAnsi="仿宋" w:eastAsia="仿宋" w:cs="仿宋"/>
                <w:sz w:val="24"/>
                <w:szCs w:val="24"/>
                <w:highlight w:val="none"/>
              </w:rPr>
            </w:pPr>
          </w:p>
        </w:tc>
        <w:tc>
          <w:tcPr>
            <w:tcW w:w="1125" w:type="dxa"/>
            <w:vAlign w:val="center"/>
          </w:tcPr>
          <w:p w14:paraId="2F1EF22C">
            <w:pPr>
              <w:adjustRightInd w:val="0"/>
              <w:snapToGrid w:val="0"/>
              <w:jc w:val="center"/>
              <w:rPr>
                <w:rFonts w:hint="eastAsia" w:ascii="仿宋" w:hAnsi="仿宋" w:eastAsia="仿宋" w:cs="仿宋"/>
                <w:sz w:val="24"/>
                <w:szCs w:val="24"/>
                <w:highlight w:val="none"/>
              </w:rPr>
            </w:pPr>
          </w:p>
        </w:tc>
        <w:tc>
          <w:tcPr>
            <w:tcW w:w="1080" w:type="dxa"/>
            <w:vAlign w:val="center"/>
          </w:tcPr>
          <w:p w14:paraId="40AABE8D">
            <w:pPr>
              <w:adjustRightInd w:val="0"/>
              <w:snapToGrid w:val="0"/>
              <w:jc w:val="center"/>
              <w:rPr>
                <w:rFonts w:hint="eastAsia" w:ascii="仿宋" w:hAnsi="仿宋" w:eastAsia="仿宋" w:cs="仿宋"/>
                <w:sz w:val="24"/>
                <w:szCs w:val="24"/>
                <w:highlight w:val="none"/>
              </w:rPr>
            </w:pPr>
          </w:p>
        </w:tc>
        <w:tc>
          <w:tcPr>
            <w:tcW w:w="1290" w:type="dxa"/>
            <w:vAlign w:val="center"/>
          </w:tcPr>
          <w:p w14:paraId="3B01642F">
            <w:pPr>
              <w:adjustRightInd w:val="0"/>
              <w:snapToGrid w:val="0"/>
              <w:jc w:val="center"/>
              <w:rPr>
                <w:rFonts w:hint="eastAsia" w:ascii="仿宋" w:hAnsi="仿宋" w:eastAsia="仿宋" w:cs="仿宋"/>
                <w:sz w:val="24"/>
                <w:szCs w:val="24"/>
                <w:highlight w:val="none"/>
              </w:rPr>
            </w:pPr>
          </w:p>
        </w:tc>
        <w:tc>
          <w:tcPr>
            <w:tcW w:w="1116" w:type="dxa"/>
            <w:vAlign w:val="center"/>
          </w:tcPr>
          <w:p w14:paraId="4D5C3EDA">
            <w:pPr>
              <w:adjustRightInd w:val="0"/>
              <w:snapToGrid w:val="0"/>
              <w:jc w:val="center"/>
              <w:rPr>
                <w:rFonts w:hint="eastAsia" w:ascii="仿宋" w:hAnsi="仿宋" w:eastAsia="仿宋" w:cs="仿宋"/>
                <w:sz w:val="24"/>
                <w:szCs w:val="24"/>
                <w:highlight w:val="none"/>
              </w:rPr>
            </w:pPr>
          </w:p>
        </w:tc>
      </w:tr>
    </w:tbl>
    <w:p w14:paraId="1E384BDB">
      <w:pPr>
        <w:adjustRightInd w:val="0"/>
        <w:snapToGrid w:val="0"/>
        <w:spacing w:line="560" w:lineRule="exact"/>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注：此表应与磋商文件、磋商响应文件内容一致。</w:t>
      </w:r>
    </w:p>
    <w:p w14:paraId="71BCFC9C">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四、结算方式：</w:t>
      </w:r>
    </w:p>
    <w:p w14:paraId="5F3BF7C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（1）结算单位：银行转账，由采购人以人民币负责结算。 </w:t>
      </w:r>
    </w:p>
    <w:p w14:paraId="50519403">
      <w:pPr>
        <w:spacing w:line="360" w:lineRule="auto"/>
        <w:ind w:firstLine="480" w:firstLineChars="200"/>
        <w:rPr>
          <w:rFonts w:hint="default" w:ascii="仿宋" w:hAnsi="仿宋" w:eastAsia="仿宋" w:cs="仿宋"/>
          <w:color w:val="FF0000"/>
          <w:sz w:val="24"/>
          <w:szCs w:val="24"/>
          <w:highlight w:val="none"/>
          <w:u w:val="single"/>
          <w:lang w:val="en-US" w:eastAsia="zh-CN"/>
        </w:rPr>
      </w:pPr>
      <w:r>
        <w:rPr>
          <w:rFonts w:hint="eastAsia" w:ascii="仿宋" w:hAnsi="仿宋" w:eastAsia="仿宋" w:cs="仿宋"/>
          <w:sz w:val="24"/>
          <w:szCs w:val="24"/>
          <w:highlight w:val="none"/>
        </w:rPr>
        <w:t>（2）付款方式：</w:t>
      </w:r>
      <w:r>
        <w:rPr>
          <w:rFonts w:hint="eastAsia" w:ascii="仿宋" w:hAnsi="仿宋" w:eastAsia="仿宋" w:cs="仿宋"/>
          <w:sz w:val="24"/>
          <w:szCs w:val="24"/>
          <w:highlight w:val="none"/>
          <w:u w:val="single"/>
          <w:lang w:val="en-US" w:eastAsia="zh-CN"/>
        </w:rPr>
        <w:t xml:space="preserve">                </w:t>
      </w:r>
    </w:p>
    <w:p w14:paraId="53AAF109">
      <w:pPr>
        <w:adjustRightInd w:val="0"/>
        <w:snapToGrid w:val="0"/>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五、交货地点及交货期及质保期</w:t>
      </w:r>
    </w:p>
    <w:p w14:paraId="60843B2B">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1、交货地点：采购人指定地点</w:t>
      </w:r>
    </w:p>
    <w:p w14:paraId="746A415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2、交货期：</w:t>
      </w:r>
      <w:r>
        <w:rPr>
          <w:rFonts w:hint="eastAsia" w:ascii="仿宋" w:hAnsi="仿宋" w:eastAsia="仿宋" w:cs="仿宋"/>
          <w:sz w:val="24"/>
          <w:szCs w:val="24"/>
          <w:highlight w:val="none"/>
          <w:u w:val="single"/>
          <w:lang w:val="en-US" w:eastAsia="zh-CN"/>
        </w:rPr>
        <w:t xml:space="preserve">         </w:t>
      </w:r>
    </w:p>
    <w:p w14:paraId="7C46DF8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3、质保期：</w:t>
      </w:r>
      <w:r>
        <w:rPr>
          <w:rFonts w:hint="eastAsia" w:ascii="仿宋" w:hAnsi="仿宋" w:eastAsia="仿宋" w:cs="仿宋"/>
          <w:sz w:val="24"/>
          <w:szCs w:val="24"/>
          <w:highlight w:val="none"/>
          <w:u w:val="single"/>
          <w:lang w:val="en-US" w:eastAsia="zh-CN"/>
        </w:rPr>
        <w:t xml:space="preserve">         </w:t>
      </w:r>
    </w:p>
    <w:p w14:paraId="5754F386">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六、双方承诺</w:t>
      </w:r>
    </w:p>
    <w:p w14:paraId="671353E8">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1、供应商向采购人承诺，按照本合同约定提供相关服务。</w:t>
      </w:r>
    </w:p>
    <w:p w14:paraId="72EF8BAA">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2、采购人向供应商承诺，按照本合同约定支付服务款项。</w:t>
      </w:r>
    </w:p>
    <w:p w14:paraId="6617BDD8">
      <w:pPr>
        <w:adjustRightInd w:val="0"/>
        <w:snapToGrid w:val="0"/>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七、内容及要求：</w:t>
      </w:r>
    </w:p>
    <w:p w14:paraId="699FCDBC">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即交付的产品、服务内容、数量与磋商响应文件、磋商文件等所指明的，或者与本合同所指明的产品、服务内容相一致。</w:t>
      </w:r>
    </w:p>
    <w:p w14:paraId="26522BB0">
      <w:pPr>
        <w:spacing w:after="12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供货内容一览表</w:t>
      </w:r>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75"/>
        <w:gridCol w:w="960"/>
        <w:gridCol w:w="1485"/>
        <w:gridCol w:w="1695"/>
        <w:gridCol w:w="825"/>
        <w:gridCol w:w="735"/>
        <w:gridCol w:w="1050"/>
        <w:gridCol w:w="1215"/>
        <w:gridCol w:w="903"/>
      </w:tblGrid>
      <w:tr w14:paraId="2200B1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vAlign w:val="center"/>
          </w:tcPr>
          <w:p w14:paraId="0659B2DF">
            <w:pPr>
              <w:spacing w:before="156" w:beforeLines="50"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序号</w:t>
            </w:r>
          </w:p>
        </w:tc>
        <w:tc>
          <w:tcPr>
            <w:tcW w:w="960" w:type="dxa"/>
            <w:vAlign w:val="center"/>
          </w:tcPr>
          <w:p w14:paraId="032AF45D">
            <w:pPr>
              <w:spacing w:before="156" w:beforeLines="50" w:line="360" w:lineRule="auto"/>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名称</w:t>
            </w:r>
          </w:p>
        </w:tc>
        <w:tc>
          <w:tcPr>
            <w:tcW w:w="1485" w:type="dxa"/>
            <w:tcBorders>
              <w:right w:val="single" w:color="auto" w:sz="4" w:space="0"/>
            </w:tcBorders>
            <w:vAlign w:val="center"/>
          </w:tcPr>
          <w:p w14:paraId="59869C52">
            <w:pPr>
              <w:pStyle w:val="2"/>
              <w:adjustRightInd w:val="0"/>
              <w:snapToGrid w:val="0"/>
              <w:jc w:val="center"/>
              <w:rPr>
                <w:rFonts w:hint="eastAsia" w:ascii="仿宋" w:hAnsi="仿宋" w:eastAsia="仿宋" w:cs="仿宋"/>
                <w:sz w:val="24"/>
                <w:szCs w:val="24"/>
                <w:highlight w:val="none"/>
              </w:rPr>
            </w:pPr>
            <w:bookmarkStart w:id="5" w:name="_Toc27392"/>
            <w:r>
              <w:rPr>
                <w:rFonts w:hint="eastAsia" w:ascii="仿宋" w:hAnsi="仿宋" w:eastAsia="仿宋" w:cs="仿宋"/>
                <w:sz w:val="24"/>
                <w:szCs w:val="24"/>
                <w:highlight w:val="none"/>
              </w:rPr>
              <w:t>品牌、规格及型号</w:t>
            </w:r>
            <w:bookmarkEnd w:id="5"/>
          </w:p>
        </w:tc>
        <w:tc>
          <w:tcPr>
            <w:tcW w:w="1695" w:type="dxa"/>
            <w:tcBorders>
              <w:left w:val="single" w:color="auto" w:sz="4" w:space="0"/>
            </w:tcBorders>
            <w:vAlign w:val="center"/>
          </w:tcPr>
          <w:p w14:paraId="66558F0F">
            <w:pPr>
              <w:pStyle w:val="2"/>
              <w:adjustRightInd w:val="0"/>
              <w:snapToGrid w:val="0"/>
              <w:jc w:val="center"/>
              <w:rPr>
                <w:rFonts w:hint="eastAsia" w:ascii="仿宋" w:hAnsi="仿宋" w:eastAsia="仿宋" w:cs="仿宋"/>
                <w:sz w:val="24"/>
                <w:szCs w:val="24"/>
                <w:highlight w:val="none"/>
              </w:rPr>
            </w:pPr>
            <w:bookmarkStart w:id="6" w:name="_Toc8981"/>
            <w:r>
              <w:rPr>
                <w:rFonts w:hint="eastAsia" w:ascii="仿宋" w:hAnsi="仿宋" w:eastAsia="仿宋" w:cs="仿宋"/>
                <w:sz w:val="24"/>
                <w:szCs w:val="24"/>
                <w:highlight w:val="none"/>
              </w:rPr>
              <w:t>原产地及 制造厂名</w:t>
            </w:r>
            <w:bookmarkEnd w:id="6"/>
          </w:p>
        </w:tc>
        <w:tc>
          <w:tcPr>
            <w:tcW w:w="825" w:type="dxa"/>
            <w:tcBorders>
              <w:right w:val="single" w:color="auto" w:sz="4" w:space="0"/>
            </w:tcBorders>
            <w:vAlign w:val="center"/>
          </w:tcPr>
          <w:p w14:paraId="6F8C2E49">
            <w:pPr>
              <w:pStyle w:val="2"/>
              <w:adjustRightInd w:val="0"/>
              <w:snapToGrid w:val="0"/>
              <w:jc w:val="center"/>
              <w:rPr>
                <w:rFonts w:hint="eastAsia" w:ascii="仿宋" w:hAnsi="仿宋" w:eastAsia="仿宋" w:cs="仿宋"/>
                <w:sz w:val="24"/>
                <w:szCs w:val="24"/>
                <w:highlight w:val="none"/>
              </w:rPr>
            </w:pPr>
            <w:bookmarkStart w:id="7" w:name="_Toc14127"/>
            <w:r>
              <w:rPr>
                <w:rFonts w:hint="eastAsia" w:ascii="仿宋" w:hAnsi="仿宋" w:eastAsia="仿宋" w:cs="仿宋"/>
                <w:sz w:val="24"/>
                <w:szCs w:val="24"/>
                <w:highlight w:val="none"/>
              </w:rPr>
              <w:t>单价</w:t>
            </w:r>
            <w:bookmarkEnd w:id="7"/>
          </w:p>
        </w:tc>
        <w:tc>
          <w:tcPr>
            <w:tcW w:w="735" w:type="dxa"/>
            <w:tcBorders>
              <w:left w:val="single" w:color="auto" w:sz="4" w:space="0"/>
              <w:right w:val="single" w:color="auto" w:sz="4" w:space="0"/>
            </w:tcBorders>
            <w:vAlign w:val="center"/>
          </w:tcPr>
          <w:p w14:paraId="3A8F8DCD">
            <w:pPr>
              <w:pStyle w:val="2"/>
              <w:adjustRightInd w:val="0"/>
              <w:snapToGrid w:val="0"/>
              <w:jc w:val="center"/>
              <w:rPr>
                <w:rFonts w:hint="eastAsia" w:ascii="仿宋" w:hAnsi="仿宋" w:eastAsia="仿宋" w:cs="仿宋"/>
                <w:sz w:val="24"/>
                <w:szCs w:val="24"/>
                <w:highlight w:val="none"/>
              </w:rPr>
            </w:pPr>
            <w:bookmarkStart w:id="8" w:name="_Toc31109"/>
            <w:r>
              <w:rPr>
                <w:rFonts w:hint="eastAsia" w:ascii="仿宋" w:hAnsi="仿宋" w:eastAsia="仿宋" w:cs="仿宋"/>
                <w:sz w:val="24"/>
                <w:szCs w:val="24"/>
                <w:highlight w:val="none"/>
              </w:rPr>
              <w:t>数量</w:t>
            </w:r>
            <w:bookmarkEnd w:id="8"/>
          </w:p>
        </w:tc>
        <w:tc>
          <w:tcPr>
            <w:tcW w:w="1050" w:type="dxa"/>
            <w:tcBorders>
              <w:left w:val="single" w:color="auto" w:sz="4" w:space="0"/>
            </w:tcBorders>
            <w:vAlign w:val="center"/>
          </w:tcPr>
          <w:p w14:paraId="7A36ED77">
            <w:pPr>
              <w:pStyle w:val="2"/>
              <w:jc w:val="center"/>
              <w:rPr>
                <w:rFonts w:hint="eastAsia" w:ascii="仿宋" w:hAnsi="仿宋" w:eastAsia="仿宋" w:cs="仿宋"/>
                <w:sz w:val="24"/>
                <w:szCs w:val="24"/>
                <w:highlight w:val="none"/>
              </w:rPr>
            </w:pPr>
            <w:bookmarkStart w:id="9" w:name="_Toc23428"/>
            <w:r>
              <w:rPr>
                <w:rFonts w:hint="eastAsia" w:ascii="仿宋" w:hAnsi="仿宋" w:eastAsia="仿宋" w:cs="仿宋"/>
                <w:sz w:val="24"/>
                <w:szCs w:val="24"/>
                <w:highlight w:val="none"/>
              </w:rPr>
              <w:t>交付地点</w:t>
            </w:r>
            <w:bookmarkEnd w:id="9"/>
          </w:p>
        </w:tc>
        <w:tc>
          <w:tcPr>
            <w:tcW w:w="1215" w:type="dxa"/>
            <w:tcBorders>
              <w:right w:val="single" w:color="auto" w:sz="4" w:space="0"/>
            </w:tcBorders>
            <w:vAlign w:val="center"/>
          </w:tcPr>
          <w:p w14:paraId="5DEA9BDD">
            <w:pPr>
              <w:pStyle w:val="2"/>
              <w:jc w:val="center"/>
              <w:rPr>
                <w:rFonts w:hint="eastAsia" w:ascii="仿宋" w:hAnsi="仿宋" w:eastAsia="仿宋" w:cs="仿宋"/>
                <w:sz w:val="24"/>
                <w:szCs w:val="24"/>
                <w:highlight w:val="none"/>
              </w:rPr>
            </w:pPr>
            <w:bookmarkStart w:id="10" w:name="_Toc2991"/>
            <w:r>
              <w:rPr>
                <w:rFonts w:hint="eastAsia" w:ascii="仿宋" w:hAnsi="仿宋" w:eastAsia="仿宋" w:cs="仿宋"/>
                <w:sz w:val="24"/>
                <w:szCs w:val="24"/>
                <w:highlight w:val="none"/>
              </w:rPr>
              <w:t>交付时间</w:t>
            </w:r>
            <w:bookmarkEnd w:id="10"/>
          </w:p>
        </w:tc>
        <w:tc>
          <w:tcPr>
            <w:tcW w:w="903" w:type="dxa"/>
            <w:tcBorders>
              <w:right w:val="single" w:color="auto" w:sz="4" w:space="0"/>
            </w:tcBorders>
            <w:vAlign w:val="center"/>
          </w:tcPr>
          <w:p w14:paraId="16B2A045">
            <w:pPr>
              <w:pStyle w:val="2"/>
              <w:jc w:val="center"/>
              <w:rPr>
                <w:rFonts w:hint="eastAsia" w:ascii="仿宋" w:hAnsi="仿宋" w:eastAsia="仿宋" w:cs="仿宋"/>
                <w:sz w:val="24"/>
                <w:szCs w:val="24"/>
                <w:highlight w:val="none"/>
              </w:rPr>
            </w:pPr>
            <w:bookmarkStart w:id="11" w:name="_Toc17703"/>
            <w:r>
              <w:rPr>
                <w:rFonts w:hint="eastAsia" w:ascii="仿宋" w:hAnsi="仿宋" w:eastAsia="仿宋" w:cs="仿宋"/>
                <w:sz w:val="24"/>
                <w:szCs w:val="24"/>
                <w:highlight w:val="none"/>
              </w:rPr>
              <w:t>备注</w:t>
            </w:r>
            <w:bookmarkEnd w:id="11"/>
          </w:p>
        </w:tc>
      </w:tr>
      <w:tr w14:paraId="13BCB2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7ED2ED01">
            <w:pPr>
              <w:spacing w:before="156" w:beforeLines="50" w:line="360" w:lineRule="auto"/>
              <w:jc w:val="center"/>
              <w:rPr>
                <w:rFonts w:hint="eastAsia" w:ascii="仿宋" w:hAnsi="仿宋" w:eastAsia="仿宋" w:cs="仿宋"/>
                <w:sz w:val="24"/>
                <w:szCs w:val="24"/>
                <w:highlight w:val="none"/>
              </w:rPr>
            </w:pPr>
          </w:p>
        </w:tc>
        <w:tc>
          <w:tcPr>
            <w:tcW w:w="960" w:type="dxa"/>
          </w:tcPr>
          <w:p w14:paraId="253408B8">
            <w:pPr>
              <w:spacing w:before="156" w:beforeLines="50" w:line="360" w:lineRule="auto"/>
              <w:jc w:val="center"/>
              <w:rPr>
                <w:rFonts w:hint="eastAsia" w:ascii="仿宋" w:hAnsi="仿宋" w:eastAsia="仿宋" w:cs="仿宋"/>
                <w:sz w:val="24"/>
                <w:szCs w:val="24"/>
                <w:highlight w:val="none"/>
              </w:rPr>
            </w:pPr>
          </w:p>
        </w:tc>
        <w:tc>
          <w:tcPr>
            <w:tcW w:w="1485" w:type="dxa"/>
            <w:tcBorders>
              <w:right w:val="single" w:color="auto" w:sz="4" w:space="0"/>
            </w:tcBorders>
          </w:tcPr>
          <w:p w14:paraId="5516CD2E">
            <w:pPr>
              <w:spacing w:before="156" w:beforeLines="50" w:line="360" w:lineRule="auto"/>
              <w:jc w:val="center"/>
              <w:rPr>
                <w:rFonts w:hint="eastAsia" w:ascii="仿宋" w:hAnsi="仿宋" w:eastAsia="仿宋" w:cs="仿宋"/>
                <w:sz w:val="24"/>
                <w:szCs w:val="24"/>
                <w:highlight w:val="none"/>
              </w:rPr>
            </w:pPr>
          </w:p>
        </w:tc>
        <w:tc>
          <w:tcPr>
            <w:tcW w:w="1695" w:type="dxa"/>
            <w:tcBorders>
              <w:left w:val="single" w:color="auto" w:sz="4" w:space="0"/>
            </w:tcBorders>
          </w:tcPr>
          <w:p w14:paraId="36481317">
            <w:pPr>
              <w:spacing w:before="156" w:beforeLines="50" w:line="360" w:lineRule="auto"/>
              <w:jc w:val="center"/>
              <w:rPr>
                <w:rFonts w:hint="eastAsia" w:ascii="仿宋" w:hAnsi="仿宋" w:eastAsia="仿宋" w:cs="仿宋"/>
                <w:sz w:val="24"/>
                <w:szCs w:val="24"/>
                <w:highlight w:val="none"/>
              </w:rPr>
            </w:pPr>
          </w:p>
        </w:tc>
        <w:tc>
          <w:tcPr>
            <w:tcW w:w="825" w:type="dxa"/>
            <w:tcBorders>
              <w:right w:val="single" w:color="auto" w:sz="4" w:space="0"/>
            </w:tcBorders>
          </w:tcPr>
          <w:p w14:paraId="3FEBE49C">
            <w:pPr>
              <w:spacing w:before="156" w:beforeLines="50" w:line="360" w:lineRule="auto"/>
              <w:jc w:val="center"/>
              <w:rPr>
                <w:rFonts w:hint="eastAsia" w:ascii="仿宋" w:hAnsi="仿宋" w:eastAsia="仿宋" w:cs="仿宋"/>
                <w:sz w:val="24"/>
                <w:szCs w:val="24"/>
                <w:highlight w:val="none"/>
              </w:rPr>
            </w:pPr>
          </w:p>
        </w:tc>
        <w:tc>
          <w:tcPr>
            <w:tcW w:w="735" w:type="dxa"/>
            <w:tcBorders>
              <w:left w:val="single" w:color="auto" w:sz="4" w:space="0"/>
              <w:right w:val="single" w:color="auto" w:sz="4" w:space="0"/>
            </w:tcBorders>
          </w:tcPr>
          <w:p w14:paraId="4F54F56B">
            <w:pPr>
              <w:spacing w:before="156" w:beforeLines="50" w:line="360" w:lineRule="auto"/>
              <w:jc w:val="center"/>
              <w:rPr>
                <w:rFonts w:hint="eastAsia" w:ascii="仿宋" w:hAnsi="仿宋" w:eastAsia="仿宋" w:cs="仿宋"/>
                <w:sz w:val="24"/>
                <w:szCs w:val="24"/>
                <w:highlight w:val="none"/>
              </w:rPr>
            </w:pPr>
          </w:p>
        </w:tc>
        <w:tc>
          <w:tcPr>
            <w:tcW w:w="1050" w:type="dxa"/>
            <w:tcBorders>
              <w:left w:val="single" w:color="auto" w:sz="4" w:space="0"/>
            </w:tcBorders>
          </w:tcPr>
          <w:p w14:paraId="1E89CDD6">
            <w:pPr>
              <w:spacing w:before="156" w:beforeLines="50" w:line="360" w:lineRule="auto"/>
              <w:jc w:val="center"/>
              <w:rPr>
                <w:rFonts w:hint="eastAsia" w:ascii="仿宋" w:hAnsi="仿宋" w:eastAsia="仿宋" w:cs="仿宋"/>
                <w:sz w:val="24"/>
                <w:szCs w:val="24"/>
                <w:highlight w:val="none"/>
              </w:rPr>
            </w:pPr>
          </w:p>
        </w:tc>
        <w:tc>
          <w:tcPr>
            <w:tcW w:w="1215" w:type="dxa"/>
            <w:tcBorders>
              <w:right w:val="single" w:color="auto" w:sz="4" w:space="0"/>
            </w:tcBorders>
          </w:tcPr>
          <w:p w14:paraId="75209363">
            <w:pPr>
              <w:spacing w:before="156" w:beforeLines="50" w:line="360" w:lineRule="auto"/>
              <w:jc w:val="center"/>
              <w:rPr>
                <w:rFonts w:hint="eastAsia" w:ascii="仿宋" w:hAnsi="仿宋" w:eastAsia="仿宋" w:cs="仿宋"/>
                <w:sz w:val="24"/>
                <w:szCs w:val="24"/>
                <w:highlight w:val="none"/>
              </w:rPr>
            </w:pPr>
          </w:p>
        </w:tc>
        <w:tc>
          <w:tcPr>
            <w:tcW w:w="903" w:type="dxa"/>
            <w:tcBorders>
              <w:right w:val="single" w:color="auto" w:sz="4" w:space="0"/>
            </w:tcBorders>
          </w:tcPr>
          <w:p w14:paraId="2DD83216">
            <w:pPr>
              <w:spacing w:before="156" w:beforeLines="50" w:line="360" w:lineRule="auto"/>
              <w:jc w:val="center"/>
              <w:rPr>
                <w:rFonts w:hint="eastAsia" w:ascii="仿宋" w:hAnsi="仿宋" w:eastAsia="仿宋" w:cs="仿宋"/>
                <w:sz w:val="24"/>
                <w:szCs w:val="24"/>
                <w:highlight w:val="none"/>
              </w:rPr>
            </w:pPr>
          </w:p>
        </w:tc>
      </w:tr>
      <w:tr w14:paraId="77E57F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0133C0DE">
            <w:pPr>
              <w:spacing w:before="156" w:beforeLines="50" w:line="360" w:lineRule="auto"/>
              <w:jc w:val="center"/>
              <w:rPr>
                <w:rFonts w:hint="eastAsia" w:ascii="仿宋" w:hAnsi="仿宋" w:eastAsia="仿宋" w:cs="仿宋"/>
                <w:sz w:val="24"/>
                <w:szCs w:val="24"/>
                <w:highlight w:val="none"/>
              </w:rPr>
            </w:pPr>
          </w:p>
        </w:tc>
        <w:tc>
          <w:tcPr>
            <w:tcW w:w="960" w:type="dxa"/>
          </w:tcPr>
          <w:p w14:paraId="650BCE8C">
            <w:pPr>
              <w:spacing w:before="156" w:beforeLines="50" w:line="360" w:lineRule="auto"/>
              <w:jc w:val="center"/>
              <w:rPr>
                <w:rFonts w:hint="eastAsia" w:ascii="仿宋" w:hAnsi="仿宋" w:eastAsia="仿宋" w:cs="仿宋"/>
                <w:sz w:val="24"/>
                <w:szCs w:val="24"/>
                <w:highlight w:val="none"/>
              </w:rPr>
            </w:pPr>
          </w:p>
        </w:tc>
        <w:tc>
          <w:tcPr>
            <w:tcW w:w="1485" w:type="dxa"/>
            <w:tcBorders>
              <w:right w:val="single" w:color="auto" w:sz="4" w:space="0"/>
            </w:tcBorders>
          </w:tcPr>
          <w:p w14:paraId="467C37DB">
            <w:pPr>
              <w:spacing w:before="156" w:beforeLines="50" w:line="360" w:lineRule="auto"/>
              <w:jc w:val="center"/>
              <w:rPr>
                <w:rFonts w:hint="eastAsia" w:ascii="仿宋" w:hAnsi="仿宋" w:eastAsia="仿宋" w:cs="仿宋"/>
                <w:sz w:val="24"/>
                <w:szCs w:val="24"/>
                <w:highlight w:val="none"/>
              </w:rPr>
            </w:pPr>
          </w:p>
        </w:tc>
        <w:tc>
          <w:tcPr>
            <w:tcW w:w="1695" w:type="dxa"/>
            <w:tcBorders>
              <w:left w:val="single" w:color="auto" w:sz="4" w:space="0"/>
            </w:tcBorders>
          </w:tcPr>
          <w:p w14:paraId="534C8303">
            <w:pPr>
              <w:spacing w:before="156" w:beforeLines="50" w:line="360" w:lineRule="auto"/>
              <w:jc w:val="center"/>
              <w:rPr>
                <w:rFonts w:hint="eastAsia" w:ascii="仿宋" w:hAnsi="仿宋" w:eastAsia="仿宋" w:cs="仿宋"/>
                <w:sz w:val="24"/>
                <w:szCs w:val="24"/>
                <w:highlight w:val="none"/>
              </w:rPr>
            </w:pPr>
          </w:p>
        </w:tc>
        <w:tc>
          <w:tcPr>
            <w:tcW w:w="825" w:type="dxa"/>
            <w:tcBorders>
              <w:right w:val="single" w:color="auto" w:sz="4" w:space="0"/>
            </w:tcBorders>
          </w:tcPr>
          <w:p w14:paraId="520C9AAD">
            <w:pPr>
              <w:spacing w:before="156" w:beforeLines="50" w:line="360" w:lineRule="auto"/>
              <w:jc w:val="center"/>
              <w:rPr>
                <w:rFonts w:hint="eastAsia" w:ascii="仿宋" w:hAnsi="仿宋" w:eastAsia="仿宋" w:cs="仿宋"/>
                <w:sz w:val="24"/>
                <w:szCs w:val="24"/>
                <w:highlight w:val="none"/>
              </w:rPr>
            </w:pPr>
          </w:p>
        </w:tc>
        <w:tc>
          <w:tcPr>
            <w:tcW w:w="735" w:type="dxa"/>
            <w:tcBorders>
              <w:left w:val="single" w:color="auto" w:sz="4" w:space="0"/>
              <w:right w:val="single" w:color="auto" w:sz="4" w:space="0"/>
            </w:tcBorders>
          </w:tcPr>
          <w:p w14:paraId="36CC2299">
            <w:pPr>
              <w:spacing w:before="156" w:beforeLines="50" w:line="360" w:lineRule="auto"/>
              <w:jc w:val="center"/>
              <w:rPr>
                <w:rFonts w:hint="eastAsia" w:ascii="仿宋" w:hAnsi="仿宋" w:eastAsia="仿宋" w:cs="仿宋"/>
                <w:sz w:val="24"/>
                <w:szCs w:val="24"/>
                <w:highlight w:val="none"/>
              </w:rPr>
            </w:pPr>
          </w:p>
        </w:tc>
        <w:tc>
          <w:tcPr>
            <w:tcW w:w="1050" w:type="dxa"/>
            <w:tcBorders>
              <w:left w:val="single" w:color="auto" w:sz="4" w:space="0"/>
            </w:tcBorders>
          </w:tcPr>
          <w:p w14:paraId="14FB1D1B">
            <w:pPr>
              <w:spacing w:before="156" w:beforeLines="50" w:line="360" w:lineRule="auto"/>
              <w:jc w:val="center"/>
              <w:rPr>
                <w:rFonts w:hint="eastAsia" w:ascii="仿宋" w:hAnsi="仿宋" w:eastAsia="仿宋" w:cs="仿宋"/>
                <w:sz w:val="24"/>
                <w:szCs w:val="24"/>
                <w:highlight w:val="none"/>
              </w:rPr>
            </w:pPr>
          </w:p>
        </w:tc>
        <w:tc>
          <w:tcPr>
            <w:tcW w:w="1215" w:type="dxa"/>
            <w:tcBorders>
              <w:right w:val="single" w:color="auto" w:sz="4" w:space="0"/>
            </w:tcBorders>
          </w:tcPr>
          <w:p w14:paraId="1B0E8E73">
            <w:pPr>
              <w:spacing w:before="156" w:beforeLines="50" w:line="360" w:lineRule="auto"/>
              <w:jc w:val="center"/>
              <w:rPr>
                <w:rFonts w:hint="eastAsia" w:ascii="仿宋" w:hAnsi="仿宋" w:eastAsia="仿宋" w:cs="仿宋"/>
                <w:sz w:val="24"/>
                <w:szCs w:val="24"/>
                <w:highlight w:val="none"/>
              </w:rPr>
            </w:pPr>
          </w:p>
        </w:tc>
        <w:tc>
          <w:tcPr>
            <w:tcW w:w="903" w:type="dxa"/>
            <w:tcBorders>
              <w:right w:val="single" w:color="auto" w:sz="4" w:space="0"/>
            </w:tcBorders>
          </w:tcPr>
          <w:p w14:paraId="45DDC267">
            <w:pPr>
              <w:spacing w:before="156" w:beforeLines="50" w:line="360" w:lineRule="auto"/>
              <w:jc w:val="center"/>
              <w:rPr>
                <w:rFonts w:hint="eastAsia" w:ascii="仿宋" w:hAnsi="仿宋" w:eastAsia="仿宋" w:cs="仿宋"/>
                <w:sz w:val="24"/>
                <w:szCs w:val="24"/>
                <w:highlight w:val="none"/>
              </w:rPr>
            </w:pPr>
          </w:p>
        </w:tc>
      </w:tr>
      <w:tr w14:paraId="10CDC6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49CB09C2">
            <w:pPr>
              <w:spacing w:before="156" w:beforeLines="50" w:line="360" w:lineRule="auto"/>
              <w:jc w:val="center"/>
              <w:rPr>
                <w:rFonts w:hint="eastAsia" w:ascii="仿宋" w:hAnsi="仿宋" w:eastAsia="仿宋" w:cs="仿宋"/>
                <w:sz w:val="24"/>
                <w:szCs w:val="24"/>
                <w:highlight w:val="none"/>
              </w:rPr>
            </w:pPr>
          </w:p>
        </w:tc>
        <w:tc>
          <w:tcPr>
            <w:tcW w:w="960" w:type="dxa"/>
          </w:tcPr>
          <w:p w14:paraId="3EFE2F71">
            <w:pPr>
              <w:spacing w:before="156" w:beforeLines="50" w:line="360" w:lineRule="auto"/>
              <w:jc w:val="center"/>
              <w:rPr>
                <w:rFonts w:hint="eastAsia" w:ascii="仿宋" w:hAnsi="仿宋" w:eastAsia="仿宋" w:cs="仿宋"/>
                <w:sz w:val="24"/>
                <w:szCs w:val="24"/>
                <w:highlight w:val="none"/>
              </w:rPr>
            </w:pPr>
          </w:p>
        </w:tc>
        <w:tc>
          <w:tcPr>
            <w:tcW w:w="1485" w:type="dxa"/>
            <w:tcBorders>
              <w:right w:val="single" w:color="auto" w:sz="4" w:space="0"/>
            </w:tcBorders>
          </w:tcPr>
          <w:p w14:paraId="49B4FAE7">
            <w:pPr>
              <w:spacing w:before="156" w:beforeLines="50" w:line="360" w:lineRule="auto"/>
              <w:jc w:val="center"/>
              <w:rPr>
                <w:rFonts w:hint="eastAsia" w:ascii="仿宋" w:hAnsi="仿宋" w:eastAsia="仿宋" w:cs="仿宋"/>
                <w:sz w:val="24"/>
                <w:szCs w:val="24"/>
                <w:highlight w:val="none"/>
              </w:rPr>
            </w:pPr>
          </w:p>
        </w:tc>
        <w:tc>
          <w:tcPr>
            <w:tcW w:w="1695" w:type="dxa"/>
            <w:tcBorders>
              <w:left w:val="single" w:color="auto" w:sz="4" w:space="0"/>
            </w:tcBorders>
          </w:tcPr>
          <w:p w14:paraId="13B4ED7C">
            <w:pPr>
              <w:spacing w:before="156" w:beforeLines="50" w:line="360" w:lineRule="auto"/>
              <w:jc w:val="center"/>
              <w:rPr>
                <w:rFonts w:hint="eastAsia" w:ascii="仿宋" w:hAnsi="仿宋" w:eastAsia="仿宋" w:cs="仿宋"/>
                <w:sz w:val="24"/>
                <w:szCs w:val="24"/>
                <w:highlight w:val="none"/>
              </w:rPr>
            </w:pPr>
          </w:p>
        </w:tc>
        <w:tc>
          <w:tcPr>
            <w:tcW w:w="825" w:type="dxa"/>
            <w:tcBorders>
              <w:right w:val="single" w:color="auto" w:sz="4" w:space="0"/>
            </w:tcBorders>
          </w:tcPr>
          <w:p w14:paraId="3EF725FA">
            <w:pPr>
              <w:spacing w:before="156" w:beforeLines="50" w:line="360" w:lineRule="auto"/>
              <w:jc w:val="center"/>
              <w:rPr>
                <w:rFonts w:hint="eastAsia" w:ascii="仿宋" w:hAnsi="仿宋" w:eastAsia="仿宋" w:cs="仿宋"/>
                <w:sz w:val="24"/>
                <w:szCs w:val="24"/>
                <w:highlight w:val="none"/>
              </w:rPr>
            </w:pPr>
          </w:p>
        </w:tc>
        <w:tc>
          <w:tcPr>
            <w:tcW w:w="735" w:type="dxa"/>
            <w:tcBorders>
              <w:left w:val="single" w:color="auto" w:sz="4" w:space="0"/>
              <w:right w:val="single" w:color="auto" w:sz="4" w:space="0"/>
            </w:tcBorders>
          </w:tcPr>
          <w:p w14:paraId="4CD0E68A">
            <w:pPr>
              <w:spacing w:before="156" w:beforeLines="50" w:line="360" w:lineRule="auto"/>
              <w:jc w:val="center"/>
              <w:rPr>
                <w:rFonts w:hint="eastAsia" w:ascii="仿宋" w:hAnsi="仿宋" w:eastAsia="仿宋" w:cs="仿宋"/>
                <w:sz w:val="24"/>
                <w:szCs w:val="24"/>
                <w:highlight w:val="none"/>
              </w:rPr>
            </w:pPr>
          </w:p>
        </w:tc>
        <w:tc>
          <w:tcPr>
            <w:tcW w:w="1050" w:type="dxa"/>
            <w:tcBorders>
              <w:left w:val="single" w:color="auto" w:sz="4" w:space="0"/>
            </w:tcBorders>
          </w:tcPr>
          <w:p w14:paraId="6B9F8518">
            <w:pPr>
              <w:spacing w:before="156" w:beforeLines="50" w:line="360" w:lineRule="auto"/>
              <w:jc w:val="center"/>
              <w:rPr>
                <w:rFonts w:hint="eastAsia" w:ascii="仿宋" w:hAnsi="仿宋" w:eastAsia="仿宋" w:cs="仿宋"/>
                <w:sz w:val="24"/>
                <w:szCs w:val="24"/>
                <w:highlight w:val="none"/>
              </w:rPr>
            </w:pPr>
          </w:p>
        </w:tc>
        <w:tc>
          <w:tcPr>
            <w:tcW w:w="1215" w:type="dxa"/>
            <w:tcBorders>
              <w:right w:val="single" w:color="auto" w:sz="4" w:space="0"/>
            </w:tcBorders>
          </w:tcPr>
          <w:p w14:paraId="113E993E">
            <w:pPr>
              <w:spacing w:before="156" w:beforeLines="50" w:line="360" w:lineRule="auto"/>
              <w:jc w:val="center"/>
              <w:rPr>
                <w:rFonts w:hint="eastAsia" w:ascii="仿宋" w:hAnsi="仿宋" w:eastAsia="仿宋" w:cs="仿宋"/>
                <w:sz w:val="24"/>
                <w:szCs w:val="24"/>
                <w:highlight w:val="none"/>
              </w:rPr>
            </w:pPr>
          </w:p>
        </w:tc>
        <w:tc>
          <w:tcPr>
            <w:tcW w:w="903" w:type="dxa"/>
            <w:tcBorders>
              <w:right w:val="single" w:color="auto" w:sz="4" w:space="0"/>
            </w:tcBorders>
          </w:tcPr>
          <w:p w14:paraId="54A872A8">
            <w:pPr>
              <w:spacing w:before="156" w:beforeLines="50" w:line="360" w:lineRule="auto"/>
              <w:jc w:val="center"/>
              <w:rPr>
                <w:rFonts w:hint="eastAsia" w:ascii="仿宋" w:hAnsi="仿宋" w:eastAsia="仿宋" w:cs="仿宋"/>
                <w:sz w:val="24"/>
                <w:szCs w:val="24"/>
                <w:highlight w:val="none"/>
              </w:rPr>
            </w:pPr>
          </w:p>
        </w:tc>
      </w:tr>
      <w:tr w14:paraId="22AB61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675" w:type="dxa"/>
          </w:tcPr>
          <w:p w14:paraId="4D416240">
            <w:pPr>
              <w:spacing w:before="156" w:beforeLines="50" w:line="360" w:lineRule="auto"/>
              <w:jc w:val="center"/>
              <w:rPr>
                <w:rFonts w:hint="eastAsia" w:ascii="仿宋" w:hAnsi="仿宋" w:eastAsia="仿宋" w:cs="仿宋"/>
                <w:sz w:val="24"/>
                <w:szCs w:val="24"/>
                <w:highlight w:val="none"/>
              </w:rPr>
            </w:pPr>
          </w:p>
        </w:tc>
        <w:tc>
          <w:tcPr>
            <w:tcW w:w="960" w:type="dxa"/>
          </w:tcPr>
          <w:p w14:paraId="052D8D76">
            <w:pPr>
              <w:spacing w:before="156" w:beforeLines="50" w:line="360" w:lineRule="auto"/>
              <w:jc w:val="center"/>
              <w:rPr>
                <w:rFonts w:hint="eastAsia" w:ascii="仿宋" w:hAnsi="仿宋" w:eastAsia="仿宋" w:cs="仿宋"/>
                <w:sz w:val="24"/>
                <w:szCs w:val="24"/>
                <w:highlight w:val="none"/>
              </w:rPr>
            </w:pPr>
          </w:p>
        </w:tc>
        <w:tc>
          <w:tcPr>
            <w:tcW w:w="1485" w:type="dxa"/>
            <w:tcBorders>
              <w:right w:val="single" w:color="auto" w:sz="4" w:space="0"/>
            </w:tcBorders>
          </w:tcPr>
          <w:p w14:paraId="4A1F4716">
            <w:pPr>
              <w:spacing w:before="156" w:beforeLines="50" w:line="360" w:lineRule="auto"/>
              <w:jc w:val="center"/>
              <w:rPr>
                <w:rFonts w:hint="eastAsia" w:ascii="仿宋" w:hAnsi="仿宋" w:eastAsia="仿宋" w:cs="仿宋"/>
                <w:sz w:val="24"/>
                <w:szCs w:val="24"/>
                <w:highlight w:val="none"/>
              </w:rPr>
            </w:pPr>
          </w:p>
        </w:tc>
        <w:tc>
          <w:tcPr>
            <w:tcW w:w="1695" w:type="dxa"/>
            <w:tcBorders>
              <w:left w:val="single" w:color="auto" w:sz="4" w:space="0"/>
            </w:tcBorders>
          </w:tcPr>
          <w:p w14:paraId="0AE380B9">
            <w:pPr>
              <w:spacing w:before="156" w:beforeLines="50" w:line="360" w:lineRule="auto"/>
              <w:jc w:val="center"/>
              <w:rPr>
                <w:rFonts w:hint="eastAsia" w:ascii="仿宋" w:hAnsi="仿宋" w:eastAsia="仿宋" w:cs="仿宋"/>
                <w:sz w:val="24"/>
                <w:szCs w:val="24"/>
                <w:highlight w:val="none"/>
              </w:rPr>
            </w:pPr>
          </w:p>
        </w:tc>
        <w:tc>
          <w:tcPr>
            <w:tcW w:w="825" w:type="dxa"/>
            <w:tcBorders>
              <w:right w:val="single" w:color="auto" w:sz="4" w:space="0"/>
            </w:tcBorders>
          </w:tcPr>
          <w:p w14:paraId="7351B30A">
            <w:pPr>
              <w:spacing w:before="156" w:beforeLines="50" w:line="360" w:lineRule="auto"/>
              <w:jc w:val="center"/>
              <w:rPr>
                <w:rFonts w:hint="eastAsia" w:ascii="仿宋" w:hAnsi="仿宋" w:eastAsia="仿宋" w:cs="仿宋"/>
                <w:sz w:val="24"/>
                <w:szCs w:val="24"/>
                <w:highlight w:val="none"/>
              </w:rPr>
            </w:pPr>
          </w:p>
        </w:tc>
        <w:tc>
          <w:tcPr>
            <w:tcW w:w="735" w:type="dxa"/>
            <w:tcBorders>
              <w:left w:val="single" w:color="auto" w:sz="4" w:space="0"/>
              <w:right w:val="single" w:color="auto" w:sz="4" w:space="0"/>
            </w:tcBorders>
          </w:tcPr>
          <w:p w14:paraId="5CF9F26F">
            <w:pPr>
              <w:spacing w:before="156" w:beforeLines="50" w:line="360" w:lineRule="auto"/>
              <w:jc w:val="center"/>
              <w:rPr>
                <w:rFonts w:hint="eastAsia" w:ascii="仿宋" w:hAnsi="仿宋" w:eastAsia="仿宋" w:cs="仿宋"/>
                <w:sz w:val="24"/>
                <w:szCs w:val="24"/>
                <w:highlight w:val="none"/>
              </w:rPr>
            </w:pPr>
          </w:p>
        </w:tc>
        <w:tc>
          <w:tcPr>
            <w:tcW w:w="1050" w:type="dxa"/>
            <w:tcBorders>
              <w:left w:val="single" w:color="auto" w:sz="4" w:space="0"/>
            </w:tcBorders>
          </w:tcPr>
          <w:p w14:paraId="388000FC">
            <w:pPr>
              <w:spacing w:before="156" w:beforeLines="50" w:line="360" w:lineRule="auto"/>
              <w:jc w:val="center"/>
              <w:rPr>
                <w:rFonts w:hint="eastAsia" w:ascii="仿宋" w:hAnsi="仿宋" w:eastAsia="仿宋" w:cs="仿宋"/>
                <w:sz w:val="24"/>
                <w:szCs w:val="24"/>
                <w:highlight w:val="none"/>
              </w:rPr>
            </w:pPr>
          </w:p>
        </w:tc>
        <w:tc>
          <w:tcPr>
            <w:tcW w:w="1215" w:type="dxa"/>
            <w:tcBorders>
              <w:right w:val="single" w:color="auto" w:sz="4" w:space="0"/>
            </w:tcBorders>
          </w:tcPr>
          <w:p w14:paraId="2AD9CAE4">
            <w:pPr>
              <w:spacing w:before="156" w:beforeLines="50" w:line="360" w:lineRule="auto"/>
              <w:jc w:val="center"/>
              <w:rPr>
                <w:rFonts w:hint="eastAsia" w:ascii="仿宋" w:hAnsi="仿宋" w:eastAsia="仿宋" w:cs="仿宋"/>
                <w:sz w:val="24"/>
                <w:szCs w:val="24"/>
                <w:highlight w:val="none"/>
              </w:rPr>
            </w:pPr>
          </w:p>
        </w:tc>
        <w:tc>
          <w:tcPr>
            <w:tcW w:w="903" w:type="dxa"/>
            <w:tcBorders>
              <w:right w:val="single" w:color="auto" w:sz="4" w:space="0"/>
            </w:tcBorders>
          </w:tcPr>
          <w:p w14:paraId="3ACC07B2">
            <w:pPr>
              <w:spacing w:before="156" w:beforeLines="50" w:line="360" w:lineRule="auto"/>
              <w:jc w:val="center"/>
              <w:rPr>
                <w:rFonts w:hint="eastAsia" w:ascii="仿宋" w:hAnsi="仿宋" w:eastAsia="仿宋" w:cs="仿宋"/>
                <w:sz w:val="24"/>
                <w:szCs w:val="24"/>
                <w:highlight w:val="none"/>
              </w:rPr>
            </w:pPr>
          </w:p>
        </w:tc>
      </w:tr>
    </w:tbl>
    <w:p w14:paraId="2B04E47B">
      <w:pPr>
        <w:pStyle w:val="4"/>
        <w:ind w:left="1301"/>
        <w:rPr>
          <w:rFonts w:hint="eastAsia" w:ascii="仿宋" w:hAnsi="仿宋" w:eastAsia="仿宋" w:cs="仿宋"/>
          <w:sz w:val="24"/>
          <w:szCs w:val="24"/>
          <w:highlight w:val="none"/>
        </w:rPr>
      </w:pPr>
    </w:p>
    <w:p w14:paraId="12384E31">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八、包装要求</w:t>
      </w:r>
    </w:p>
    <w:p w14:paraId="6369A5F3">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1、除合同另有规定外，供应商提供的全部货物，均应按标准保护措施进行包装，并确保货物安全无损运至采购人指定地点。由于包装不良造成的损失和由此产生的费用均由供应商承担。</w:t>
      </w:r>
    </w:p>
    <w:p w14:paraId="6A6FEC87">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2、每一个包装箱内应附一份详细装箱单和质量合格证。</w:t>
      </w:r>
    </w:p>
    <w:p w14:paraId="19A9133E">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九、运输、安装、调试要求：</w:t>
      </w:r>
    </w:p>
    <w:p w14:paraId="16725284">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1、供应商根据产品特性，自行选择运输及包装方式，承担一切运输费用，包括从生产厂到采购人指定交货地点所需的装卸、运输（含保险费）及其他一切费用。</w:t>
      </w:r>
    </w:p>
    <w:p w14:paraId="5DB45024">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2、由供应商负责派技术人员到现场进行安装、调试至验收合格。供应商应在合同签订后一周内，向采购人提供安装、调试及试运行的进度计划表。</w:t>
      </w:r>
    </w:p>
    <w:p w14:paraId="5A90D2A4">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3、供货商必须无条件配合甲方做好货物配送、培训以及验收工作。供货商每迟交货一天罚款0.1%，迟交货超过30天，买方有权拒收。</w:t>
      </w:r>
    </w:p>
    <w:p w14:paraId="60D01192">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4、安装和调试期间所发生的费用均由供应商负责。</w:t>
      </w:r>
    </w:p>
    <w:p w14:paraId="62C500D2">
      <w:pPr>
        <w:tabs>
          <w:tab w:val="left" w:pos="84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5、供应商应对安装调试、整改等实施过程的安全负责，如发生人身伤亡、财产损失的由供应商负责解决并承担全部责任。</w:t>
      </w:r>
    </w:p>
    <w:p w14:paraId="5F1C1B77">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十、技术支持：</w:t>
      </w:r>
    </w:p>
    <w:p w14:paraId="7D742DF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提供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项目建设过程中一旦出现重大问题，项目总协调人应能及时赶到现场。供应商更换项目负责人和主要技术人员，须将变更人及其工作影响、替换人资历等情况以书面材料报告项目采购人审核，经同意后方可更换。因供应商的人员变更原因所造成的任何项目质量、进度滞后的后果，由供应商承担。</w:t>
      </w:r>
    </w:p>
    <w:p w14:paraId="58B0539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供应商在项目实施过程中，质量保障人员、资源不足或者执行不力，给项目质量带来的风险超出采购人认定的允许范围时，采购人可终止本项目的合作并进行索赔。</w:t>
      </w:r>
    </w:p>
    <w:p w14:paraId="2CC29B99">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十一、技术培训：</w:t>
      </w:r>
    </w:p>
    <w:p w14:paraId="08211FC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供应的产品需在培训基地培训的，供应商应按要求履行，培训产生的交通费、食宿费、培训费等均由供应商承担。</w:t>
      </w:r>
    </w:p>
    <w:p w14:paraId="3B14423D">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十二、技术资料要求：</w:t>
      </w:r>
    </w:p>
    <w:p w14:paraId="7D7408F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供应商应向采购人提供全套中文技术资料一套，其费用包括在合同总价款中：</w:t>
      </w:r>
    </w:p>
    <w:p w14:paraId="305AA241">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1、完整的产品操作使用手册、说明书和维护、修理技术文件、图纸、保修卡等；</w:t>
      </w:r>
    </w:p>
    <w:p w14:paraId="0FE1430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2、制造厂的检验、测试报告、产品检验合格证书，质量保证书等文件验收时需提供；</w:t>
      </w:r>
    </w:p>
    <w:p w14:paraId="57F3C04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3、必须的其它技术资料；</w:t>
      </w:r>
    </w:p>
    <w:p w14:paraId="6A6CBD4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4、产品验收标准；</w:t>
      </w:r>
    </w:p>
    <w:p w14:paraId="386A853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5、技术说明书；</w:t>
      </w:r>
    </w:p>
    <w:p w14:paraId="5D0AFF5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6、零部件目录；</w:t>
      </w:r>
    </w:p>
    <w:p w14:paraId="2B21DDB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7、备品备件、易损件清单；</w:t>
      </w:r>
    </w:p>
    <w:p w14:paraId="5722223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8、项目完工后提供验收报告；</w:t>
      </w:r>
    </w:p>
    <w:p w14:paraId="60C3553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9、合同中要求的其他文件资料。</w:t>
      </w:r>
    </w:p>
    <w:p w14:paraId="6019A21C">
      <w:pPr>
        <w:pStyle w:val="3"/>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十三、质保及维保服务（提供售后服务承诺书）：</w:t>
      </w:r>
    </w:p>
    <w:p w14:paraId="2765117C">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1、本项目的质保期为整</w:t>
      </w:r>
      <w:r>
        <w:rPr>
          <w:rFonts w:hint="eastAsia" w:ascii="仿宋" w:hAnsi="仿宋" w:eastAsia="仿宋" w:cs="仿宋"/>
          <w:color w:val="auto"/>
          <w:sz w:val="24"/>
          <w:szCs w:val="24"/>
          <w:highlight w:val="none"/>
        </w:rPr>
        <w:t>体验收合格后</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年。（单个产品若供应商提供的质保期超过</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年的，执行厂家规定，若国家有明确规定且高于此质保期的，执行国家规定）。</w:t>
      </w:r>
    </w:p>
    <w:p w14:paraId="1653F9B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color w:val="auto"/>
          <w:sz w:val="24"/>
          <w:szCs w:val="24"/>
          <w:highlight w:val="none"/>
        </w:rPr>
        <w:t>2、供应商提供的产品及材料必须保证质量可靠，为</w:t>
      </w:r>
      <w:r>
        <w:rPr>
          <w:rFonts w:hint="eastAsia" w:ascii="仿宋" w:hAnsi="仿宋" w:eastAsia="仿宋" w:cs="仿宋"/>
          <w:sz w:val="24"/>
          <w:szCs w:val="24"/>
          <w:highlight w:val="none"/>
        </w:rPr>
        <w:t>市场主流产品，进货渠道正常，配置合理齐全，应全面满足磋商文件的要求，磋商文件未明确要求的内容，采购人须按磋商产品主流标准配置或以采购人的补充要求为准。所供产品工艺质量应严格按国家最新发布的规范标准执行，如发生质量问题由供应商承担全部责任。采购人使用产品过程中因产品质量、产品缺陷及安装质量等造成人身伤亡、财产损失的，由供应商负责解决并承担全部责任。</w:t>
      </w:r>
    </w:p>
    <w:p w14:paraId="3A131ECB">
      <w:pPr>
        <w:tabs>
          <w:tab w:val="left" w:pos="10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3、供应商应提供可承担维修职能的公司或全资分公司或办事处，并驻守多名维护技术人员，并提供地点、联系人（常驻工程师）及联系电话（服务热线），随时解答各种疑问（需提供相关证明材料）。</w:t>
      </w:r>
    </w:p>
    <w:p w14:paraId="20B82C3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4、服务方式：现场服务，产品按照</w:t>
      </w:r>
      <w:r>
        <w:rPr>
          <w:rFonts w:hint="eastAsia" w:ascii="仿宋" w:hAnsi="仿宋" w:eastAsia="仿宋" w:cs="仿宋"/>
          <w:color w:val="000000"/>
          <w:sz w:val="24"/>
          <w:szCs w:val="24"/>
          <w:highlight w:val="none"/>
        </w:rPr>
        <w:t>国家三包规定执行，提供终身技术支持。在质保期内，如果发生故障，供应商要调查故障原因，由供应商提供的产品出现的问题，供应商须免费修复直至满足最终验收指标和性能。在质保期间，供应商须提供7*24小时售后服务，并且实现4小时内到达现场服务，产品故障修复时间不超过12小时，对无法立即修复的产品及时提供备件更换服务，备件提供时间不超过24小时，产品维修时间超过3天的，则须提供同档次的备用产品。</w:t>
      </w:r>
    </w:p>
    <w:p w14:paraId="5369E01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5、每年至少二次免费上门维护，回访。</w:t>
      </w:r>
    </w:p>
    <w:p w14:paraId="48D60D8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6、对于存在质量问题或者短少的产品，供应商应在接到采购人的通知2个日历日内负责修复，调换、重新制作或补齐。</w:t>
      </w:r>
    </w:p>
    <w:p w14:paraId="596BF1F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7、在最终验收后的质量保证期内，供应商应对设计、工艺或材料等的缺陷而产生的故障负责（负责解决并承担全部费用）。质保期满后如出现此类问题亦应负责。</w:t>
      </w:r>
    </w:p>
    <w:p w14:paraId="0F65677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8、供应商及磋商产品的制造厂商应承诺质保期、维保期的售后服务条款（包括具体的服务内容、故障响应时间、响应方式、维修措施及时限、维护响应计划等方面），未提供任何质保期、维保期的售后服务条款或提供的内容不实的以不满足磋商文件要求对待。</w:t>
      </w:r>
    </w:p>
    <w:p w14:paraId="232879F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9、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110CF5D7">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十四、验收:</w:t>
      </w:r>
    </w:p>
    <w:p w14:paraId="082B523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6F6C8CC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1、所验产品的指标、性能参数通过验收达不到磋商文件要求和磋商响应文件承诺的，或在使用中发现设计缺陷等，将视为产品验收不合格，供应商应无条件免费更换或退货。</w:t>
      </w:r>
    </w:p>
    <w:p w14:paraId="2712C36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2、若发现供应商有弄虚作假的，在磋商阶段故意或随意夸大产品技术性能，供应商应无条件退货，并赔偿采购人相应的损失。</w:t>
      </w:r>
    </w:p>
    <w:p w14:paraId="3EFACEA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3、验收标准：按磋商文件、磋商响应文件及澄清函等技术指标进行验收。各项指标均应符合验收标准及要求。</w:t>
      </w:r>
    </w:p>
    <w:p w14:paraId="73E8FE7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4、验收合格后，填写验收单，双方签字盖章后生效。</w:t>
      </w:r>
    </w:p>
    <w:p w14:paraId="18A70569">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5、验收依据：</w:t>
      </w:r>
    </w:p>
    <w:p w14:paraId="17DA3808">
      <w:pPr>
        <w:tabs>
          <w:tab w:val="left" w:pos="498"/>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1）合同文本；</w:t>
      </w:r>
    </w:p>
    <w:p w14:paraId="05795DF9">
      <w:pPr>
        <w:tabs>
          <w:tab w:val="left" w:pos="498"/>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2）磋商响应文件及澄清函、磋商文件；</w:t>
      </w:r>
    </w:p>
    <w:p w14:paraId="6889653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0BFF11D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1、所验产品的指标、性能参数通过验收达不到磋商文件要求和磋商响应文件承诺的，或在使用中发现设计缺陷等，将视为产品验收不合格，供应商应无条件免费更换或退货。</w:t>
      </w:r>
    </w:p>
    <w:p w14:paraId="7671C34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2、若发现供应商有弄虚作假的，在磋商阶段故意或随意夸大产品技术性能，供应商应无条件退货，并赔偿采购人相应的损失。</w:t>
      </w:r>
    </w:p>
    <w:p w14:paraId="5B813EC3">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3、验收标准：按磋商文件、磋商响应文件及澄清函等技术指标进行验收。各项指标均应符合验收标准及要求。</w:t>
      </w:r>
    </w:p>
    <w:p w14:paraId="09879A9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4、验收合格后，填写验收单，双方签字盖章后生效。</w:t>
      </w:r>
    </w:p>
    <w:p w14:paraId="0457383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5、验收依据：</w:t>
      </w:r>
    </w:p>
    <w:p w14:paraId="3E4F22D8">
      <w:pPr>
        <w:tabs>
          <w:tab w:val="left" w:pos="498"/>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1）合同文本；</w:t>
      </w:r>
    </w:p>
    <w:p w14:paraId="23D05FFB">
      <w:pPr>
        <w:tabs>
          <w:tab w:val="left" w:pos="498"/>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2）磋商响应文件及澄清函、磋商文件；</w:t>
      </w:r>
    </w:p>
    <w:p w14:paraId="12F9BECD">
      <w:pPr>
        <w:tabs>
          <w:tab w:val="left" w:pos="498"/>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3）国家和行业制定的相应的标准和规范；</w:t>
      </w:r>
    </w:p>
    <w:p w14:paraId="0BBBEE0E">
      <w:pPr>
        <w:tabs>
          <w:tab w:val="left" w:pos="498"/>
        </w:tabs>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4)产品验收清单（注明各部件的品名、数量、规格型号和原产地或生产厂家）。</w:t>
      </w:r>
    </w:p>
    <w:p w14:paraId="6145EA7F">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十五、保密</w:t>
      </w:r>
    </w:p>
    <w:p w14:paraId="6ADE205F">
      <w:pPr>
        <w:tabs>
          <w:tab w:val="left" w:pos="10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须严格保密，对工作中了解到的采购人的技术、机密等进行保密，不得向他人泄漏。本合同的解除或终止不免除供应商应承担的保密义务。</w:t>
      </w:r>
    </w:p>
    <w:p w14:paraId="7D40B9F3">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十六、知识产权</w:t>
      </w:r>
    </w:p>
    <w:p w14:paraId="0E6DCB7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15F88500">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十七、合同争议的解决：</w:t>
      </w:r>
      <w:r>
        <w:rPr>
          <w:rFonts w:hint="eastAsia" w:ascii="仿宋" w:hAnsi="仿宋" w:eastAsia="仿宋" w:cs="仿宋"/>
          <w:sz w:val="24"/>
          <w:szCs w:val="24"/>
          <w:highlight w:val="none"/>
        </w:rPr>
        <w:t>合同执行中发生争议的，当事人双方应协商解决，协商达不成一致时，可向当地行政仲裁机关申请仲裁或者向人民法院提请诉讼。</w:t>
      </w:r>
    </w:p>
    <w:p w14:paraId="789C078B">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十八、</w:t>
      </w:r>
      <w:r>
        <w:rPr>
          <w:rFonts w:hint="eastAsia" w:ascii="仿宋" w:hAnsi="仿宋" w:eastAsia="仿宋" w:cs="仿宋"/>
          <w:sz w:val="24"/>
          <w:szCs w:val="24"/>
          <w:highlight w:val="none"/>
        </w:rPr>
        <w:t xml:space="preserve">不可抗力情况下的免责约定，双方约定不可抗力情况包括：五级以上地震、大风、大雨、大雪。  </w:t>
      </w:r>
    </w:p>
    <w:p w14:paraId="356E6D67">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十九、</w:t>
      </w:r>
      <w:r>
        <w:rPr>
          <w:rFonts w:hint="eastAsia" w:ascii="仿宋" w:hAnsi="仿宋" w:eastAsia="仿宋" w:cs="仿宋"/>
          <w:sz w:val="24"/>
          <w:szCs w:val="24"/>
          <w:highlight w:val="none"/>
        </w:rPr>
        <w:t>合同执行中发生争议的，当事人双方应协商解决，协商达不成一致时，双方同意向西安市仲裁委员会申请仲裁。</w:t>
      </w:r>
    </w:p>
    <w:p w14:paraId="107C905D">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二十、违约责任：</w:t>
      </w:r>
      <w:r>
        <w:rPr>
          <w:rFonts w:hint="eastAsia" w:ascii="仿宋" w:hAnsi="仿宋" w:eastAsia="仿宋" w:cs="仿宋"/>
          <w:sz w:val="24"/>
          <w:szCs w:val="24"/>
          <w:highlight w:val="none"/>
        </w:rPr>
        <w:t>依据《中华人民共和国合同法》、《中华人民共和国政府采购法》的相关条款和本合同约定，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14:paraId="1AC23236">
      <w:pPr>
        <w:spacing w:line="360" w:lineRule="auto"/>
        <w:rPr>
          <w:rFonts w:hint="eastAsia" w:ascii="仿宋" w:hAnsi="仿宋" w:eastAsia="仿宋" w:cs="仿宋"/>
          <w:sz w:val="24"/>
          <w:szCs w:val="24"/>
          <w:highlight w:val="none"/>
        </w:rPr>
      </w:pPr>
      <w:r>
        <w:rPr>
          <w:rFonts w:hint="eastAsia" w:ascii="仿宋" w:hAnsi="仿宋" w:eastAsia="仿宋" w:cs="仿宋"/>
          <w:b/>
          <w:sz w:val="24"/>
          <w:szCs w:val="24"/>
          <w:highlight w:val="none"/>
        </w:rPr>
        <w:t>二十一、其他（</w:t>
      </w:r>
      <w:r>
        <w:rPr>
          <w:rFonts w:hint="eastAsia" w:ascii="仿宋" w:hAnsi="仿宋" w:eastAsia="仿宋" w:cs="仿宋"/>
          <w:sz w:val="24"/>
          <w:szCs w:val="24"/>
          <w:highlight w:val="none"/>
        </w:rPr>
        <w:t>在合同中具体明确）</w:t>
      </w:r>
    </w:p>
    <w:p w14:paraId="7910CE8D">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二十二、合同订立</w:t>
      </w:r>
    </w:p>
    <w:p w14:paraId="3F62BF54">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 订立时间：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591088C7">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 订立地点：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0717E29">
      <w:pPr>
        <w:tabs>
          <w:tab w:val="left" w:pos="980"/>
        </w:tabs>
        <w:kinsoku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 本合同一式</w:t>
      </w:r>
      <w:r>
        <w:rPr>
          <w:rFonts w:hint="eastAsia" w:ascii="仿宋" w:hAnsi="仿宋" w:eastAsia="仿宋" w:cs="仿宋"/>
          <w:sz w:val="24"/>
          <w:szCs w:val="24"/>
          <w:highlight w:val="none"/>
          <w:u w:val="single"/>
        </w:rPr>
        <w:t>陆</w:t>
      </w:r>
      <w:r>
        <w:rPr>
          <w:rFonts w:hint="eastAsia" w:ascii="仿宋" w:hAnsi="仿宋" w:eastAsia="仿宋" w:cs="仿宋"/>
          <w:sz w:val="24"/>
          <w:szCs w:val="24"/>
          <w:highlight w:val="none"/>
        </w:rPr>
        <w:t>份，其中，合同</w:t>
      </w:r>
      <w:r>
        <w:rPr>
          <w:rFonts w:hint="eastAsia" w:ascii="仿宋" w:hAnsi="仿宋" w:eastAsia="仿宋" w:cs="仿宋"/>
          <w:sz w:val="24"/>
          <w:szCs w:val="24"/>
          <w:highlight w:val="none"/>
          <w:u w:val="single"/>
        </w:rPr>
        <w:t>正本一式贰份</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副本一式肆份</w:t>
      </w:r>
      <w:r>
        <w:rPr>
          <w:rFonts w:hint="eastAsia" w:ascii="仿宋" w:hAnsi="仿宋" w:eastAsia="仿宋" w:cs="仿宋"/>
          <w:sz w:val="24"/>
          <w:szCs w:val="24"/>
          <w:highlight w:val="none"/>
        </w:rPr>
        <w:t>，具有同等法律效力，正副本不一致，以正本为准。采供双方各执</w:t>
      </w:r>
      <w:r>
        <w:rPr>
          <w:rFonts w:hint="eastAsia" w:ascii="仿宋" w:hAnsi="仿宋" w:eastAsia="仿宋" w:cs="仿宋"/>
          <w:sz w:val="24"/>
          <w:szCs w:val="24"/>
          <w:highlight w:val="none"/>
          <w:u w:val="single"/>
        </w:rPr>
        <w:t>正本壹份副本壹份</w:t>
      </w:r>
      <w:r>
        <w:rPr>
          <w:rFonts w:hint="eastAsia" w:ascii="仿宋" w:hAnsi="仿宋" w:eastAsia="仿宋" w:cs="仿宋"/>
          <w:sz w:val="24"/>
          <w:szCs w:val="24"/>
          <w:highlight w:val="none"/>
        </w:rPr>
        <w:t>，监管部门备案</w:t>
      </w:r>
      <w:r>
        <w:rPr>
          <w:rFonts w:hint="eastAsia" w:ascii="仿宋" w:hAnsi="仿宋" w:eastAsia="仿宋" w:cs="仿宋"/>
          <w:sz w:val="24"/>
          <w:szCs w:val="24"/>
          <w:highlight w:val="none"/>
          <w:u w:val="single"/>
        </w:rPr>
        <w:t>副本壹份</w:t>
      </w:r>
      <w:r>
        <w:rPr>
          <w:rFonts w:hint="eastAsia" w:ascii="仿宋" w:hAnsi="仿宋" w:eastAsia="仿宋" w:cs="仿宋"/>
          <w:sz w:val="24"/>
          <w:szCs w:val="24"/>
          <w:highlight w:val="none"/>
        </w:rPr>
        <w:t>、采购代理机构存档</w:t>
      </w:r>
      <w:r>
        <w:rPr>
          <w:rFonts w:hint="eastAsia" w:ascii="仿宋" w:hAnsi="仿宋" w:eastAsia="仿宋" w:cs="仿宋"/>
          <w:sz w:val="24"/>
          <w:szCs w:val="24"/>
          <w:highlight w:val="none"/>
          <w:u w:val="single"/>
        </w:rPr>
        <w:t>副本壹份</w:t>
      </w:r>
      <w:r>
        <w:rPr>
          <w:rFonts w:hint="eastAsia" w:ascii="仿宋" w:hAnsi="仿宋" w:eastAsia="仿宋" w:cs="仿宋"/>
          <w:sz w:val="24"/>
          <w:szCs w:val="24"/>
          <w:highlight w:val="none"/>
        </w:rPr>
        <w:t>。各方签字盖章后生效，合同执行完毕自动失效。（合同的服务承诺则长期有效）。</w:t>
      </w:r>
    </w:p>
    <w:p w14:paraId="033CA59B">
      <w:pPr>
        <w:tabs>
          <w:tab w:val="left" w:pos="980"/>
        </w:tabs>
        <w:kinsoku w:val="0"/>
        <w:spacing w:line="360" w:lineRule="auto"/>
        <w:ind w:firstLine="480" w:firstLineChars="200"/>
        <w:rPr>
          <w:rFonts w:hint="eastAsia" w:ascii="仿宋" w:hAnsi="仿宋" w:eastAsia="仿宋" w:cs="仿宋"/>
          <w:sz w:val="24"/>
          <w:szCs w:val="24"/>
          <w:highlight w:val="none"/>
        </w:rPr>
      </w:pPr>
    </w:p>
    <w:p w14:paraId="698BB1D8">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采购人：</w:t>
      </w:r>
      <w:r>
        <w:rPr>
          <w:rFonts w:hint="eastAsia" w:ascii="仿宋" w:hAnsi="仿宋" w:eastAsia="仿宋" w:cs="仿宋"/>
          <w:sz w:val="24"/>
          <w:szCs w:val="24"/>
          <w:highlight w:val="none"/>
          <w:u w:val="single"/>
        </w:rPr>
        <w:t xml:space="preserve">   （盖章）     </w:t>
      </w:r>
      <w:r>
        <w:rPr>
          <w:rFonts w:hint="eastAsia" w:ascii="仿宋" w:hAnsi="仿宋" w:eastAsia="仿宋" w:cs="仿宋"/>
          <w:sz w:val="24"/>
          <w:szCs w:val="24"/>
          <w:highlight w:val="none"/>
        </w:rPr>
        <w:t xml:space="preserve">           供应商：</w:t>
      </w:r>
      <w:r>
        <w:rPr>
          <w:rFonts w:hint="eastAsia" w:ascii="仿宋" w:hAnsi="仿宋" w:eastAsia="仿宋" w:cs="仿宋"/>
          <w:sz w:val="24"/>
          <w:szCs w:val="24"/>
          <w:highlight w:val="none"/>
          <w:u w:val="single"/>
        </w:rPr>
        <w:t xml:space="preserve">   （盖章）    </w:t>
      </w:r>
    </w:p>
    <w:p w14:paraId="41AEE2EA">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地址：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地址： </w:t>
      </w:r>
      <w:r>
        <w:rPr>
          <w:rFonts w:hint="eastAsia" w:ascii="仿宋" w:hAnsi="仿宋" w:eastAsia="仿宋" w:cs="仿宋"/>
          <w:sz w:val="24"/>
          <w:szCs w:val="24"/>
          <w:highlight w:val="none"/>
          <w:u w:val="single"/>
        </w:rPr>
        <w:t xml:space="preserve">                     </w:t>
      </w:r>
    </w:p>
    <w:p w14:paraId="5BE80858">
      <w:pPr>
        <w:adjustRightInd w:val="0"/>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邮政编码：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邮政编码：</w:t>
      </w:r>
      <w:r>
        <w:rPr>
          <w:rFonts w:hint="eastAsia" w:ascii="仿宋" w:hAnsi="仿宋" w:eastAsia="仿宋" w:cs="仿宋"/>
          <w:sz w:val="24"/>
          <w:szCs w:val="24"/>
          <w:highlight w:val="none"/>
          <w:u w:val="single"/>
        </w:rPr>
        <w:t xml:space="preserve">                  </w:t>
      </w:r>
    </w:p>
    <w:p w14:paraId="605257CD">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法定代表人或其授权         法定代表人或其授权</w:t>
      </w:r>
    </w:p>
    <w:p w14:paraId="41112097">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的代理人：</w:t>
      </w:r>
      <w:r>
        <w:rPr>
          <w:rFonts w:hint="eastAsia" w:ascii="仿宋" w:hAnsi="仿宋" w:eastAsia="仿宋" w:cs="仿宋"/>
          <w:sz w:val="24"/>
          <w:szCs w:val="24"/>
          <w:highlight w:val="none"/>
          <w:u w:val="single"/>
        </w:rPr>
        <w:t xml:space="preserve">（签字）      </w:t>
      </w:r>
      <w:r>
        <w:rPr>
          <w:rFonts w:hint="eastAsia" w:ascii="仿宋" w:hAnsi="仿宋" w:eastAsia="仿宋" w:cs="仿宋"/>
          <w:sz w:val="24"/>
          <w:szCs w:val="24"/>
          <w:highlight w:val="none"/>
        </w:rPr>
        <w:t xml:space="preserve">           的代理人：</w:t>
      </w:r>
      <w:r>
        <w:rPr>
          <w:rFonts w:hint="eastAsia" w:ascii="仿宋" w:hAnsi="仿宋" w:eastAsia="仿宋" w:cs="仿宋"/>
          <w:sz w:val="24"/>
          <w:szCs w:val="24"/>
          <w:highlight w:val="none"/>
          <w:u w:val="single"/>
        </w:rPr>
        <w:t xml:space="preserve">（签字）          </w:t>
      </w:r>
    </w:p>
    <w:p w14:paraId="2C9D5D44">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开户银行：</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开户银行：</w:t>
      </w:r>
      <w:r>
        <w:rPr>
          <w:rFonts w:hint="eastAsia" w:ascii="仿宋" w:hAnsi="仿宋" w:eastAsia="仿宋" w:cs="仿宋"/>
          <w:sz w:val="24"/>
          <w:szCs w:val="24"/>
          <w:highlight w:val="none"/>
          <w:u w:val="single"/>
        </w:rPr>
        <w:t xml:space="preserve">                  </w:t>
      </w:r>
    </w:p>
    <w:p w14:paraId="4EAFA481">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账号：</w:t>
      </w:r>
      <w:r>
        <w:rPr>
          <w:rFonts w:hint="eastAsia" w:ascii="仿宋" w:hAnsi="仿宋" w:eastAsia="仿宋" w:cs="仿宋"/>
          <w:sz w:val="24"/>
          <w:szCs w:val="24"/>
          <w:highlight w:val="none"/>
          <w:u w:val="single"/>
        </w:rPr>
        <w:t xml:space="preserve">                       </w:t>
      </w:r>
    </w:p>
    <w:p w14:paraId="67A82C82">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电话：</w:t>
      </w:r>
      <w:r>
        <w:rPr>
          <w:rFonts w:hint="eastAsia" w:ascii="仿宋" w:hAnsi="仿宋" w:eastAsia="仿宋" w:cs="仿宋"/>
          <w:sz w:val="24"/>
          <w:szCs w:val="24"/>
          <w:highlight w:val="none"/>
          <w:u w:val="single"/>
        </w:rPr>
        <w:t xml:space="preserve">                       </w:t>
      </w:r>
    </w:p>
    <w:p w14:paraId="6ACEA869">
      <w:pPr>
        <w:adjustRightInd w:val="0"/>
        <w:snapToGrid w:val="0"/>
        <w:spacing w:line="360" w:lineRule="auto"/>
        <w:ind w:firstLine="475" w:firstLineChars="198"/>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传真：</w:t>
      </w:r>
      <w:r>
        <w:rPr>
          <w:rFonts w:hint="eastAsia" w:ascii="仿宋" w:hAnsi="仿宋" w:eastAsia="仿宋" w:cs="仿宋"/>
          <w:sz w:val="24"/>
          <w:szCs w:val="24"/>
          <w:highlight w:val="none"/>
          <w:u w:val="single"/>
        </w:rPr>
        <w:t xml:space="preserve">                       </w:t>
      </w:r>
    </w:p>
    <w:p w14:paraId="2CDA83FF">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电子邮箱：</w:t>
      </w:r>
      <w:r>
        <w:rPr>
          <w:rFonts w:hint="eastAsia" w:ascii="仿宋" w:hAnsi="仿宋" w:eastAsia="仿宋" w:cs="仿宋"/>
          <w:sz w:val="24"/>
          <w:szCs w:val="24"/>
          <w:highlight w:val="none"/>
          <w:u w:val="single"/>
        </w:rPr>
        <w:t xml:space="preserve">                  </w:t>
      </w:r>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232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0"/>
    <w:rPr>
      <w:rFonts w:hAnsi="Courier New" w:eastAsiaTheme="minorEastAsia" w:cstheme="minorBidi"/>
      <w:kern w:val="2"/>
      <w:sz w:val="21"/>
      <w:szCs w:val="22"/>
    </w:rPr>
  </w:style>
  <w:style w:type="paragraph" w:styleId="4">
    <w:name w:val="Body Text Indent 2"/>
    <w:basedOn w:val="1"/>
    <w:qFormat/>
    <w:uiPriority w:val="99"/>
    <w:pPr>
      <w:tabs>
        <w:tab w:val="left" w:pos="5625"/>
      </w:tabs>
      <w:ind w:left="1138" w:leftChars="542"/>
    </w:pPr>
    <w:rPr>
      <w:rFonts w:asciiTheme="minorHAnsi" w:hAnsiTheme="minorHAnsi" w:eastAsiaTheme="minorEastAsia" w:cstheme="minorBidi"/>
      <w:kern w:val="2"/>
      <w:szCs w:val="22"/>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Office_12.1.0.25860_F1E327BC-269C-435d-A152-05C5408002CA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2026-05-07T01:44:58Z</dcterms:created>
  <dc:creator>Administrator</dc:creator>
  <cp:lastModifiedBy>陕西中技招标有限公司</cp:lastModifiedBy>
  <dcterms:modified xsi:type="dcterms:W3CDTF">2026-05-07T01:45:10Z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2052-12.1.0.25860</vt:lpwstr>
  </property>
  <property fmtid="{D5CDD505-2E9C-101B-9397-08002B2CF9AE}" pid="3" name="KSOTemplateDocerSaveRecord">
    <vt:lpwstr>eyJoZGlkIjoiNzg2NmMxNjQ3YjEwMWQ0NzY0ZGIyNjIyNDMzNDY3MjciLCJ1c2VySWQiOiI0ODM0NjExNDgifQ==</vt:lpwstr>
  </property>
  <property fmtid="{D5CDD505-2E9C-101B-9397-08002B2CF9AE}" pid="4" name="ICV">
    <vt:lpwstr>05C53F2BE0DC4BA29FB46443198C995F_12</vt:lpwstr>
  </property>
</Properties>
</file>