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版本号：HXTDDY2026156720260825001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“陕企通”平台运营服务项目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HXTDDY20261567</w:t>
      </w:r>
      <w:r>
        <w:br/>
      </w:r>
      <w:r>
        <w:br/>
      </w:r>
      <w:r>
        <w:br/>
      </w:r>
    </w:p>
    <w:p>
      <w:pPr>
        <w:pStyle w:val="null3"/>
        <w:jc w:val="center"/>
        <w:outlineLvl w:val="5"/>
      </w:pPr>
      <w:r>
        <w:rPr>
          <w:rFonts w:ascii="仿宋_GB2312" w:hAnsi="仿宋_GB2312" w:cs="仿宋_GB2312" w:eastAsia="仿宋_GB2312"/>
          <w:sz w:val="15"/>
          <w:b/>
        </w:rPr>
        <w:t>陕西省工业和信息化厅机关</w:t>
      </w:r>
    </w:p>
    <w:p>
      <w:pPr>
        <w:pStyle w:val="null3"/>
        <w:jc w:val="center"/>
        <w:outlineLvl w:val="5"/>
      </w:pPr>
      <w:r>
        <w:rPr>
          <w:rFonts w:ascii="仿宋_GB2312" w:hAnsi="仿宋_GB2312" w:cs="仿宋_GB2312" w:eastAsia="仿宋_GB2312"/>
          <w:sz w:val="15"/>
          <w:b/>
        </w:rPr>
        <w:t>陕西鸿信泰鼎建设项目管理有限公司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“陕企通”平台运营服务项目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HXTDDY20261567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“陕企通”平台运营服务项目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2023年，为加快构建服务型政府，持续优化营商环境，陕西省委、省政府印发《大力服务民营经济高质量发展十条措施》，提出全面拓展提升“陕企通”平台综合服务功能，建成横向跨部门、纵向跨层级的“一站式”民营企业服务和政策信息发布及推送总平台。按照陕西省委、省政府安排部署，陕西省工业和信息化厅牵头组织推进“陕企通”平台升级建设工作。为保障“陕企通”平台有序运行，陕西省工业和信息化厅拟委托专业机构开展“陕企通”平台运营服务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2、法定代表人授权书：供应商应授权合法的人员参加，其中法定代表人直接参加的，须出具法人身份证，并与营业执照上信息一致。法定代表人授权代表参加的，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p>
      <w:pPr>
        <w:pStyle w:val="null3"/>
      </w:pPr>
      <w:r>
        <w:rPr>
          <w:rFonts w:ascii="仿宋_GB2312" w:hAnsi="仿宋_GB2312" w:cs="仿宋_GB2312" w:eastAsia="仿宋_GB2312"/>
        </w:rPr>
        <w:t>3、控股、管理关系：供应商不得存在下列情形：单位负责人为同一人或者存在直接控股、管理关系的不同供应商，不得同时参加本项目采购活动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029-63916835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宜倩、赵磊、何阳、房亚宁、方湖（项目负责人）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按照《国家发改委文件发改价格[2011]534号文件》及《国家计委价格[2002]1980号文件》规定标准下浮18.00%，（若单项目服务费按承诺收费标准计算不足4000.00元按4000.00元计取），由成交供应商向代理机构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联系人：王彤</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地址：书面材料送至西安市高新区沣惠南路18号唐沣国际广场D座13楼1301室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2023年，为加快构建服务型政府，持续优化营商环境，陕西省委、省政府印发《大力服务民营经济高质量发展十条措施》，提出全面拓展提升“陕企通”平台综合服务功能，建成横向跨部门、纵向跨层级的“一站式”民营企业服务和政策信息发布及推送总平台。按照陕西省委、省政府安排部署，陕西省工业和信息化厅牵头组织推进“陕企通”平台升级建设工作。为保障“陕企通”平台有序运行，陕西省工业和信息化厅拟委托专业机构开展“陕企通”平台运营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“陕企通”平台运营服务项目</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标的名称：“陕企通”平台运营服务项目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采购内容及要求</w:t>
            </w:r>
          </w:p>
          <w:p>
            <w:pPr>
              <w:pStyle w:val="null3"/>
              <w:ind w:firstLine="422"/>
              <w:jc w:val="both"/>
            </w:pPr>
            <w:r>
              <w:rPr>
                <w:rFonts w:ascii="仿宋_GB2312" w:hAnsi="仿宋_GB2312" w:cs="仿宋_GB2312" w:eastAsia="仿宋_GB2312"/>
                <w:sz w:val="21"/>
                <w:b/>
              </w:rPr>
              <w:t>一、采购内容</w:t>
            </w:r>
          </w:p>
          <w:p>
            <w:pPr>
              <w:pStyle w:val="null3"/>
              <w:ind w:firstLine="420"/>
              <w:jc w:val="both"/>
            </w:pPr>
            <w:r>
              <w:rPr>
                <w:rFonts w:ascii="仿宋_GB2312" w:hAnsi="仿宋_GB2312" w:cs="仿宋_GB2312" w:eastAsia="仿宋_GB2312"/>
                <w:sz w:val="21"/>
              </w:rPr>
              <w:t>1.为“陕企通”平台提供整体运营服务，主要包含以下工作内容：企业诉求受理、分派、转办、督办、回访等全流程闭环管理；搜集并上传国家级涉企政策，对省、市、县各级部门上传的政策进行审核、拆解与标签分类，解读涉企政策或转发官方政策解读材料；负责“获融资、找培训、招人才、促供需”等功能模块、特色专区及相关平台的日常运营；承担用户日常管理、各模块业务数据审核维护工作，并组织开展各级端口、诉求政策专员的相关培训等。</w:t>
            </w:r>
          </w:p>
          <w:p>
            <w:pPr>
              <w:pStyle w:val="null3"/>
              <w:ind w:firstLine="420"/>
              <w:jc w:val="both"/>
            </w:pPr>
            <w:r>
              <w:rPr>
                <w:rFonts w:ascii="仿宋_GB2312" w:hAnsi="仿宋_GB2312" w:cs="仿宋_GB2312" w:eastAsia="仿宋_GB2312"/>
                <w:sz w:val="21"/>
              </w:rPr>
              <w:t>2.内容运营保障服务，具体包含以下事项：保障“陕企通”三端内容按时更新；制作活动与政策相关的宣传海报及专栏；策划组织线上线下各类服务活动。</w:t>
            </w:r>
          </w:p>
          <w:p>
            <w:pPr>
              <w:pStyle w:val="null3"/>
              <w:ind w:firstLine="420"/>
              <w:jc w:val="both"/>
            </w:pPr>
            <w:r>
              <w:rPr>
                <w:rFonts w:ascii="仿宋_GB2312" w:hAnsi="仿宋_GB2312" w:cs="仿宋_GB2312" w:eastAsia="仿宋_GB2312"/>
                <w:sz w:val="21"/>
              </w:rPr>
              <w:t>3.配合陕西省工业和信息化厅提供平台日常运营数据，起草数据分析月报、年报等材料；持续完善“陕企通”运营指挥中心的运营制度与保障机制；对接陕西省数据和政务服务局落实云平台资源，根据业务需求对接第三方平台，保障各项业务协同开展。</w:t>
            </w:r>
          </w:p>
          <w:p>
            <w:pPr>
              <w:pStyle w:val="null3"/>
              <w:ind w:firstLine="420"/>
              <w:jc w:val="both"/>
            </w:pPr>
            <w:r>
              <w:rPr>
                <w:rFonts w:ascii="仿宋_GB2312" w:hAnsi="仿宋_GB2312" w:cs="仿宋_GB2312" w:eastAsia="仿宋_GB2312"/>
                <w:sz w:val="21"/>
              </w:rPr>
              <w:t>4.基础认证保障服务。及时完成平台相关认证与备案工作，保障平台合规、正常运营。</w:t>
            </w:r>
          </w:p>
          <w:p>
            <w:pPr>
              <w:pStyle w:val="null3"/>
              <w:ind w:firstLine="420"/>
              <w:jc w:val="both"/>
            </w:pPr>
            <w:r>
              <w:rPr>
                <w:rFonts w:ascii="仿宋_GB2312" w:hAnsi="仿宋_GB2312" w:cs="仿宋_GB2312" w:eastAsia="仿宋_GB2312"/>
                <w:sz w:val="21"/>
              </w:rPr>
              <w:t>5.配合完成陕西省工业和信息化厅安排的</w:t>
            </w:r>
            <w:r>
              <w:rPr>
                <w:rFonts w:ascii="仿宋_GB2312" w:hAnsi="仿宋_GB2312" w:cs="仿宋_GB2312" w:eastAsia="仿宋_GB2312"/>
                <w:sz w:val="21"/>
              </w:rPr>
              <w:t>“</w:t>
            </w:r>
            <w:r>
              <w:rPr>
                <w:rFonts w:ascii="仿宋_GB2312" w:hAnsi="仿宋_GB2312" w:cs="仿宋_GB2312" w:eastAsia="仿宋_GB2312"/>
                <w:sz w:val="21"/>
              </w:rPr>
              <w:t>陕企通</w:t>
            </w:r>
            <w:r>
              <w:rPr>
                <w:rFonts w:ascii="仿宋_GB2312" w:hAnsi="仿宋_GB2312" w:cs="仿宋_GB2312" w:eastAsia="仿宋_GB2312"/>
                <w:sz w:val="21"/>
              </w:rPr>
              <w:t>”</w:t>
            </w:r>
            <w:r>
              <w:rPr>
                <w:rFonts w:ascii="仿宋_GB2312" w:hAnsi="仿宋_GB2312" w:cs="仿宋_GB2312" w:eastAsia="仿宋_GB2312"/>
                <w:sz w:val="21"/>
              </w:rPr>
              <w:t>平台</w:t>
            </w:r>
            <w:r>
              <w:rPr>
                <w:rFonts w:ascii="仿宋_GB2312" w:hAnsi="仿宋_GB2312" w:cs="仿宋_GB2312" w:eastAsia="仿宋_GB2312"/>
                <w:sz w:val="21"/>
              </w:rPr>
              <w:t>相关工作。</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专业能力：具备</w:t>
            </w:r>
            <w:r>
              <w:rPr>
                <w:rFonts w:ascii="仿宋_GB2312" w:hAnsi="仿宋_GB2312" w:cs="仿宋_GB2312" w:eastAsia="仿宋_GB2312"/>
                <w:sz w:val="21"/>
              </w:rPr>
              <w:t>企业服务平台运营经验</w:t>
            </w:r>
            <w:r>
              <w:rPr>
                <w:rFonts w:ascii="仿宋_GB2312" w:hAnsi="仿宋_GB2312" w:cs="仿宋_GB2312" w:eastAsia="仿宋_GB2312"/>
                <w:sz w:val="21"/>
              </w:rPr>
              <w:t>。组建专业团队，</w:t>
            </w:r>
            <w:r>
              <w:rPr>
                <w:rFonts w:ascii="仿宋_GB2312" w:hAnsi="仿宋_GB2312" w:cs="仿宋_GB2312" w:eastAsia="仿宋_GB2312"/>
                <w:sz w:val="21"/>
              </w:rPr>
              <w:t>团队</w:t>
            </w:r>
            <w:r>
              <w:rPr>
                <w:rFonts w:ascii="仿宋_GB2312" w:hAnsi="仿宋_GB2312" w:cs="仿宋_GB2312" w:eastAsia="仿宋_GB2312"/>
                <w:sz w:val="21"/>
              </w:rPr>
              <w:t>中</w:t>
            </w:r>
            <w:r>
              <w:rPr>
                <w:rFonts w:ascii="仿宋_GB2312" w:hAnsi="仿宋_GB2312" w:cs="仿宋_GB2312" w:eastAsia="仿宋_GB2312"/>
                <w:sz w:val="21"/>
              </w:rPr>
              <w:t>应</w:t>
            </w:r>
            <w:r>
              <w:rPr>
                <w:rFonts w:ascii="仿宋_GB2312" w:hAnsi="仿宋_GB2312" w:cs="仿宋_GB2312" w:eastAsia="仿宋_GB2312"/>
                <w:sz w:val="21"/>
              </w:rPr>
              <w:t>专门配备企业诉求处理、政策拆解解读、运营策划、编辑美工、业务对接等</w:t>
            </w:r>
            <w:r>
              <w:rPr>
                <w:rFonts w:ascii="仿宋_GB2312" w:hAnsi="仿宋_GB2312" w:cs="仿宋_GB2312" w:eastAsia="仿宋_GB2312"/>
                <w:sz w:val="21"/>
              </w:rPr>
              <w:t>相关工作</w:t>
            </w:r>
            <w:r>
              <w:rPr>
                <w:rFonts w:ascii="仿宋_GB2312" w:hAnsi="仿宋_GB2312" w:cs="仿宋_GB2312" w:eastAsia="仿宋_GB2312"/>
                <w:sz w:val="21"/>
                <w:shd w:fill="FFFFFF" w:val="clear"/>
              </w:rPr>
              <w:t>3</w:t>
            </w:r>
            <w:r>
              <w:rPr>
                <w:rFonts w:ascii="仿宋_GB2312" w:hAnsi="仿宋_GB2312" w:cs="仿宋_GB2312" w:eastAsia="仿宋_GB2312"/>
                <w:sz w:val="21"/>
              </w:rPr>
              <w:t>年以上</w:t>
            </w:r>
            <w:r>
              <w:rPr>
                <w:rFonts w:ascii="仿宋_GB2312" w:hAnsi="仿宋_GB2312" w:cs="仿宋_GB2312" w:eastAsia="仿宋_GB2312"/>
                <w:sz w:val="21"/>
              </w:rPr>
              <w:t>从业</w:t>
            </w:r>
            <w:r>
              <w:rPr>
                <w:rFonts w:ascii="仿宋_GB2312" w:hAnsi="仿宋_GB2312" w:cs="仿宋_GB2312" w:eastAsia="仿宋_GB2312"/>
                <w:sz w:val="21"/>
              </w:rPr>
              <w:t>经验的</w:t>
            </w:r>
            <w:r>
              <w:rPr>
                <w:rFonts w:ascii="仿宋_GB2312" w:hAnsi="仿宋_GB2312" w:cs="仿宋_GB2312" w:eastAsia="仿宋_GB2312"/>
                <w:sz w:val="21"/>
              </w:rPr>
              <w:t>运营人员</w:t>
            </w:r>
            <w:r>
              <w:rPr>
                <w:rFonts w:ascii="仿宋_GB2312" w:hAnsi="仿宋_GB2312" w:cs="仿宋_GB2312" w:eastAsia="仿宋_GB2312"/>
                <w:sz w:val="21"/>
              </w:rPr>
              <w:t>，</w:t>
            </w:r>
            <w:r>
              <w:rPr>
                <w:rFonts w:ascii="仿宋_GB2312" w:hAnsi="仿宋_GB2312" w:cs="仿宋_GB2312" w:eastAsia="仿宋_GB2312"/>
                <w:sz w:val="21"/>
              </w:rPr>
              <w:t>核心成员</w:t>
            </w:r>
            <w:r>
              <w:rPr>
                <w:rFonts w:ascii="仿宋_GB2312" w:hAnsi="仿宋_GB2312" w:cs="仿宋_GB2312" w:eastAsia="仿宋_GB2312"/>
                <w:sz w:val="21"/>
              </w:rPr>
              <w:t>应</w:t>
            </w:r>
            <w:r>
              <w:rPr>
                <w:rFonts w:ascii="仿宋_GB2312" w:hAnsi="仿宋_GB2312" w:cs="仿宋_GB2312" w:eastAsia="仿宋_GB2312"/>
                <w:sz w:val="21"/>
              </w:rPr>
              <w:t>具备扎实的</w:t>
            </w:r>
            <w:r>
              <w:rPr>
                <w:rFonts w:ascii="仿宋_GB2312" w:hAnsi="仿宋_GB2312" w:cs="仿宋_GB2312" w:eastAsia="仿宋_GB2312"/>
                <w:sz w:val="21"/>
              </w:rPr>
              <w:t>技术</w:t>
            </w:r>
            <w:r>
              <w:rPr>
                <w:rFonts w:ascii="仿宋_GB2312" w:hAnsi="仿宋_GB2312" w:cs="仿宋_GB2312" w:eastAsia="仿宋_GB2312"/>
                <w:sz w:val="21"/>
              </w:rPr>
              <w:t>功底与丰富实践经验，能够</w:t>
            </w:r>
            <w:r>
              <w:rPr>
                <w:rFonts w:ascii="仿宋_GB2312" w:hAnsi="仿宋_GB2312" w:cs="仿宋_GB2312" w:eastAsia="仿宋_GB2312"/>
                <w:sz w:val="21"/>
              </w:rPr>
              <w:t>按期完成平台运营工作，</w:t>
            </w:r>
            <w:r>
              <w:rPr>
                <w:rFonts w:ascii="仿宋_GB2312" w:hAnsi="仿宋_GB2312" w:cs="仿宋_GB2312" w:eastAsia="仿宋_GB2312"/>
                <w:sz w:val="21"/>
              </w:rPr>
              <w:t>提升服务质量与用户体验，扩大平台影响力。</w:t>
            </w:r>
          </w:p>
          <w:p>
            <w:pPr>
              <w:pStyle w:val="null3"/>
              <w:ind w:firstLine="420"/>
              <w:jc w:val="both"/>
            </w:pPr>
            <w:r>
              <w:rPr>
                <w:rFonts w:ascii="仿宋_GB2312" w:hAnsi="仿宋_GB2312" w:cs="仿宋_GB2312" w:eastAsia="仿宋_GB2312"/>
                <w:sz w:val="21"/>
              </w:rPr>
              <w:t>2.服务要求：</w:t>
            </w:r>
            <w:r>
              <w:rPr>
                <w:rFonts w:ascii="仿宋_GB2312" w:hAnsi="仿宋_GB2312" w:cs="仿宋_GB2312" w:eastAsia="仿宋_GB2312"/>
                <w:sz w:val="21"/>
              </w:rPr>
              <w:t>服务商提供</w:t>
            </w:r>
            <w:r>
              <w:rPr>
                <w:rFonts w:ascii="仿宋_GB2312" w:hAnsi="仿宋_GB2312" w:cs="仿宋_GB2312" w:eastAsia="仿宋_GB2312"/>
                <w:sz w:val="21"/>
              </w:rPr>
              <w:t>7x24小时</w:t>
            </w:r>
            <w:r>
              <w:rPr>
                <w:rFonts w:ascii="仿宋_GB2312" w:hAnsi="仿宋_GB2312" w:cs="仿宋_GB2312" w:eastAsia="仿宋_GB2312"/>
                <w:sz w:val="21"/>
              </w:rPr>
              <w:t>运营值守、咨询及</w:t>
            </w:r>
            <w:r>
              <w:rPr>
                <w:rFonts w:ascii="仿宋_GB2312" w:hAnsi="仿宋_GB2312" w:cs="仿宋_GB2312" w:eastAsia="仿宋_GB2312"/>
                <w:sz w:val="21"/>
              </w:rPr>
              <w:t>问题</w:t>
            </w:r>
            <w:r>
              <w:rPr>
                <w:rFonts w:ascii="仿宋_GB2312" w:hAnsi="仿宋_GB2312" w:cs="仿宋_GB2312" w:eastAsia="仿宋_GB2312"/>
                <w:sz w:val="21"/>
              </w:rPr>
              <w:t>响应服务，全程跟进事项处置并及时反馈，做到业务闭环；遇到紧急运营事项须第一时间启动应急沟通，配合处置问题。服务商建立</w:t>
            </w:r>
            <w:r>
              <w:rPr>
                <w:rFonts w:ascii="仿宋_GB2312" w:hAnsi="仿宋_GB2312" w:cs="仿宋_GB2312" w:eastAsia="仿宋_GB2312"/>
                <w:sz w:val="21"/>
              </w:rPr>
              <w:t>月报、年报工作制度</w:t>
            </w:r>
            <w:r>
              <w:rPr>
                <w:rFonts w:ascii="仿宋_GB2312" w:hAnsi="仿宋_GB2312" w:cs="仿宋_GB2312" w:eastAsia="仿宋_GB2312"/>
                <w:sz w:val="21"/>
              </w:rPr>
              <w:t>，妥善</w:t>
            </w:r>
            <w:r>
              <w:rPr>
                <w:rFonts w:ascii="仿宋_GB2312" w:hAnsi="仿宋_GB2312" w:cs="仿宋_GB2312" w:eastAsia="仿宋_GB2312"/>
                <w:sz w:val="21"/>
              </w:rPr>
              <w:t>留存</w:t>
            </w:r>
            <w:r>
              <w:rPr>
                <w:rFonts w:ascii="仿宋_GB2312" w:hAnsi="仿宋_GB2312" w:cs="仿宋_GB2312" w:eastAsia="仿宋_GB2312"/>
                <w:sz w:val="21"/>
              </w:rPr>
              <w:t>运营数据</w:t>
            </w:r>
            <w:r>
              <w:rPr>
                <w:rFonts w:ascii="仿宋_GB2312" w:hAnsi="仿宋_GB2312" w:cs="仿宋_GB2312" w:eastAsia="仿宋_GB2312"/>
                <w:sz w:val="21"/>
              </w:rPr>
              <w:t>，</w:t>
            </w:r>
            <w:r>
              <w:rPr>
                <w:rFonts w:ascii="仿宋_GB2312" w:hAnsi="仿宋_GB2312" w:cs="仿宋_GB2312" w:eastAsia="仿宋_GB2312"/>
                <w:sz w:val="21"/>
              </w:rPr>
              <w:t>配合技术运维单位</w:t>
            </w:r>
            <w:r>
              <w:rPr>
                <w:rFonts w:ascii="仿宋_GB2312" w:hAnsi="仿宋_GB2312" w:cs="仿宋_GB2312" w:eastAsia="仿宋_GB2312"/>
                <w:sz w:val="21"/>
              </w:rPr>
              <w:t>做好</w:t>
            </w:r>
            <w:r>
              <w:rPr>
                <w:rFonts w:ascii="仿宋_GB2312" w:hAnsi="仿宋_GB2312" w:cs="仿宋_GB2312" w:eastAsia="仿宋_GB2312"/>
                <w:sz w:val="21"/>
              </w:rPr>
              <w:t>安全</w:t>
            </w:r>
            <w:r>
              <w:rPr>
                <w:rFonts w:ascii="仿宋_GB2312" w:hAnsi="仿宋_GB2312" w:cs="仿宋_GB2312" w:eastAsia="仿宋_GB2312"/>
                <w:sz w:val="21"/>
              </w:rPr>
              <w:t>防护</w:t>
            </w:r>
            <w:r>
              <w:rPr>
                <w:rFonts w:ascii="仿宋_GB2312" w:hAnsi="仿宋_GB2312" w:cs="仿宋_GB2312" w:eastAsia="仿宋_GB2312"/>
                <w:sz w:val="21"/>
              </w:rPr>
              <w:t>、</w:t>
            </w:r>
            <w:r>
              <w:rPr>
                <w:rFonts w:ascii="仿宋_GB2312" w:hAnsi="仿宋_GB2312" w:cs="仿宋_GB2312" w:eastAsia="仿宋_GB2312"/>
                <w:sz w:val="21"/>
              </w:rPr>
              <w:t>等级保护、密码测评、软件测评等工作</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项目验收</w:t>
            </w:r>
          </w:p>
          <w:p>
            <w:pPr>
              <w:pStyle w:val="null3"/>
              <w:ind w:firstLine="420"/>
              <w:jc w:val="both"/>
            </w:pPr>
            <w:r>
              <w:rPr>
                <w:rFonts w:ascii="仿宋_GB2312" w:hAnsi="仿宋_GB2312" w:cs="仿宋_GB2312" w:eastAsia="仿宋_GB2312"/>
                <w:sz w:val="21"/>
              </w:rPr>
              <w:t>陕西省工业和信息化厅</w:t>
            </w:r>
            <w:r>
              <w:rPr>
                <w:rFonts w:ascii="仿宋_GB2312" w:hAnsi="仿宋_GB2312" w:cs="仿宋_GB2312" w:eastAsia="仿宋_GB2312"/>
                <w:sz w:val="21"/>
              </w:rPr>
              <w:t>按照《省级政务信息化项目竣工验收管理办法</w:t>
            </w:r>
            <w:r>
              <w:rPr>
                <w:rFonts w:ascii="仿宋_GB2312" w:hAnsi="仿宋_GB2312" w:cs="仿宋_GB2312" w:eastAsia="仿宋_GB2312"/>
                <w:sz w:val="21"/>
              </w:rPr>
              <w:t>(试行)》等相关文件要求</w:t>
            </w:r>
            <w:r>
              <w:rPr>
                <w:rFonts w:ascii="仿宋_GB2312" w:hAnsi="仿宋_GB2312" w:cs="仿宋_GB2312" w:eastAsia="仿宋_GB2312"/>
                <w:sz w:val="21"/>
              </w:rPr>
              <w:t>组织</w:t>
            </w:r>
            <w:r>
              <w:rPr>
                <w:rFonts w:ascii="仿宋_GB2312" w:hAnsi="仿宋_GB2312" w:cs="仿宋_GB2312" w:eastAsia="仿宋_GB2312"/>
                <w:sz w:val="21"/>
              </w:rPr>
              <w:t>验收</w:t>
            </w:r>
            <w:r>
              <w:rPr>
                <w:rFonts w:ascii="仿宋_GB2312" w:hAnsi="仿宋_GB2312" w:cs="仿宋_GB2312" w:eastAsia="仿宋_GB2312"/>
                <w:sz w:val="21"/>
              </w:rPr>
              <w:t>。供应商</w:t>
            </w:r>
            <w:r>
              <w:rPr>
                <w:rFonts w:ascii="仿宋_GB2312" w:hAnsi="仿宋_GB2312" w:cs="仿宋_GB2312" w:eastAsia="仿宋_GB2312"/>
                <w:sz w:val="21"/>
              </w:rPr>
              <w:t>根据陕西省工业和信息化厅验收意见</w:t>
            </w:r>
            <w:r>
              <w:rPr>
                <w:rFonts w:ascii="仿宋_GB2312" w:hAnsi="仿宋_GB2312" w:cs="仿宋_GB2312" w:eastAsia="仿宋_GB2312"/>
                <w:sz w:val="21"/>
              </w:rPr>
              <w:t>完成</w:t>
            </w:r>
            <w:r>
              <w:rPr>
                <w:rFonts w:ascii="仿宋_GB2312" w:hAnsi="仿宋_GB2312" w:cs="仿宋_GB2312" w:eastAsia="仿宋_GB2312"/>
                <w:sz w:val="21"/>
              </w:rPr>
              <w:t>整改</w:t>
            </w:r>
            <w:r>
              <w:rPr>
                <w:rFonts w:ascii="仿宋_GB2312" w:hAnsi="仿宋_GB2312" w:cs="仿宋_GB2312" w:eastAsia="仿宋_GB2312"/>
                <w:sz w:val="21"/>
              </w:rPr>
              <w:t>并经确认后，视为验收合格。</w:t>
            </w:r>
          </w:p>
          <w:p>
            <w:pPr>
              <w:pStyle w:val="null3"/>
              <w:ind w:firstLine="422"/>
              <w:jc w:val="both"/>
            </w:pPr>
            <w:r>
              <w:rPr>
                <w:rFonts w:ascii="仿宋_GB2312" w:hAnsi="仿宋_GB2312" w:cs="仿宋_GB2312" w:eastAsia="仿宋_GB2312"/>
                <w:sz w:val="21"/>
                <w:b/>
                <w:shd w:fill="FFFFFF" w:val="clear"/>
              </w:rPr>
              <w:t>四、项目预算</w:t>
            </w:r>
          </w:p>
          <w:p>
            <w:pPr>
              <w:pStyle w:val="null3"/>
              <w:ind w:firstLine="420"/>
              <w:jc w:val="both"/>
            </w:pPr>
            <w:r>
              <w:rPr>
                <w:rFonts w:ascii="仿宋_GB2312" w:hAnsi="仿宋_GB2312" w:cs="仿宋_GB2312" w:eastAsia="仿宋_GB2312"/>
                <w:sz w:val="21"/>
              </w:rPr>
              <w:t>“陕企通”平台运营服务</w:t>
            </w:r>
            <w:r>
              <w:rPr>
                <w:rFonts w:ascii="仿宋_GB2312" w:hAnsi="仿宋_GB2312" w:cs="仿宋_GB2312" w:eastAsia="仿宋_GB2312"/>
                <w:sz w:val="21"/>
              </w:rPr>
              <w:t>项目预算为</w:t>
            </w:r>
            <w:r>
              <w:rPr>
                <w:rFonts w:ascii="仿宋_GB2312" w:hAnsi="仿宋_GB2312" w:cs="仿宋_GB2312" w:eastAsia="仿宋_GB2312"/>
                <w:sz w:val="21"/>
                <w:shd w:fill="FFFFFF" w:val="clear"/>
              </w:rPr>
              <w:t>55万</w:t>
            </w:r>
            <w:r>
              <w:rPr>
                <w:rFonts w:ascii="仿宋_GB2312" w:hAnsi="仿宋_GB2312" w:cs="仿宋_GB2312" w:eastAsia="仿宋_GB2312"/>
                <w:sz w:val="21"/>
              </w:rPr>
              <w:t>元，供应商报价不得超过预算金额，否则按无效投标处理。</w:t>
            </w:r>
          </w:p>
          <w:p>
            <w:pPr>
              <w:pStyle w:val="null3"/>
              <w:ind w:firstLine="422"/>
              <w:jc w:val="left"/>
            </w:pPr>
            <w:r>
              <w:rPr>
                <w:rFonts w:ascii="仿宋_GB2312" w:hAnsi="仿宋_GB2312" w:cs="仿宋_GB2312" w:eastAsia="仿宋_GB2312"/>
                <w:sz w:val="21"/>
                <w:b/>
                <w:shd w:fill="FFFFFF" w:val="clear"/>
              </w:rPr>
              <w:t>五、保</w:t>
            </w:r>
            <w:r>
              <w:rPr>
                <w:rFonts w:ascii="仿宋_GB2312" w:hAnsi="仿宋_GB2312" w:cs="仿宋_GB2312" w:eastAsia="仿宋_GB2312"/>
                <w:sz w:val="21"/>
                <w:b/>
                <w:shd w:fill="FFFFFF" w:val="clear"/>
              </w:rPr>
              <w:t>密要求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供应商对在项目实施过程中获取的所有涉密信息、企业商业秘密、未公开资料等承担保密责任。</w:t>
            </w:r>
          </w:p>
          <w:p>
            <w:pPr>
              <w:pStyle w:val="null3"/>
              <w:ind w:firstLine="420"/>
              <w:jc w:val="both"/>
            </w:pPr>
            <w:r>
              <w:rPr>
                <w:rFonts w:ascii="仿宋_GB2312" w:hAnsi="仿宋_GB2312" w:cs="仿宋_GB2312" w:eastAsia="仿宋_GB2312"/>
                <w:sz w:val="21"/>
              </w:rPr>
              <w:t>2.未经陕西省工业和信息化厅书面同意，供应商不得向任何第三方泄露平台相关数据信息，不得擅自使用或传播平台建设成果。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项目完成后，供应商应将</w:t>
            </w:r>
            <w:r>
              <w:rPr>
                <w:rFonts w:ascii="仿宋_GB2312" w:hAnsi="仿宋_GB2312" w:cs="仿宋_GB2312" w:eastAsia="仿宋_GB2312"/>
                <w:sz w:val="21"/>
              </w:rPr>
              <w:t>相关</w:t>
            </w:r>
            <w:r>
              <w:rPr>
                <w:rFonts w:ascii="仿宋_GB2312" w:hAnsi="仿宋_GB2312" w:cs="仿宋_GB2312" w:eastAsia="仿宋_GB2312"/>
                <w:sz w:val="21"/>
              </w:rPr>
              <w:t>资料按要求移交陕西省工业和信息化厅。</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若发生泄密事件，供应商应承担相应的法律责任和经济赔偿责任。</w:t>
            </w:r>
          </w:p>
          <w:p>
            <w:pPr>
              <w:pStyle w:val="null3"/>
              <w:ind w:firstLine="422"/>
              <w:jc w:val="both"/>
            </w:pPr>
            <w:r>
              <w:rPr>
                <w:rFonts w:ascii="仿宋_GB2312" w:hAnsi="仿宋_GB2312" w:cs="仿宋_GB2312" w:eastAsia="仿宋_GB2312"/>
                <w:sz w:val="21"/>
                <w:b/>
                <w:shd w:fill="FFFFFF" w:val="clear"/>
              </w:rPr>
              <w:t>六、采购方式</w:t>
            </w:r>
          </w:p>
          <w:p>
            <w:pPr>
              <w:pStyle w:val="null3"/>
              <w:ind w:firstLine="420"/>
              <w:jc w:val="both"/>
            </w:pPr>
            <w:r>
              <w:rPr>
                <w:rFonts w:ascii="仿宋_GB2312" w:hAnsi="仿宋_GB2312" w:cs="仿宋_GB2312" w:eastAsia="仿宋_GB2312"/>
                <w:sz w:val="21"/>
              </w:rPr>
              <w:t>单一来源采购。</w:t>
            </w:r>
          </w:p>
          <w:p>
            <w:pPr>
              <w:pStyle w:val="null3"/>
              <w:ind w:firstLine="422"/>
              <w:jc w:val="both"/>
            </w:pPr>
            <w:r>
              <w:rPr>
                <w:rFonts w:ascii="仿宋_GB2312" w:hAnsi="仿宋_GB2312" w:cs="仿宋_GB2312" w:eastAsia="仿宋_GB2312"/>
                <w:sz w:val="21"/>
                <w:b/>
                <w:shd w:fill="FFFFFF" w:val="clear"/>
              </w:rPr>
              <w:t>七</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付款方式</w:t>
            </w:r>
          </w:p>
          <w:p>
            <w:pPr>
              <w:pStyle w:val="null3"/>
            </w:pPr>
            <w:r>
              <w:rPr>
                <w:rFonts w:ascii="仿宋_GB2312" w:hAnsi="仿宋_GB2312" w:cs="仿宋_GB2312" w:eastAsia="仿宋_GB2312"/>
                <w:sz w:val="21"/>
              </w:rPr>
              <w:t xml:space="preserve">    一次性支付</w:t>
            </w:r>
            <w:r>
              <w:rPr>
                <w:rFonts w:ascii="仿宋_GB2312" w:hAnsi="仿宋_GB2312" w:cs="仿宋_GB2312" w:eastAsia="仿宋_GB2312"/>
                <w:sz w:val="21"/>
              </w:rPr>
              <w:t>。</w:t>
            </w:r>
            <w:r>
              <w:rPr>
                <w:rFonts w:ascii="仿宋_GB2312" w:hAnsi="仿宋_GB2312" w:cs="仿宋_GB2312" w:eastAsia="仿宋_GB2312"/>
                <w:sz w:val="21"/>
              </w:rPr>
              <w:t>办理支付手续前，供应商应出具等额的符合国家规定的发票。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预付款，合同签订后，办理支付手续前，供应商应出具等额的符合国家规定的发票，达到付款条件起30个工作日内，支付合同总金额的100.0%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陕西省工业和信息化厅按照《省级政务信息化项目竣工验收管理办法(试行)》等相关文件要求组织验收。供应商根据陕西省工业和信息化厅验收意见完成整改并经确认后，视为验收合格。</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成交供应商须在领取成交通知书时线下提交纸质响应文件贰份；若电子响应文件与纸质响应文件不一致的，以电子响应文件为准；响应文件装订成册密封（逐页标注页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供应商需在项目电子化交易系统中按要求填写《响应函》完成承诺并进行电子签章。1.1 有效的主体资格证明：具有独立承担民事责任能力的法人、其他组织或自然人，提供合法有效的统一社会信用代码营业执照（事业单位提供事业单位法人证书，自然人应提供身份证）；1.2 财务状况：供应商提供 2024 年度或 2025 年度经审计的财务审计报告（成立时间至提交响应文件截止时间不足一年的可提供成立后任意时段的资产负债表），或其响应前三个月内银行出具的资信证明，或信用担保机构出具的投标担保函；(注：以上三种形式的资料提供任何一种即可)；1.3 必需的设备和专业技术能力：具有履行合同所必需的设备和专业技术能力的书面声明（提供承诺书）；1.4 税收缴纳证明：提供2025年6月以来至少一个月的纳税证明或完税证明（增值税、企业所得税至少提供一种），依法免税的单位应提供相关证明材料；1.5 社保资金缴纳证明：提供 2025 年6月以来至少一个月的社会保障资金缴存单据或社保机构开具的社会保险参保缴费情况证明；依法不需要缴纳社会保障资金的供应商应提供相关文件证明；1.6 无重大违法记录声明：参加采购活动前3年内在经营活动中没有重大违法记录的书面声明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供应商需在项目电子化交易系统中按要求上传相应证明文件并进行电子签章。供应商需在项目电子化交易系统中按要求上传相应证明文件并进行电子签章。供应商提供 2024 年度或 2025 年度经审计的财务审计报告（成立时间至提交响应文件截止时间不足一年的可提供成立后任意时段的资产负债表），或其响应前三个月内银行出具的资信证明，或信用担保机构出具的投标担保函；(注：以上三种形式的资料提供任何一种即可)</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供应商不得存在下列情形：单位负责人为同一人或者存在直接控股、管理关系的不同供应商，不得同时参加本项目采购活动</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服务方案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分项报价明细表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