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版本号：LHZBZC2026056W20260709001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新型光电功率集成芯片检测系统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LHZBZC2026056W</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凌辉建设工程咨询有限公司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凌辉建设工程咨询有限公司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新型光电功率集成芯片检测系统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LHZBZC2026056W</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新型光电功率集成芯片检测系统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采购新型光电功率集成芯片检测系统1套，用于新型宽禁带半导体光电功率芯片性能测试与评估。系统需采用紫外光技术，具有深紫外窄脉冲发射功能，具有单路输入两路输出功能，具有超高压测试功能，具有瞬变信号采集功能，应用范围可覆盖第4代超宽禁带半导体器件测试需求。系统主要部件可通过上位机控制，应具备二次开发功能，满足新型光电功率集成芯片检测的科研与教学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信用记录：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8、控股管理关系：提供直接控股和管理关系承诺函。若与其他供应商存在单位负责人为同一人或者存在直接控股、管理关系的，则投标无效。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凌辉建设工程咨询有限公司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西安市未央区太华北路甲字88号大明宫中央广场A座22层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高禧、吴元帅、黄沛、李晨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029-81010100-32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采购包1保证金金额：3,300.00元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开户名称：凌辉建设工程咨询有限公司</w:t>
            </w:r>
          </w:p>
          <w:p>
            <w:pPr>
              <w:pStyle w:val="null3"/>
            </w:pPr>
            <w:r>
              <w:rPr>
                <w:rFonts w:ascii="仿宋_GB2312" w:hAnsi="仿宋_GB2312" w:cs="仿宋_GB2312" w:eastAsia="仿宋_GB2312"/>
              </w:rPr>
              <w:t>开户银行：招商银行股份有限公司西安南大街支行</w:t>
            </w:r>
          </w:p>
          <w:p>
            <w:pPr>
              <w:pStyle w:val="null3"/>
            </w:pPr>
            <w:r>
              <w:rPr>
                <w:rFonts w:ascii="仿宋_GB2312" w:hAnsi="仿宋_GB2312" w:cs="仿宋_GB2312" w:eastAsia="仿宋_GB2312"/>
              </w:rPr>
              <w:t>银行账号：292083674310001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说明：投标人中标后凭中标通知书向采购人缴纳中标金额的5%作为履约保证金，采购人验收合格支付货款后，5%履约保证金无质量问题一次性无息退还。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80万以下项目招标代理服务费：5000.00元/包；80万～400万项目参照国家计委颁发的《招标代理服务收费管理暂行办法》（计价格〔2002〕1980号）及（发改办价格〔2011〕534号）规定的70.00%计费。400万元以上项目参照国家计委颁发的《招标代理服务收费管理暂行办法》（计价格〔2002〕1980号）及（发改办价格〔2011〕534号）规定的65.00%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凌辉建设工程咨询有限公司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凌辉建设工程咨询有限公司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凌辉建设工程咨询有限公司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详见采购合同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联系人：高禧、吴元帅、黄沛</w:t>
      </w:r>
    </w:p>
    <w:p>
      <w:pPr>
        <w:pStyle w:val="null3"/>
      </w:pPr>
      <w:r>
        <w:rPr>
          <w:rFonts w:ascii="仿宋_GB2312" w:hAnsi="仿宋_GB2312" w:cs="仿宋_GB2312" w:eastAsia="仿宋_GB2312"/>
        </w:rPr>
        <w:t>联系电话：029-81010100-32</w:t>
      </w:r>
    </w:p>
    <w:p>
      <w:pPr>
        <w:pStyle w:val="null3"/>
      </w:pPr>
      <w:r>
        <w:rPr>
          <w:rFonts w:ascii="仿宋_GB2312" w:hAnsi="仿宋_GB2312" w:cs="仿宋_GB2312" w:eastAsia="仿宋_GB2312"/>
        </w:rPr>
        <w:t>地址：西安市未央区大明宫中央广场A座22层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采购新型光电功率集成芯片检测系统1套，用于新型宽禁带半导体光电功率芯片性能测试与评估。系统需采用紫外光技术，具有深紫外窄脉冲发射功能，具有单路输入两路输出功能，具有超高压测试功能，具有瞬变信号采集功能，应用范围可覆盖第4代超宽禁带半导体器件测试需求。系统主要部件可通过上位机控制，应具备二次开发功能，满足新型光电功率集成芯片检测的科研与教学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530,000.00</w:t>
      </w:r>
    </w:p>
    <w:p>
      <w:pPr>
        <w:pStyle w:val="null3"/>
      </w:pPr>
      <w:r>
        <w:rPr>
          <w:rFonts w:ascii="仿宋_GB2312" w:hAnsi="仿宋_GB2312" w:cs="仿宋_GB2312" w:eastAsia="仿宋_GB2312"/>
        </w:rPr>
        <w:t>采购包最高限价（元）: 510,000.00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新型光电功率集成芯片检测系统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530,000.00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标的名称：新型光电功率集成芯片检测系统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新型光电功率集成芯片检测系统是一套通过上位机软件控制的测试系统，针对光电功率集成芯片实现集成化测试。</w:t>
            </w:r>
          </w:p>
          <w:p>
            <w:pPr>
              <w:pStyle w:val="null3"/>
              <w:jc w:val="both"/>
            </w:pPr>
            <w:r>
              <w:rPr>
                <w:rFonts w:ascii="仿宋_GB2312" w:hAnsi="仿宋_GB2312" w:cs="仿宋_GB2312" w:eastAsia="仿宋_GB2312"/>
                <w:sz w:val="24"/>
              </w:rPr>
              <w:t>系统包含：测试台装置、光源系统、数据采集系统。其中测试台装置应具备光学隔振、高压供电等功能。光源系统应具备发光、分光等功能。数据采集系统应具备上位机控制、电学信号采集、显示、存储等功能。</w:t>
            </w:r>
          </w:p>
          <w:tbl>
            <w:tblPr>
              <w:tblBorders>
                <w:top w:val="none" w:color="000000" w:sz="4"/>
                <w:left w:val="none" w:color="000000" w:sz="4"/>
                <w:bottom w:val="none" w:color="000000" w:sz="4"/>
                <w:right w:val="none" w:color="000000" w:sz="4"/>
                <w:insideH w:val="none"/>
                <w:insideV w:val="none"/>
              </w:tblBorders>
            </w:tblPr>
            <w:tblGrid>
              <w:gridCol w:w="302"/>
              <w:gridCol w:w="910"/>
              <w:gridCol w:w="259"/>
            </w:tblGrid>
            <w:tr>
              <w:tc>
                <w:tcPr>
                  <w:tcW w:type="dxa" w:w="1471"/>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配置清单</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序号</w:t>
                  </w:r>
                </w:p>
              </w:tc>
              <w:tc>
                <w:tcPr>
                  <w:tcW w:type="dxa" w:w="9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货物名称</w:t>
                  </w:r>
                </w:p>
              </w:tc>
              <w:tc>
                <w:tcPr>
                  <w:tcW w:type="dxa" w:w="2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数量</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测试台装置</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1套</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光源系统</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1套</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数据采集系统</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1套</w:t>
                  </w:r>
                </w:p>
              </w:tc>
            </w:tr>
          </w:tbl>
          <w:p>
            <w:pPr>
              <w:pStyle w:val="null3"/>
              <w:jc w:val="both"/>
            </w:pPr>
            <w:r>
              <w:rPr>
                <w:rFonts w:ascii="仿宋_GB2312" w:hAnsi="仿宋_GB2312" w:cs="仿宋_GB2312" w:eastAsia="仿宋_GB2312"/>
                <w:sz w:val="24"/>
                <w:b/>
              </w:rPr>
              <w:t>测试台装置：</w:t>
            </w:r>
          </w:p>
          <w:p>
            <w:pPr>
              <w:pStyle w:val="null3"/>
              <w:jc w:val="both"/>
            </w:pPr>
            <w:r>
              <w:rPr>
                <w:rFonts w:ascii="仿宋_GB2312" w:hAnsi="仿宋_GB2312" w:cs="仿宋_GB2312" w:eastAsia="仿宋_GB2312"/>
                <w:sz w:val="24"/>
              </w:rPr>
              <w:t>1.光学隔振平台固有频率≤12Hz；</w:t>
            </w:r>
          </w:p>
          <w:p>
            <w:pPr>
              <w:pStyle w:val="null3"/>
              <w:jc w:val="both"/>
            </w:pPr>
            <w:r>
              <w:rPr>
                <w:rFonts w:ascii="仿宋_GB2312" w:hAnsi="仿宋_GB2312" w:cs="仿宋_GB2312" w:eastAsia="仿宋_GB2312"/>
                <w:sz w:val="24"/>
              </w:rPr>
              <w:t>2.光学隔振平台平面度≤0.05mm</w:t>
            </w:r>
            <w:r>
              <w:rPr>
                <w:rFonts w:ascii="仿宋_GB2312" w:hAnsi="仿宋_GB2312" w:cs="仿宋_GB2312" w:eastAsia="仿宋_GB2312"/>
                <w:sz w:val="24"/>
              </w:rPr>
              <w:t>/m²</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3.测试台尺寸：长</w:t>
            </w:r>
            <w:r>
              <w:rPr>
                <w:rFonts w:ascii="仿宋_GB2312" w:hAnsi="仿宋_GB2312" w:cs="仿宋_GB2312" w:eastAsia="仿宋_GB2312"/>
                <w:sz w:val="24"/>
              </w:rPr>
              <w:t>*宽*高≥90cm*60cm*50cm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4.▲具备输出供电最大测试电压≥10kV；</w:t>
            </w:r>
          </w:p>
          <w:p>
            <w:pPr>
              <w:pStyle w:val="null3"/>
              <w:jc w:val="both"/>
            </w:pPr>
            <w:r>
              <w:rPr>
                <w:rFonts w:ascii="仿宋_GB2312" w:hAnsi="仿宋_GB2312" w:cs="仿宋_GB2312" w:eastAsia="仿宋_GB2312"/>
                <w:sz w:val="24"/>
              </w:rPr>
              <w:t>5.▲提供触发信号源≥10MHz</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支持</w:t>
            </w:r>
            <w:r>
              <w:rPr>
                <w:rFonts w:ascii="仿宋_GB2312" w:hAnsi="仿宋_GB2312" w:cs="仿宋_GB2312" w:eastAsia="仿宋_GB2312"/>
                <w:sz w:val="24"/>
              </w:rPr>
              <w:t>Sine、Square、Pulse、幅度≥2.5Vpp；</w:t>
            </w:r>
          </w:p>
          <w:p>
            <w:pPr>
              <w:pStyle w:val="null3"/>
              <w:jc w:val="both"/>
            </w:pPr>
            <w:r>
              <w:rPr>
                <w:rFonts w:ascii="仿宋_GB2312" w:hAnsi="仿宋_GB2312" w:cs="仿宋_GB2312" w:eastAsia="仿宋_GB2312"/>
                <w:sz w:val="24"/>
                <w:b/>
              </w:rPr>
              <w:t>光源系统：</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.光源具备受控发射脉冲光功能；</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▲光源的中心光波长≤25</w:t>
            </w:r>
            <w:r>
              <w:rPr>
                <w:rFonts w:ascii="仿宋_GB2312" w:hAnsi="仿宋_GB2312" w:cs="仿宋_GB2312" w:eastAsia="仿宋_GB2312"/>
                <w:sz w:val="24"/>
              </w:rPr>
              <w:t>7</w:t>
            </w:r>
            <w:r>
              <w:rPr>
                <w:rFonts w:ascii="仿宋_GB2312" w:hAnsi="仿宋_GB2312" w:cs="仿宋_GB2312" w:eastAsia="仿宋_GB2312"/>
                <w:sz w:val="24"/>
              </w:rPr>
              <w:t>nm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.▲光脉冲最高重复频率≥500Hz，连续可调；</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.单个光脉冲最大输出能量≥4μJ；</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.单次光脉冲宽度≤2ns；</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.功率稳定性≤4%（RMS@8h）</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.分光光路具有单路输入，两路输出分光功能；</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.分光光路准直光斑≤φ6mm，输出光斑≤φ2mm；</w:t>
            </w:r>
          </w:p>
          <w:p>
            <w:pPr>
              <w:pStyle w:val="null3"/>
              <w:jc w:val="both"/>
            </w:pPr>
            <w:r>
              <w:rPr>
                <w:rFonts w:ascii="仿宋_GB2312" w:hAnsi="仿宋_GB2312" w:cs="仿宋_GB2312" w:eastAsia="仿宋_GB2312"/>
                <w:sz w:val="24"/>
                <w:b/>
              </w:rPr>
              <w:t>数据采集系统：</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.▲芯片输出电信号的动态检测带宽≥2GHz；</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.▲最大采样率≥10GHz；</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.采样通道数≥4；</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8</w:t>
            </w:r>
            <w:r>
              <w:rPr>
                <w:rFonts w:ascii="仿宋_GB2312" w:hAnsi="仿宋_GB2312" w:cs="仿宋_GB2312" w:eastAsia="仿宋_GB2312"/>
                <w:sz w:val="24"/>
              </w:rPr>
              <w:t>.具有上位机控制功能，软件支持控制光源激发，采集后显示并存储电学信号的数据结果；</w:t>
            </w:r>
          </w:p>
          <w:p>
            <w:pPr>
              <w:pStyle w:val="null3"/>
            </w:pPr>
            <w:r>
              <w:rPr>
                <w:rFonts w:ascii="仿宋_GB2312" w:hAnsi="仿宋_GB2312" w:cs="仿宋_GB2312" w:eastAsia="仿宋_GB2312"/>
                <w:sz w:val="24"/>
              </w:rPr>
              <w:t>1</w:t>
            </w:r>
            <w:r>
              <w:rPr>
                <w:rFonts w:ascii="仿宋_GB2312" w:hAnsi="仿宋_GB2312" w:cs="仿宋_GB2312" w:eastAsia="仿宋_GB2312"/>
                <w:sz w:val="24"/>
              </w:rPr>
              <w:t>9</w:t>
            </w:r>
            <w:r>
              <w:rPr>
                <w:rFonts w:ascii="仿宋_GB2312" w:hAnsi="仿宋_GB2312" w:cs="仿宋_GB2312" w:eastAsia="仿宋_GB2312"/>
                <w:sz w:val="24"/>
              </w:rPr>
              <w:t>.上位机物理存储空间≥1TB；</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接采购人书面通知后90个日历日完成供货、安装、调试，达到交付使用条件。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以采购人指定位置为准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预付款，合同签订后5个工作日内，甲方向乙方预付合同总价的40%，达到付款条件起5个工作日内，支付合同总金额的40.0%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进度款，设备运抵甲方指定地点并经甲方初步查验无误后7个工作日内，甲方向乙方支付合同总价的30%。，达到付款条件起7个工作日内，支付合同总金额的30.0%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成，经甲方最终验收合格并签署《验收合格报告》后，乙方开具全额合法有效的增值税专用发票，甲方在7个工作日内向乙方支付合同总价的30%。，达到付款条件起7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连续10个样品测试无故障； 关键参数与投标文件承诺值对比。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1.质保期：所提供产品质保期1年。质保期内乙方每年提供1次清洁保养服务。 2.产品保修期（三包期）：自验收合格之日起1年 3.产品保修期（三包期）内，修理、更换、退货要求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4、采购标的的安装调试及配套工程、质量保证、售后服务等要求 （1）安装调试要求 安装标准：执行GB50231-2009《机械设备安装工程施工及验收通用规范》； 调试周期：连续10个样品无故障运行测试； 人员培训：提供相关操作人员培训资料。 （2）配套工程：无 （3）质量保证：整套设备质保不少于1年，其他按照国家新三包规定办理。 （4）售后服务：响应时限：4小时内响应，24小时内提供解决方案。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本合同约定时间交付设备、完成安装调试、完成验收的，每逾期一日，应向采购人支付合同总金额1%的违约金；延迟超过15日的，采购人有权单方解除合同，要求退货，中标供应商除返还采购人已支付款项外，还应向采购人支付合同总金额10%的违约金，如该违约金不足以弥补采购人损失的，中标供应商还应予以赔偿。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投标文件。同时，中标人在领取中标通知书时需提交纸质版投标文件正本壹份、副本叁份。质版文件内容应与电子化交易系统中上传内容保持一致。纸质版投标文件的正本和副本应采用粘贴方式左侧装订，不得采用活页夹的可随时拆换的方式装订，不得有零散页。应按档案要求必须编制目录，无少页、缺页的现象，并连续页码（汇编材料要求首封面开始算第1页，后面只要有字的都算一页，连续编辑页码，尾封面有字算页码，无字不算页码，并在书脊处清楚写明项目名称）。文件送达地点：西安市未央区太华北路甲字88号大明宫中央广场A座22层代理部； 2、投标保证金注意事项：（1）投标保证金须从投标人户名支付，如从个人户名或非投标人户名支付，将被拒绝，视为自动放弃投标权利（该个人是投标人的情形除外）；以保函形式缴纳投标保证金的，投标人应在投标截止时间前将保函扫描成清晰的PDF文件，发送至邮箱1932571762@qq.com（邮件命名：项目名称、项目编号），并将保函原件单独递交至代理机构（采用电子保函形式的无需单独递交，发邮箱即可）。保函必须由具有开具投标保函资格的单位开具；若供应商违约，开具保函单位承担连带责任。（2）投标保证金的提交金额、时间不满足招标文件要求的，投标无效。（建议：投标人以转账形式缴纳时备注采购项目名称、项目编号，否则自行承担因款项用途不明导致无法辨别造成的不利后果） 3、根据《国务院办公厅关于在政府采购中实施本国产品标准及相关政策的通知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投标人提供《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复印件或扫描件加盖供应商单位公章）。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提供直接控股和管理关系承诺函。若与其他供应商存在单位负责人为同一人或者存在直接控股、管理关系的，则投标无效。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投标文件封面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2.投标人的投标报价高于最高限价的，响应文件按无效处理。</w:t>
            </w:r>
          </w:p>
        </w:tc>
        <w:tc>
          <w:tcPr>
            <w:tcW w:type="dxa" w:w="1661"/>
          </w:tcPr>
          <w:p>
            <w:pPr>
              <w:pStyle w:val="null3"/>
            </w:pPr>
            <w:r>
              <w:rPr>
                <w:rFonts w:ascii="仿宋_GB2312" w:hAnsi="仿宋_GB2312" w:cs="仿宋_GB2312" w:eastAsia="仿宋_GB2312"/>
              </w:rPr>
              <w:t>开标一览表 响应分项报价表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满足招标文件要求。招标文件未约定收取履约保证金的可不提交。</w:t>
            </w:r>
          </w:p>
        </w:tc>
        <w:tc>
          <w:tcPr>
            <w:tcW w:type="dxa" w:w="1661"/>
          </w:tcPr>
          <w:p>
            <w:pPr>
              <w:pStyle w:val="null3"/>
            </w:pPr>
            <w:r>
              <w:rPr>
                <w:rFonts w:ascii="仿宋_GB2312" w:hAnsi="仿宋_GB2312" w:cs="仿宋_GB2312" w:eastAsia="仿宋_GB2312"/>
              </w:rPr>
              <w:t>履约保证金承诺函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商务响应满足第三章3.4商务要求（合格），任意一条不满足（不合格）。</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无招标文件或法律法规明确规定响应无效的事项</w:t>
            </w:r>
          </w:p>
        </w:tc>
        <w:tc>
          <w:tcPr>
            <w:tcW w:type="dxa" w:w="3322"/>
          </w:tcPr>
          <w:p>
            <w:pPr>
              <w:pStyle w:val="null3"/>
            </w:pPr>
            <w:r>
              <w:rPr>
                <w:rFonts w:ascii="仿宋_GB2312" w:hAnsi="仿宋_GB2312" w:cs="仿宋_GB2312" w:eastAsia="仿宋_GB2312"/>
              </w:rPr>
              <w:t>没有招标文件或法律法规明确规定的被视为无效响应的其他条款。</w:t>
            </w:r>
          </w:p>
        </w:tc>
        <w:tc>
          <w:tcPr>
            <w:tcW w:type="dxa" w:w="1661"/>
          </w:tcPr>
          <w:p>
            <w:pPr>
              <w:pStyle w:val="null3"/>
            </w:pPr>
            <w:r>
              <w:rPr>
                <w:rFonts w:ascii="仿宋_GB2312" w:hAnsi="仿宋_GB2312" w:cs="仿宋_GB2312" w:eastAsia="仿宋_GB2312"/>
              </w:rPr>
              <w:t>投标函 陕西省政府采购供应商拒绝政府采购领域商业贿赂承诺书</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根据技术参数与性能指标响应情况打分，完全满足采购技术要求的，得满分。其中： （1）▲项（共6项）满分21分，该项负偏离扣3.5分，扣完为止。（2）未标项（共13项）满分13分，每项负偏离扣1分，扣完为止。 注：标注“▲”的参数须提供相关技术指标证明材料予以佐证，提供的佐证材料：国家认可的第三方检测机构出具的检测报告或产品彩页或技术白皮书或官网截图任意一种。不提供或缺漏项或不能证明的不得分。 注：投标人自行承担因材料提供不全导致的技术参数评审风险。</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投标人需针对本项目提供完整的项目实施方案，内容包含：①供货组织及进度安排；②对接及运输方案；③安装调试方案；④人员、物力调配安排。 二、评审标准 1、完整性：方案必须全面，对评审内容中的各项要求有详细描述； 2、可实施性：切合本项目实际情况，提出步骤清晰、合理的方案； 3、针对性：方案能够紧扣项目实际情况，内容科学合理。 三、赋分依据 ①供货组织及进度安排：每完全满足一个评审标准得1分，满分3分； ②对接及运输方案:每完全满足一个评审标准得0.5分，满分1.5分； ③安装调试方案:每完全满足一个评审标准得1分，满分3分； ④人员、物力调配安排：每完全满足一个评审标准得0.5分，满分1.5分。 内容有缺陷扣0.5分，缺项或未提供得0分。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根据项目实际需求，提供质量保证方案。内容包含：①产品性能、 使用寿命及效果；②质量管理体系及保证措施。 二、评审标准 1.可实施性：切合本项目实际情况，实施步骤清晰、合理； 2.针对性：方案能够紧扣项目实际情况，内容科学合理。 三、赋分依据 ①产品性能、使用寿命及效果：每完全满足一个评审标准得0.5分，满分1分； ②质量管理体系及保证措施:每完全满足一个评审标准得0.5分，满分1分。 内容有缺陷扣0.5分，缺项或未提供得0分。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根据投标人的培训服务方案，包括但不限于：①培训方案、培训时间；②培训内容、培训次数。 二、评审标准： 1、完整性：方案须全面，对评审内容中的各项要求有详细描述； 2、可实施性：切合本项目实际情况，实施步骤清晰、合理； 3、针对性：方案能够紧扣项目实际情况，内容科学合理。 三、赋分依据 ①培训方案、培训时间：每完全满足一项评审标准得0.5分，满分1.5分； ②培训内容、培训次数：每完全满足一项评审标准得0.5分，满分1.5分； 内容有缺陷扣0.5分，缺项或未提供得0分。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根据项目实际需求提供售后服务方案。内容包含：①售后服务范围；②响应时间及方式；③故障处理及补救措施；④定期回访及维护。 二、评审标准 1.完整性：方案必须全面，对评审内容中的各项要求有详细描述； 2.可实施性：切合本项目实际情况，提出步骤清晰、合理的方案； 3.针对性：方案能够紧扣项目实际情况，内容科学合理。 三、赋分依据 ①售后服务范围：每完全满足一个评审标准得0.5分，满分1.5分； ②响应时间及方式:每完全满足一个评审标准得0.5分，满分1.5分； ③故障处理及补救措施:每完全满足一个评审标准得0.5分，满分1.5分； ④定期回访及维护:每完全满足一个评审标准得0.5分，满分1.5分。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承诺质保期在满足招标文件（1年）要求的基础上，每增加一年得0.5分，满1分。无承诺不得分。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针对本项目的特点和需求等内容提供增值服务承诺（例如：硬件、软件更新、配件更换服务等增值服务）。每提供一项承诺，得0.5分，满分1分。无承诺不得分。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提供投标人2023年1月1日至今类似项目业绩（以合同签订日期为准），每提供一个业绩计1分，最高计4分。 赋分依据：提供业绩合同复印件或扫描件，并加盖投标人公章。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满足招标文件要求且投标价格最低的投标报价为评标基准价，其价格分为满分。其他供应商的价格分统一按照下列公式计算：投标报价得分=（评标基准价/投标报价）×价格权值×100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详见附件：响应分项报价表</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详见附件：履约保证金承诺函</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详见附件：投标方案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