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02"/>
        <w:gridCol w:w="629"/>
        <w:gridCol w:w="7491"/>
      </w:tblGrid>
      <w:tr w14:paraId="38CE9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02" w:type="dxa"/>
            <w:vAlign w:val="center"/>
          </w:tcPr>
          <w:p w14:paraId="58DFCC29">
            <w:pPr>
              <w:pStyle w:val="4"/>
              <w:jc w:val="center"/>
              <w:rPr>
                <w:rFonts w:hint="default" w:ascii="仿宋" w:hAnsi="仿宋" w:eastAsia="仿宋" w:cs="仿宋"/>
              </w:rPr>
            </w:pPr>
            <w:r>
              <w:rPr>
                <w:rFonts w:ascii="仿宋" w:hAnsi="仿宋" w:eastAsia="仿宋" w:cs="仿宋"/>
              </w:rPr>
              <w:t>序号</w:t>
            </w:r>
          </w:p>
        </w:tc>
        <w:tc>
          <w:tcPr>
            <w:tcW w:w="629" w:type="dxa"/>
            <w:vAlign w:val="center"/>
          </w:tcPr>
          <w:p w14:paraId="00C1E9BC">
            <w:pPr>
              <w:pStyle w:val="4"/>
              <w:jc w:val="center"/>
              <w:rPr>
                <w:rFonts w:hint="default" w:ascii="仿宋" w:hAnsi="仿宋" w:eastAsia="仿宋" w:cs="仿宋"/>
              </w:rPr>
            </w:pPr>
            <w:r>
              <w:rPr>
                <w:rFonts w:ascii="仿宋" w:hAnsi="仿宋" w:eastAsia="仿宋" w:cs="仿宋"/>
              </w:rPr>
              <w:t>参数性质</w:t>
            </w:r>
          </w:p>
        </w:tc>
        <w:tc>
          <w:tcPr>
            <w:tcW w:w="7491" w:type="dxa"/>
            <w:vAlign w:val="center"/>
          </w:tcPr>
          <w:p w14:paraId="26BAB819">
            <w:pPr>
              <w:pStyle w:val="4"/>
              <w:jc w:val="center"/>
              <w:rPr>
                <w:rFonts w:hint="default" w:ascii="仿宋" w:hAnsi="仿宋" w:eastAsia="仿宋" w:cs="仿宋"/>
              </w:rPr>
            </w:pPr>
            <w:r>
              <w:rPr>
                <w:rFonts w:ascii="仿宋" w:hAnsi="仿宋" w:eastAsia="仿宋" w:cs="仿宋"/>
              </w:rPr>
              <w:t>技术参数与性能指标</w:t>
            </w:r>
          </w:p>
        </w:tc>
      </w:tr>
      <w:tr w14:paraId="2863D0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02" w:type="dxa"/>
            <w:vAlign w:val="center"/>
          </w:tcPr>
          <w:p w14:paraId="7E9CC4C2">
            <w:pPr>
              <w:pStyle w:val="4"/>
              <w:jc w:val="center"/>
              <w:rPr>
                <w:rFonts w:hint="default" w:ascii="仿宋" w:hAnsi="仿宋" w:eastAsia="仿宋" w:cs="仿宋"/>
              </w:rPr>
            </w:pPr>
            <w:r>
              <w:rPr>
                <w:rFonts w:ascii="仿宋" w:hAnsi="仿宋" w:eastAsia="仿宋" w:cs="仿宋"/>
              </w:rPr>
              <w:t>1</w:t>
            </w:r>
          </w:p>
        </w:tc>
        <w:tc>
          <w:tcPr>
            <w:tcW w:w="629" w:type="dxa"/>
            <w:vAlign w:val="center"/>
          </w:tcPr>
          <w:p w14:paraId="609259BA">
            <w:pPr>
              <w:jc w:val="center"/>
              <w:rPr>
                <w:rFonts w:ascii="仿宋" w:hAnsi="仿宋" w:eastAsia="仿宋" w:cs="仿宋"/>
                <w:sz w:val="20"/>
                <w:szCs w:val="20"/>
              </w:rPr>
            </w:pPr>
          </w:p>
        </w:tc>
        <w:tc>
          <w:tcPr>
            <w:tcW w:w="7491" w:type="dxa"/>
          </w:tcPr>
          <w:p w14:paraId="305EDA0E">
            <w:pPr>
              <w:rPr>
                <w:rFonts w:ascii="仿宋" w:hAnsi="仿宋" w:eastAsia="仿宋" w:cs="仿宋"/>
                <w:b/>
                <w:bCs/>
                <w:sz w:val="20"/>
                <w:szCs w:val="20"/>
              </w:rPr>
            </w:pPr>
            <w:r>
              <w:rPr>
                <w:rFonts w:hint="eastAsia" w:ascii="仿宋" w:hAnsi="仿宋" w:eastAsia="仿宋" w:cs="仿宋"/>
                <w:b/>
                <w:bCs/>
                <w:sz w:val="20"/>
                <w:szCs w:val="20"/>
              </w:rPr>
              <w:t>一、项目概况：</w:t>
            </w:r>
          </w:p>
          <w:p w14:paraId="702608F8">
            <w:pPr>
              <w:ind w:firstLine="400" w:firstLineChars="200"/>
              <w:rPr>
                <w:rFonts w:ascii="仿宋" w:hAnsi="仿宋" w:eastAsia="仿宋" w:cs="仿宋"/>
                <w:sz w:val="20"/>
                <w:szCs w:val="20"/>
              </w:rPr>
            </w:pPr>
            <w:r>
              <w:rPr>
                <w:rFonts w:hint="eastAsia" w:ascii="仿宋" w:hAnsi="仿宋" w:eastAsia="仿宋" w:cs="仿宋"/>
                <w:sz w:val="20"/>
                <w:szCs w:val="20"/>
              </w:rPr>
              <w:t>1、项目背景：富平校区大中小一体化思政教育实践中心工程项目位于渭南师范学院富平校区实训楼二层部分区，建筑面积约1400平方米，采购工程建设部分。</w:t>
            </w:r>
          </w:p>
          <w:p w14:paraId="07E05157">
            <w:pPr>
              <w:rPr>
                <w:rFonts w:ascii="仿宋" w:hAnsi="仿宋" w:eastAsia="仿宋" w:cs="仿宋"/>
                <w:sz w:val="20"/>
                <w:szCs w:val="20"/>
              </w:rPr>
            </w:pPr>
            <w:r>
              <w:rPr>
                <w:rFonts w:hint="eastAsia" w:ascii="仿宋" w:hAnsi="仿宋" w:eastAsia="仿宋" w:cs="仿宋"/>
                <w:sz w:val="20"/>
                <w:szCs w:val="20"/>
              </w:rPr>
              <w:t>为深入贯彻落实党的二十大精神及关于思想政治教育的重要论述，紧扣学校《推进大中小学思想政治教育一体化建设实施方案》要求，以铸魂育人、贯通衔接、知行合一、润心赋能为核心，紧扣大中小学思想政治教育一体化主线，立足渭南富平红色资源与华夏文化底蕴，打造全国一流、错位发展、学段适配、科技赋能、实践闭环的思政研学示范基地，避免沦为地方文化馆或传统红色展馆，突出思想政治教育范式创新与渭师特色。</w:t>
            </w:r>
          </w:p>
          <w:p w14:paraId="7C7A8B49">
            <w:pPr>
              <w:ind w:firstLine="400" w:firstLineChars="200"/>
              <w:rPr>
                <w:rFonts w:ascii="仿宋" w:hAnsi="仿宋" w:eastAsia="仿宋" w:cs="仿宋"/>
                <w:sz w:val="20"/>
                <w:szCs w:val="20"/>
              </w:rPr>
            </w:pPr>
            <w:r>
              <w:rPr>
                <w:rFonts w:hint="eastAsia" w:ascii="仿宋" w:hAnsi="仿宋" w:eastAsia="仿宋" w:cs="仿宋"/>
                <w:sz w:val="20"/>
                <w:szCs w:val="20"/>
              </w:rPr>
              <w:t>2、必要性：落实立德树人根本任务，打造全国一流思政研学标杆。</w:t>
            </w:r>
          </w:p>
          <w:p w14:paraId="24D83EE4">
            <w:pPr>
              <w:ind w:firstLine="400" w:firstLineChars="200"/>
              <w:rPr>
                <w:rFonts w:ascii="仿宋" w:hAnsi="仿宋" w:eastAsia="仿宋" w:cs="仿宋"/>
                <w:sz w:val="20"/>
                <w:szCs w:val="20"/>
              </w:rPr>
            </w:pPr>
            <w:r>
              <w:rPr>
                <w:rFonts w:hint="eastAsia" w:ascii="仿宋" w:hAnsi="仿宋" w:eastAsia="仿宋" w:cs="仿宋"/>
                <w:sz w:val="20"/>
                <w:szCs w:val="20"/>
              </w:rPr>
              <w:t>3、项目内容：采购富平校区大中小一体化思政教育实践中心工程部分，包括土建工程、电气工程、弱点工程等，具体数量清单详见采购内容清单。</w:t>
            </w:r>
          </w:p>
          <w:p w14:paraId="39D72E96">
            <w:pPr>
              <w:ind w:firstLine="400" w:firstLineChars="200"/>
              <w:rPr>
                <w:rFonts w:ascii="仿宋" w:hAnsi="仿宋" w:eastAsia="仿宋" w:cs="仿宋"/>
                <w:sz w:val="20"/>
                <w:szCs w:val="20"/>
              </w:rPr>
            </w:pPr>
            <w:r>
              <w:rPr>
                <w:rFonts w:hint="eastAsia" w:ascii="仿宋" w:hAnsi="仿宋" w:eastAsia="仿宋" w:cs="仿宋"/>
                <w:sz w:val="20"/>
                <w:szCs w:val="20"/>
              </w:rPr>
              <w:t>4、用途：建成富平校区大中小一体化思政教育实践中心，用于思政课程现场实践教学，面向全省大中小学承接分学段研学实践，构建校内外、课内外育人格局。</w:t>
            </w:r>
          </w:p>
          <w:p w14:paraId="55B7341B">
            <w:pPr>
              <w:ind w:firstLine="400" w:firstLineChars="200"/>
              <w:rPr>
                <w:rFonts w:ascii="仿宋" w:hAnsi="仿宋" w:eastAsia="仿宋" w:cs="仿宋"/>
                <w:sz w:val="20"/>
                <w:szCs w:val="20"/>
              </w:rPr>
            </w:pPr>
            <w:r>
              <w:rPr>
                <w:rFonts w:hint="eastAsia" w:ascii="仿宋" w:hAnsi="仿宋" w:eastAsia="仿宋" w:cs="仿宋"/>
                <w:sz w:val="20"/>
                <w:szCs w:val="20"/>
              </w:rPr>
              <w:t>5、实施计划及方案：</w:t>
            </w:r>
          </w:p>
          <w:p w14:paraId="1A384C8A">
            <w:pPr>
              <w:ind w:firstLine="400" w:firstLineChars="200"/>
              <w:rPr>
                <w:rFonts w:ascii="仿宋" w:hAnsi="仿宋" w:eastAsia="仿宋" w:cs="仿宋"/>
                <w:sz w:val="20"/>
                <w:szCs w:val="20"/>
              </w:rPr>
            </w:pPr>
            <w:r>
              <w:rPr>
                <w:rFonts w:hint="eastAsia" w:ascii="仿宋" w:hAnsi="仿宋" w:eastAsia="仿宋" w:cs="仿宋"/>
                <w:sz w:val="20"/>
                <w:szCs w:val="20"/>
              </w:rPr>
              <w:t>5.1施工准备阶段：完成现场交底、尺寸复核、施工方案确认；清理现场杂物、做好成品保护（原有保留设施防护）；进场材料、施工工具、作业人员筹备；办理现场施工相关报备手续，做好现场水电点位标记、施工区域围挡隔离。</w:t>
            </w:r>
          </w:p>
          <w:p w14:paraId="76A5C202">
            <w:pPr>
              <w:ind w:firstLine="400" w:firstLineChars="200"/>
              <w:rPr>
                <w:rFonts w:ascii="仿宋" w:hAnsi="仿宋" w:eastAsia="仿宋" w:cs="仿宋"/>
                <w:sz w:val="20"/>
                <w:szCs w:val="20"/>
              </w:rPr>
            </w:pPr>
            <w:r>
              <w:rPr>
                <w:rFonts w:hint="eastAsia" w:ascii="仿宋" w:hAnsi="仿宋" w:eastAsia="仿宋" w:cs="仿宋"/>
                <w:sz w:val="20"/>
                <w:szCs w:val="20"/>
              </w:rPr>
              <w:t>5.2基础改造施工阶段：开展装修前期基础施工，主要包含墙体拆除与修补、水电线路改造、开槽布线、水管铺设打压、防水涂刷及闭水试验、墙面基层找平、顶面基层处理等隐蔽及基础工序。每道工序完成后自检自查，合格后进入下一工序。</w:t>
            </w:r>
          </w:p>
          <w:p w14:paraId="3B87A223">
            <w:pPr>
              <w:rPr>
                <w:rFonts w:ascii="仿宋" w:hAnsi="仿宋" w:eastAsia="仿宋" w:cs="仿宋"/>
                <w:sz w:val="20"/>
                <w:szCs w:val="20"/>
              </w:rPr>
            </w:pPr>
            <w:r>
              <w:rPr>
                <w:rFonts w:hint="eastAsia" w:ascii="仿宋" w:hAnsi="仿宋" w:eastAsia="仿宋" w:cs="仿宋"/>
                <w:sz w:val="20"/>
                <w:szCs w:val="20"/>
              </w:rPr>
              <w:t>面层装修及安装阶段：基础工程验收合格后，开展面层施工与配套安装。</w:t>
            </w:r>
          </w:p>
          <w:p w14:paraId="07C9DC3F">
            <w:pPr>
              <w:ind w:firstLine="400" w:firstLineChars="200"/>
              <w:rPr>
                <w:rFonts w:ascii="仿宋" w:hAnsi="仿宋" w:eastAsia="仿宋" w:cs="仿宋"/>
                <w:sz w:val="20"/>
                <w:szCs w:val="20"/>
              </w:rPr>
            </w:pPr>
            <w:r>
              <w:rPr>
                <w:rFonts w:hint="eastAsia" w:ascii="仿宋" w:hAnsi="仿宋" w:eastAsia="仿宋" w:cs="仿宋"/>
                <w:sz w:val="20"/>
                <w:szCs w:val="20"/>
              </w:rPr>
              <w:t>6、主要内容：墙面批刮腻子、打磨、刷漆/贴砖，地面铺砖/地坪处理，吊顶安装；门窗、柜体、洁具、灯具、开关插座等全屋配套设施安装调试，同步做好各工序成品保护，避免磕碰损坏。</w:t>
            </w:r>
          </w:p>
          <w:p w14:paraId="2650117F">
            <w:pPr>
              <w:ind w:firstLine="400" w:firstLineChars="200"/>
              <w:rPr>
                <w:rFonts w:ascii="仿宋" w:hAnsi="仿宋" w:eastAsia="仿宋" w:cs="仿宋"/>
                <w:sz w:val="20"/>
                <w:szCs w:val="20"/>
              </w:rPr>
            </w:pPr>
            <w:r>
              <w:rPr>
                <w:rFonts w:hint="eastAsia" w:ascii="仿宋" w:hAnsi="仿宋" w:eastAsia="仿宋" w:cs="仿宋"/>
                <w:sz w:val="20"/>
                <w:szCs w:val="20"/>
              </w:rPr>
              <w:t>7、收尾整改及交付阶段：完成全部装修施工后，开展细部收口、边角整改、瑕疵修补；进行全屋清洁保洁；对照施工标准逐项自检，整改遗留问题；配合业主完成竣工验收，确认施工合格后，完成现场移交，对接后续质保服务。</w:t>
            </w:r>
          </w:p>
          <w:p w14:paraId="13BB49DF">
            <w:pPr>
              <w:ind w:firstLine="400" w:firstLineChars="200"/>
              <w:rPr>
                <w:rFonts w:ascii="仿宋" w:hAnsi="仿宋" w:eastAsia="仿宋" w:cs="仿宋"/>
                <w:sz w:val="20"/>
                <w:szCs w:val="20"/>
              </w:rPr>
            </w:pPr>
            <w:r>
              <w:rPr>
                <w:rFonts w:hint="eastAsia" w:ascii="仿宋" w:hAnsi="仿宋" w:eastAsia="仿宋" w:cs="仿宋"/>
                <w:sz w:val="20"/>
                <w:szCs w:val="20"/>
              </w:rPr>
              <w:t>8、预期效益：</w:t>
            </w:r>
          </w:p>
          <w:p w14:paraId="40EDB02F">
            <w:pPr>
              <w:ind w:firstLine="400" w:firstLineChars="200"/>
              <w:rPr>
                <w:rFonts w:ascii="仿宋" w:hAnsi="仿宋" w:eastAsia="仿宋" w:cs="仿宋"/>
                <w:sz w:val="20"/>
                <w:szCs w:val="20"/>
              </w:rPr>
            </w:pPr>
            <w:r>
              <w:rPr>
                <w:rFonts w:hint="eastAsia" w:ascii="仿宋" w:hAnsi="仿宋" w:eastAsia="仿宋" w:cs="仿宋"/>
                <w:sz w:val="20"/>
                <w:szCs w:val="20"/>
              </w:rPr>
              <w:t>（1）全学段贯通育人：打破学段壁垒，提升思政素养与心理品质，培育时代新人；</w:t>
            </w:r>
          </w:p>
          <w:p w14:paraId="75BC91E5">
            <w:pPr>
              <w:ind w:firstLine="400" w:firstLineChars="200"/>
              <w:rPr>
                <w:rFonts w:ascii="仿宋" w:hAnsi="仿宋" w:eastAsia="仿宋" w:cs="仿宋"/>
                <w:sz w:val="20"/>
                <w:szCs w:val="20"/>
              </w:rPr>
            </w:pPr>
            <w:r>
              <w:rPr>
                <w:rFonts w:hint="eastAsia" w:ascii="仿宋" w:hAnsi="仿宋" w:eastAsia="仿宋" w:cs="仿宋"/>
                <w:sz w:val="20"/>
                <w:szCs w:val="20"/>
              </w:rPr>
              <w:t>（2）创新育人模式：形成可复制的渭师样板，领跑全国一体化思政研学场馆；</w:t>
            </w:r>
          </w:p>
          <w:p w14:paraId="5F4DA38C">
            <w:pPr>
              <w:ind w:firstLine="400" w:firstLineChars="200"/>
              <w:rPr>
                <w:rFonts w:ascii="仿宋" w:hAnsi="仿宋" w:eastAsia="仿宋" w:cs="仿宋"/>
                <w:sz w:val="20"/>
                <w:szCs w:val="20"/>
              </w:rPr>
            </w:pPr>
            <w:r>
              <w:rPr>
                <w:rFonts w:hint="eastAsia" w:ascii="仿宋" w:hAnsi="仿宋" w:eastAsia="仿宋" w:cs="仿宋"/>
                <w:sz w:val="20"/>
                <w:szCs w:val="20"/>
              </w:rPr>
              <w:t>（3）校地资源联动：成立共建联盟，赋能区域思政教育提质增效；</w:t>
            </w:r>
          </w:p>
          <w:p w14:paraId="06929A85">
            <w:pPr>
              <w:ind w:firstLine="400" w:firstLineChars="200"/>
              <w:rPr>
                <w:rFonts w:ascii="仿宋" w:hAnsi="仿宋" w:eastAsia="仿宋" w:cs="仿宋"/>
                <w:sz w:val="20"/>
                <w:szCs w:val="20"/>
              </w:rPr>
            </w:pPr>
            <w:r>
              <w:rPr>
                <w:rFonts w:hint="eastAsia" w:ascii="仿宋" w:hAnsi="仿宋" w:eastAsia="仿宋" w:cs="仿宋"/>
                <w:sz w:val="20"/>
                <w:szCs w:val="20"/>
              </w:rPr>
              <w:t>（4）全域协同育人：年接待研学超万人次，构建校内外、课内外育人格局。</w:t>
            </w:r>
          </w:p>
        </w:tc>
      </w:tr>
      <w:tr w14:paraId="0034B6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02" w:type="dxa"/>
            <w:vAlign w:val="center"/>
          </w:tcPr>
          <w:p w14:paraId="2E86F018">
            <w:pPr>
              <w:pStyle w:val="4"/>
              <w:jc w:val="center"/>
              <w:rPr>
                <w:rFonts w:hint="default" w:ascii="仿宋" w:hAnsi="仿宋" w:eastAsia="仿宋" w:cs="仿宋"/>
                <w:lang w:eastAsia="zh-CN"/>
              </w:rPr>
            </w:pPr>
            <w:r>
              <w:rPr>
                <w:rFonts w:ascii="仿宋" w:hAnsi="仿宋" w:eastAsia="仿宋" w:cs="仿宋"/>
                <w:lang w:eastAsia="zh-CN"/>
              </w:rPr>
              <w:t>2</w:t>
            </w:r>
          </w:p>
        </w:tc>
        <w:tc>
          <w:tcPr>
            <w:tcW w:w="629" w:type="dxa"/>
            <w:vAlign w:val="center"/>
          </w:tcPr>
          <w:p w14:paraId="29E4A459">
            <w:pPr>
              <w:jc w:val="center"/>
              <w:rPr>
                <w:rFonts w:ascii="仿宋" w:hAnsi="仿宋" w:eastAsia="仿宋" w:cs="仿宋"/>
                <w:sz w:val="20"/>
                <w:szCs w:val="20"/>
              </w:rPr>
            </w:pPr>
          </w:p>
        </w:tc>
        <w:tc>
          <w:tcPr>
            <w:tcW w:w="7491" w:type="dxa"/>
          </w:tcPr>
          <w:p w14:paraId="1506124B">
            <w:pPr>
              <w:rPr>
                <w:rFonts w:ascii="宋体" w:hAnsi="宋体" w:cs="Courier New"/>
                <w:b/>
                <w:sz w:val="28"/>
                <w:szCs w:val="28"/>
              </w:rPr>
            </w:pPr>
            <w:r>
              <w:rPr>
                <w:rFonts w:hint="eastAsia" w:ascii="仿宋" w:hAnsi="仿宋" w:eastAsia="仿宋" w:cs="仿宋"/>
                <w:b/>
                <w:bCs/>
                <w:sz w:val="20"/>
                <w:szCs w:val="20"/>
              </w:rPr>
              <w:t>二、工程主要内容及预估量</w:t>
            </w:r>
          </w:p>
          <w:p w14:paraId="26E07BEF">
            <w:pPr>
              <w:ind w:firstLine="400" w:firstLineChars="200"/>
              <w:rPr>
                <w:rFonts w:ascii="仿宋" w:hAnsi="仿宋" w:eastAsia="仿宋" w:cs="仿宋"/>
                <w:sz w:val="20"/>
                <w:szCs w:val="20"/>
              </w:rPr>
            </w:pPr>
            <w:r>
              <w:rPr>
                <w:rFonts w:hint="eastAsia" w:ascii="仿宋" w:hAnsi="仿宋" w:eastAsia="仿宋" w:cs="仿宋"/>
                <w:sz w:val="20"/>
                <w:szCs w:val="20"/>
              </w:rPr>
              <w:t>1、渭南师范学院大中小思政教育一体化研学馆展馆展厅、实践体验工坊改造建设项目工程内容主要，拆除工程内容：①原实践体验工坊及展厅部分内隔墙体拆除；②门窗及对应墙体拆除。改造部分工程：①重新分割房间布局新建轻质隔墙；②新做包括墙面、地面、天棚在内的全部装修；③新做墙面、天棚全部造型内容；④新做室内独立造型；⑤新做配套装修部分照明、插座系统，监控、综合布线弱电系统。</w:t>
            </w:r>
          </w:p>
          <w:p w14:paraId="15D9B76F">
            <w:pPr>
              <w:ind w:firstLine="402" w:firstLineChars="200"/>
              <w:rPr>
                <w:rFonts w:ascii="仿宋" w:hAnsi="仿宋" w:eastAsia="仿宋" w:cs="仿宋"/>
                <w:sz w:val="20"/>
                <w:szCs w:val="20"/>
              </w:rPr>
            </w:pPr>
            <w:r>
              <w:rPr>
                <w:rFonts w:hint="eastAsia" w:ascii="仿宋" w:hAnsi="仿宋" w:eastAsia="仿宋" w:cs="仿宋"/>
                <w:b/>
                <w:bCs/>
                <w:sz w:val="20"/>
                <w:szCs w:val="20"/>
              </w:rPr>
              <w:t>2、具体工程内容详见附件工程量清单及施工图纸等。</w:t>
            </w:r>
          </w:p>
        </w:tc>
      </w:tr>
      <w:tr w14:paraId="65B6F9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02" w:type="dxa"/>
            <w:vAlign w:val="center"/>
          </w:tcPr>
          <w:p w14:paraId="0D7C4C46">
            <w:pPr>
              <w:pStyle w:val="4"/>
              <w:jc w:val="center"/>
              <w:rPr>
                <w:rFonts w:hint="default" w:ascii="仿宋" w:hAnsi="仿宋" w:eastAsia="仿宋" w:cs="仿宋"/>
                <w:lang w:eastAsia="zh-CN"/>
              </w:rPr>
            </w:pPr>
            <w:r>
              <w:rPr>
                <w:rFonts w:ascii="仿宋" w:hAnsi="仿宋" w:eastAsia="仿宋" w:cs="仿宋"/>
                <w:lang w:eastAsia="zh-CN"/>
              </w:rPr>
              <w:t>3</w:t>
            </w:r>
          </w:p>
        </w:tc>
        <w:tc>
          <w:tcPr>
            <w:tcW w:w="629" w:type="dxa"/>
            <w:vAlign w:val="center"/>
          </w:tcPr>
          <w:p w14:paraId="6F305007">
            <w:pPr>
              <w:jc w:val="center"/>
              <w:rPr>
                <w:rFonts w:ascii="仿宋" w:hAnsi="仿宋" w:eastAsia="仿宋" w:cs="仿宋"/>
                <w:sz w:val="20"/>
                <w:szCs w:val="20"/>
              </w:rPr>
            </w:pPr>
          </w:p>
        </w:tc>
        <w:tc>
          <w:tcPr>
            <w:tcW w:w="7491" w:type="dxa"/>
          </w:tcPr>
          <w:p w14:paraId="12454A6E">
            <w:pPr>
              <w:rPr>
                <w:rFonts w:ascii="仿宋" w:hAnsi="仿宋" w:eastAsia="仿宋" w:cs="仿宋"/>
                <w:b/>
                <w:bCs/>
                <w:sz w:val="20"/>
                <w:szCs w:val="20"/>
              </w:rPr>
            </w:pPr>
            <w:r>
              <w:rPr>
                <w:rFonts w:hint="eastAsia" w:ascii="仿宋" w:hAnsi="仿宋" w:eastAsia="仿宋" w:cs="仿宋"/>
                <w:b/>
                <w:bCs/>
                <w:sz w:val="20"/>
                <w:szCs w:val="20"/>
              </w:rPr>
              <w:t>三、技术要求</w:t>
            </w:r>
          </w:p>
          <w:p w14:paraId="748F5700">
            <w:pPr>
              <w:ind w:firstLine="400" w:firstLineChars="200"/>
              <w:rPr>
                <w:rFonts w:ascii="仿宋" w:hAnsi="仿宋" w:eastAsia="仿宋" w:cs="仿宋"/>
                <w:sz w:val="20"/>
                <w:szCs w:val="20"/>
              </w:rPr>
            </w:pPr>
            <w:r>
              <w:rPr>
                <w:rFonts w:hint="eastAsia" w:ascii="仿宋" w:hAnsi="仿宋" w:eastAsia="仿宋" w:cs="仿宋"/>
                <w:sz w:val="20"/>
                <w:szCs w:val="20"/>
              </w:rPr>
              <w:t>材料设备规格、性能符合设计及国家现行规范标准，具备合格证明。施工安装符合GB 50303、GB 50210等规范，管路敷设顺直牢固，线缆布设规范，器具安装平整可靠，系统功能完好。隐蔽工程验收合格后方可隐蔽，整体工程质量合格，通电、功能测试正常，运行稳定。</w:t>
            </w:r>
          </w:p>
        </w:tc>
      </w:tr>
      <w:tr w14:paraId="098D9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02" w:type="dxa"/>
            <w:vAlign w:val="center"/>
          </w:tcPr>
          <w:p w14:paraId="09916F88">
            <w:pPr>
              <w:pStyle w:val="4"/>
              <w:jc w:val="center"/>
              <w:rPr>
                <w:rFonts w:hint="default" w:ascii="仿宋" w:hAnsi="仿宋" w:eastAsia="仿宋" w:cs="仿宋"/>
                <w:lang w:val="en-US" w:eastAsia="zh-CN"/>
              </w:rPr>
            </w:pPr>
            <w:r>
              <w:rPr>
                <w:rFonts w:hint="eastAsia" w:ascii="仿宋" w:hAnsi="仿宋" w:eastAsia="仿宋" w:cs="仿宋"/>
                <w:lang w:val="en-US" w:eastAsia="zh-CN"/>
              </w:rPr>
              <w:t>4</w:t>
            </w:r>
          </w:p>
        </w:tc>
        <w:tc>
          <w:tcPr>
            <w:tcW w:w="629" w:type="dxa"/>
            <w:vAlign w:val="center"/>
          </w:tcPr>
          <w:p w14:paraId="79D56F30">
            <w:pPr>
              <w:jc w:val="center"/>
              <w:rPr>
                <w:rFonts w:ascii="仿宋" w:hAnsi="仿宋" w:eastAsia="仿宋" w:cs="仿宋"/>
                <w:sz w:val="20"/>
                <w:szCs w:val="20"/>
              </w:rPr>
            </w:pPr>
          </w:p>
        </w:tc>
        <w:tc>
          <w:tcPr>
            <w:tcW w:w="7491" w:type="dxa"/>
            <w:shd w:val="clear" w:color="auto" w:fill="auto"/>
            <w:vAlign w:val="top"/>
          </w:tcPr>
          <w:p w14:paraId="0B0FC90A">
            <w:pPr>
              <w:rPr>
                <w:rFonts w:ascii="仿宋" w:hAnsi="仿宋" w:eastAsia="仿宋" w:cs="仿宋"/>
                <w:b/>
                <w:bCs/>
                <w:sz w:val="20"/>
                <w:szCs w:val="20"/>
              </w:rPr>
            </w:pPr>
            <w:r>
              <w:rPr>
                <w:rFonts w:hint="eastAsia" w:ascii="仿宋" w:hAnsi="仿宋" w:eastAsia="仿宋" w:cs="仿宋"/>
                <w:b/>
                <w:bCs/>
                <w:sz w:val="20"/>
                <w:szCs w:val="20"/>
                <w:lang w:val="en-US" w:eastAsia="zh-CN"/>
              </w:rPr>
              <w:t>四</w:t>
            </w:r>
            <w:r>
              <w:rPr>
                <w:rFonts w:hint="eastAsia" w:ascii="仿宋" w:hAnsi="仿宋" w:eastAsia="仿宋" w:cs="仿宋"/>
                <w:b/>
                <w:bCs/>
                <w:sz w:val="20"/>
                <w:szCs w:val="20"/>
              </w:rPr>
              <w:t>、质量标准</w:t>
            </w:r>
          </w:p>
          <w:p w14:paraId="1B8D68C2">
            <w:pPr>
              <w:ind w:firstLine="400" w:firstLineChars="200"/>
              <w:rPr>
                <w:rFonts w:hint="default" w:ascii="仿宋" w:hAnsi="仿宋" w:eastAsia="仿宋" w:cs="仿宋"/>
                <w:kern w:val="2"/>
                <w:sz w:val="20"/>
                <w:szCs w:val="20"/>
                <w:lang w:val="en-US" w:eastAsia="zh-CN" w:bidi="ar-SA"/>
              </w:rPr>
            </w:pPr>
            <w:r>
              <w:rPr>
                <w:rFonts w:hint="eastAsia" w:ascii="仿宋" w:hAnsi="仿宋" w:eastAsia="仿宋" w:cs="仿宋"/>
                <w:sz w:val="20"/>
                <w:szCs w:val="20"/>
              </w:rPr>
              <w:t>所有施工工序做工精细、平整顺直，无明显瑕疵、无松动脱落、无空鼓开裂现象；现场施工尺寸、点位、造型与图纸一致，所有工序验收合格、资料齐全，整体工程质量达到合格标准。</w:t>
            </w:r>
          </w:p>
        </w:tc>
      </w:tr>
      <w:tr w14:paraId="4502E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02" w:type="dxa"/>
            <w:vAlign w:val="center"/>
          </w:tcPr>
          <w:p w14:paraId="78FC0F28">
            <w:pPr>
              <w:pStyle w:val="4"/>
              <w:jc w:val="center"/>
              <w:rPr>
                <w:rFonts w:hint="default" w:ascii="仿宋" w:hAnsi="仿宋" w:eastAsia="仿宋" w:cs="仿宋"/>
                <w:lang w:val="en-US" w:eastAsia="zh-CN"/>
              </w:rPr>
            </w:pPr>
            <w:r>
              <w:rPr>
                <w:rFonts w:hint="eastAsia" w:ascii="仿宋" w:hAnsi="仿宋" w:eastAsia="仿宋" w:cs="仿宋"/>
                <w:lang w:val="en-US" w:eastAsia="zh-CN"/>
              </w:rPr>
              <w:t>5</w:t>
            </w:r>
          </w:p>
        </w:tc>
        <w:tc>
          <w:tcPr>
            <w:tcW w:w="629" w:type="dxa"/>
            <w:vAlign w:val="center"/>
          </w:tcPr>
          <w:p w14:paraId="3DB2604A">
            <w:pPr>
              <w:jc w:val="center"/>
              <w:rPr>
                <w:rFonts w:ascii="仿宋" w:hAnsi="仿宋" w:eastAsia="仿宋" w:cs="仿宋"/>
                <w:sz w:val="20"/>
                <w:szCs w:val="20"/>
              </w:rPr>
            </w:pPr>
          </w:p>
        </w:tc>
        <w:tc>
          <w:tcPr>
            <w:tcW w:w="7491" w:type="dxa"/>
            <w:shd w:val="clear" w:color="auto" w:fill="auto"/>
            <w:vAlign w:val="top"/>
          </w:tcPr>
          <w:p w14:paraId="48FA57AD">
            <w:pPr>
              <w:rPr>
                <w:rFonts w:ascii="仿宋" w:hAnsi="仿宋" w:eastAsia="仿宋" w:cs="仿宋"/>
                <w:b/>
                <w:bCs/>
                <w:sz w:val="20"/>
                <w:szCs w:val="20"/>
              </w:rPr>
            </w:pPr>
            <w:r>
              <w:rPr>
                <w:rFonts w:hint="eastAsia" w:ascii="仿宋" w:hAnsi="仿宋" w:eastAsia="仿宋" w:cs="仿宋"/>
                <w:b/>
                <w:bCs/>
                <w:sz w:val="20"/>
                <w:szCs w:val="20"/>
                <w:lang w:val="en-US" w:eastAsia="zh-CN"/>
              </w:rPr>
              <w:t>五</w:t>
            </w:r>
            <w:r>
              <w:rPr>
                <w:rFonts w:hint="eastAsia" w:ascii="仿宋" w:hAnsi="仿宋" w:eastAsia="仿宋" w:cs="仿宋"/>
                <w:b/>
                <w:bCs/>
                <w:sz w:val="20"/>
                <w:szCs w:val="20"/>
              </w:rPr>
              <w:t>、其他要求</w:t>
            </w:r>
          </w:p>
          <w:p w14:paraId="446E2DED">
            <w:pPr>
              <w:ind w:firstLine="400" w:firstLineChars="200"/>
              <w:rPr>
                <w:rFonts w:ascii="仿宋" w:hAnsi="仿宋" w:eastAsia="仿宋" w:cs="仿宋"/>
                <w:kern w:val="2"/>
                <w:sz w:val="20"/>
                <w:szCs w:val="20"/>
                <w:lang w:val="en-US" w:eastAsia="zh-CN" w:bidi="ar-SA"/>
              </w:rPr>
            </w:pPr>
            <w:r>
              <w:rPr>
                <w:rFonts w:hint="eastAsia" w:ascii="仿宋" w:hAnsi="仿宋" w:eastAsia="仿宋" w:cs="仿宋"/>
                <w:sz w:val="20"/>
                <w:szCs w:val="20"/>
              </w:rPr>
              <w:t>施工进场前，现场场地清理完成，无大量杂物堆积，作业区域通水、通电，满足装修施工作业条件。施工区域周边做好隔离防护，避免外部因素干扰施工；原有保留构件、设施做好成品保护，防止施工造成磕碰损坏。施工所需材料、机具按进度分批进场，材料进场核对规格、质量，机具提前调试完好，保障连续施工。施工过程同步做好工序报验、隐蔽检查，及时整理施工记录，做好现场垃圾归集清运。选用的装修材料符合国家环保相关标准，严禁使用不合格、有害物质超标的材料。本项目总工期 3 个月，工期自正式进场开工之日起计算，工期已适当考虑材料供货、细部整改等合理弹性时间。需完成学校合理范围内的修改和调整，并协调完成货物部分的预安装工作等。</w:t>
            </w:r>
          </w:p>
        </w:tc>
      </w:tr>
      <w:tr w14:paraId="67510C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02" w:type="dxa"/>
            <w:vAlign w:val="center"/>
          </w:tcPr>
          <w:p w14:paraId="130E6838">
            <w:pPr>
              <w:pStyle w:val="4"/>
              <w:jc w:val="center"/>
              <w:rPr>
                <w:rFonts w:hint="default" w:ascii="仿宋" w:hAnsi="仿宋" w:eastAsia="仿宋" w:cs="仿宋"/>
                <w:lang w:val="en-US" w:eastAsia="zh-CN"/>
              </w:rPr>
            </w:pPr>
            <w:r>
              <w:rPr>
                <w:rFonts w:hint="eastAsia" w:ascii="仿宋" w:hAnsi="仿宋" w:eastAsia="仿宋" w:cs="仿宋"/>
                <w:lang w:val="en-US" w:eastAsia="zh-CN"/>
              </w:rPr>
              <w:t>6</w:t>
            </w:r>
          </w:p>
        </w:tc>
        <w:tc>
          <w:tcPr>
            <w:tcW w:w="629" w:type="dxa"/>
            <w:vAlign w:val="center"/>
          </w:tcPr>
          <w:p w14:paraId="0447ECB8">
            <w:pPr>
              <w:jc w:val="center"/>
              <w:rPr>
                <w:rFonts w:ascii="仿宋" w:hAnsi="仿宋" w:eastAsia="仿宋" w:cs="仿宋"/>
                <w:sz w:val="20"/>
                <w:szCs w:val="20"/>
              </w:rPr>
            </w:pPr>
          </w:p>
        </w:tc>
        <w:tc>
          <w:tcPr>
            <w:tcW w:w="7491" w:type="dxa"/>
            <w:shd w:val="clear" w:color="auto" w:fill="auto"/>
            <w:vAlign w:val="top"/>
          </w:tcPr>
          <w:p w14:paraId="41026281">
            <w:pPr>
              <w:rPr>
                <w:rFonts w:ascii="仿宋" w:hAnsi="仿宋" w:eastAsia="仿宋" w:cs="仿宋"/>
                <w:b/>
                <w:bCs/>
                <w:sz w:val="20"/>
                <w:szCs w:val="20"/>
              </w:rPr>
            </w:pPr>
            <w:r>
              <w:rPr>
                <w:rFonts w:hint="eastAsia" w:ascii="仿宋" w:hAnsi="仿宋" w:eastAsia="仿宋" w:cs="仿宋"/>
                <w:b/>
                <w:bCs/>
                <w:sz w:val="20"/>
                <w:szCs w:val="20"/>
              </w:rPr>
              <w:t>五、编制依据：</w:t>
            </w:r>
          </w:p>
          <w:p w14:paraId="0937FA3F">
            <w:pPr>
              <w:ind w:firstLine="400" w:firstLineChars="200"/>
              <w:rPr>
                <w:rFonts w:hint="eastAsia" w:ascii="仿宋" w:hAnsi="仿宋" w:eastAsia="仿宋" w:cs="仿宋"/>
                <w:sz w:val="20"/>
                <w:szCs w:val="20"/>
              </w:rPr>
            </w:pPr>
            <w:r>
              <w:rPr>
                <w:rFonts w:hint="eastAsia" w:ascii="仿宋" w:hAnsi="仿宋" w:eastAsia="仿宋" w:cs="仿宋"/>
                <w:sz w:val="20"/>
                <w:szCs w:val="20"/>
              </w:rPr>
              <w:t>本项目装修施工图纸、现场勘查实际情况及业主装修需求、施工要求；国家及行业现行《建筑装饰装修工程质量验收标准》《室内装修施工规范》等相关规范、标准；现场施工班组实操经验、人工施工效率及本项目工程量核算结果。</w:t>
            </w:r>
          </w:p>
          <w:p w14:paraId="160B5A5D">
            <w:pPr>
              <w:ind w:firstLine="400" w:firstLineChars="200"/>
              <w:rPr>
                <w:rFonts w:hint="eastAsia" w:ascii="仿宋" w:hAnsi="仿宋" w:eastAsia="仿宋" w:cs="仿宋"/>
                <w:sz w:val="20"/>
                <w:szCs w:val="20"/>
              </w:rPr>
            </w:pPr>
            <w:r>
              <w:rPr>
                <w:rFonts w:hint="eastAsia" w:ascii="仿宋" w:hAnsi="仿宋" w:eastAsia="仿宋" w:cs="仿宋"/>
                <w:sz w:val="20"/>
                <w:szCs w:val="20"/>
              </w:rPr>
              <w:t>1.本项目施工图纸、设计说明、工程量清单、项目特征及工作内容。</w:t>
            </w:r>
          </w:p>
          <w:p w14:paraId="3249E846">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2.</w:t>
            </w:r>
            <w:r>
              <w:rPr>
                <w:rFonts w:hint="eastAsia" w:ascii="仿宋" w:hAnsi="仿宋" w:eastAsia="仿宋" w:cs="仿宋"/>
                <w:sz w:val="20"/>
                <w:szCs w:val="20"/>
              </w:rPr>
              <w:t>《陕西省住房和城乡建设厅关于印发2025陕西省建设工程费用规则等计价依据的通知》陕建管发〔2025〕10号；</w:t>
            </w:r>
          </w:p>
          <w:p w14:paraId="4A1C6019">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3.</w:t>
            </w:r>
            <w:r>
              <w:rPr>
                <w:rFonts w:hint="eastAsia" w:ascii="仿宋" w:hAnsi="仿宋" w:eastAsia="仿宋" w:cs="仿宋"/>
                <w:sz w:val="20"/>
                <w:szCs w:val="20"/>
              </w:rPr>
              <w:t>《建设工程工程量清单计价标准》DB 61T 5126-2025；</w:t>
            </w:r>
          </w:p>
          <w:p w14:paraId="3EC023CB">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4.</w:t>
            </w:r>
            <w:r>
              <w:rPr>
                <w:rFonts w:hint="eastAsia" w:ascii="仿宋" w:hAnsi="仿宋" w:eastAsia="仿宋" w:cs="仿宋"/>
                <w:sz w:val="20"/>
                <w:szCs w:val="20"/>
              </w:rPr>
              <w:t>《房屋建筑与装饰工程工程量计算标准》DB 61T 5129-2025；</w:t>
            </w:r>
          </w:p>
          <w:p w14:paraId="43FCC159">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5.</w:t>
            </w:r>
            <w:r>
              <w:rPr>
                <w:rFonts w:hint="eastAsia" w:ascii="仿宋" w:hAnsi="仿宋" w:eastAsia="仿宋" w:cs="仿宋"/>
                <w:sz w:val="20"/>
                <w:szCs w:val="20"/>
              </w:rPr>
              <w:t>《通用安装工程工程量计算标准》DB 61T 5130-2025；</w:t>
            </w:r>
          </w:p>
          <w:p w14:paraId="51C328A3">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6.</w:t>
            </w:r>
            <w:r>
              <w:rPr>
                <w:rFonts w:hint="eastAsia" w:ascii="仿宋" w:hAnsi="仿宋" w:eastAsia="仿宋" w:cs="仿宋"/>
                <w:sz w:val="20"/>
                <w:szCs w:val="20"/>
              </w:rPr>
              <w:t>《陕西省建设工程费用规则》（2025）；</w:t>
            </w:r>
          </w:p>
          <w:p w14:paraId="5FE4FDF5">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7.</w:t>
            </w:r>
            <w:r>
              <w:rPr>
                <w:rFonts w:hint="eastAsia" w:ascii="仿宋" w:hAnsi="仿宋" w:eastAsia="仿宋" w:cs="仿宋"/>
                <w:sz w:val="20"/>
                <w:szCs w:val="20"/>
              </w:rPr>
              <w:t>《陕西省房屋建筑与装饰工程消耗量定额》（2025）；</w:t>
            </w:r>
          </w:p>
          <w:p w14:paraId="4DA4BFDA">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8.</w:t>
            </w:r>
            <w:r>
              <w:rPr>
                <w:rFonts w:hint="eastAsia" w:ascii="仿宋" w:hAnsi="仿宋" w:eastAsia="仿宋" w:cs="仿宋"/>
                <w:sz w:val="20"/>
                <w:szCs w:val="20"/>
              </w:rPr>
              <w:t>《陕西省通用安装工程消耗量定额》（2025）；</w:t>
            </w:r>
          </w:p>
          <w:p w14:paraId="374DF6FD">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9.</w:t>
            </w:r>
            <w:r>
              <w:rPr>
                <w:rFonts w:hint="eastAsia" w:ascii="仿宋" w:hAnsi="仿宋" w:eastAsia="仿宋" w:cs="仿宋"/>
                <w:sz w:val="20"/>
                <w:szCs w:val="20"/>
              </w:rPr>
              <w:t>《陕西省房屋建筑与装饰工程基价表》（2025）；</w:t>
            </w:r>
          </w:p>
          <w:p w14:paraId="013E5F76">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10.</w:t>
            </w:r>
            <w:r>
              <w:rPr>
                <w:rFonts w:hint="eastAsia" w:ascii="仿宋" w:hAnsi="仿宋" w:eastAsia="仿宋" w:cs="仿宋"/>
                <w:sz w:val="20"/>
                <w:szCs w:val="20"/>
              </w:rPr>
              <w:t>《陕西省通用安装工程基价表》（2025）； </w:t>
            </w:r>
          </w:p>
          <w:p w14:paraId="6CAD2A54">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11</w:t>
            </w:r>
            <w:r>
              <w:rPr>
                <w:rFonts w:hint="eastAsia" w:ascii="仿宋" w:hAnsi="仿宋" w:eastAsia="仿宋" w:cs="仿宋"/>
                <w:sz w:val="20"/>
                <w:szCs w:val="20"/>
              </w:rPr>
              <w:t>.陕西省及渭南市现行建设工程费用定额、计价文件、增值税税率政策。</w:t>
            </w:r>
          </w:p>
          <w:p w14:paraId="72BE8DAB">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12</w:t>
            </w:r>
            <w:r>
              <w:rPr>
                <w:rFonts w:hint="eastAsia" w:ascii="仿宋" w:hAnsi="仿宋" w:eastAsia="仿宋" w:cs="仿宋"/>
                <w:sz w:val="20"/>
                <w:szCs w:val="20"/>
              </w:rPr>
              <w:t>.本项目施工现场条件、交通环境、校园安全文明施工及环保要求。</w:t>
            </w:r>
          </w:p>
          <w:p w14:paraId="73C3A12E">
            <w:pPr>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CN"/>
              </w:rPr>
              <w:t>13</w:t>
            </w:r>
            <w:r>
              <w:rPr>
                <w:rFonts w:hint="eastAsia" w:ascii="仿宋" w:hAnsi="仿宋" w:eastAsia="仿宋" w:cs="仿宋"/>
                <w:sz w:val="20"/>
                <w:szCs w:val="20"/>
              </w:rPr>
              <w:t>.材料价格</w:t>
            </w:r>
            <w:r>
              <w:rPr>
                <w:rFonts w:hint="eastAsia" w:ascii="仿宋" w:hAnsi="仿宋" w:eastAsia="仿宋" w:cs="仿宋"/>
                <w:sz w:val="20"/>
                <w:szCs w:val="20"/>
                <w:lang w:val="en-US" w:eastAsia="zh-CN"/>
              </w:rPr>
              <w:t>采用市场价计入</w:t>
            </w:r>
            <w:r>
              <w:rPr>
                <w:rFonts w:hint="eastAsia" w:ascii="仿宋" w:hAnsi="仿宋" w:eastAsia="仿宋" w:cs="仿宋"/>
                <w:sz w:val="20"/>
                <w:szCs w:val="20"/>
              </w:rPr>
              <w:t>。</w:t>
            </w:r>
          </w:p>
          <w:p w14:paraId="20B5B063">
            <w:pPr>
              <w:ind w:firstLine="400" w:firstLineChars="200"/>
              <w:rPr>
                <w:rFonts w:hint="eastAsia" w:ascii="仿宋" w:hAnsi="仿宋" w:eastAsia="仿宋" w:cs="仿宋"/>
                <w:sz w:val="20"/>
                <w:szCs w:val="20"/>
              </w:rPr>
            </w:pPr>
            <w:r>
              <w:rPr>
                <w:rFonts w:hint="eastAsia" w:ascii="仿宋" w:hAnsi="仿宋" w:eastAsia="仿宋" w:cs="仿宋"/>
                <w:sz w:val="20"/>
                <w:szCs w:val="20"/>
              </w:rPr>
              <w:t>1</w:t>
            </w:r>
            <w:r>
              <w:rPr>
                <w:rFonts w:hint="eastAsia" w:ascii="仿宋" w:hAnsi="仿宋" w:eastAsia="仿宋" w:cs="仿宋"/>
                <w:sz w:val="20"/>
                <w:szCs w:val="20"/>
                <w:lang w:val="en-US" w:eastAsia="zh-CN"/>
              </w:rPr>
              <w:t>4</w:t>
            </w:r>
            <w:r>
              <w:rPr>
                <w:rFonts w:hint="eastAsia" w:ascii="仿宋" w:hAnsi="仿宋" w:eastAsia="仿宋" w:cs="仿宋"/>
                <w:sz w:val="20"/>
                <w:szCs w:val="20"/>
              </w:rPr>
              <w:t>.本工程常规施工方案、施工工艺、材料运输及合理损耗水平。</w:t>
            </w:r>
          </w:p>
          <w:p w14:paraId="399049DC">
            <w:pPr>
              <w:ind w:firstLine="400" w:firstLineChars="200"/>
              <w:rPr>
                <w:rFonts w:hint="eastAsia" w:ascii="仿宋" w:hAnsi="仿宋" w:eastAsia="仿宋" w:cs="仿宋"/>
                <w:kern w:val="2"/>
                <w:sz w:val="20"/>
                <w:szCs w:val="20"/>
                <w:lang w:val="en-US" w:eastAsia="zh-CN" w:bidi="ar-SA"/>
              </w:rPr>
            </w:pPr>
            <w:r>
              <w:rPr>
                <w:rFonts w:hint="eastAsia" w:ascii="仿宋" w:hAnsi="仿宋" w:eastAsia="仿宋" w:cs="仿宋"/>
                <w:sz w:val="20"/>
                <w:szCs w:val="20"/>
              </w:rPr>
              <w:t>1</w:t>
            </w:r>
            <w:r>
              <w:rPr>
                <w:rFonts w:hint="eastAsia" w:ascii="仿宋" w:hAnsi="仿宋" w:eastAsia="仿宋" w:cs="仿宋"/>
                <w:sz w:val="20"/>
                <w:szCs w:val="20"/>
                <w:lang w:val="en-US" w:eastAsia="zh-CN"/>
              </w:rPr>
              <w:t>5</w:t>
            </w:r>
            <w:r>
              <w:rPr>
                <w:rFonts w:hint="eastAsia" w:ascii="仿宋" w:hAnsi="仿宋" w:eastAsia="仿宋" w:cs="仿宋"/>
                <w:sz w:val="20"/>
                <w:szCs w:val="20"/>
              </w:rPr>
              <w:t>.招标人关于项目范围、功能要求及相关答疑说明。</w:t>
            </w:r>
          </w:p>
        </w:tc>
      </w:tr>
      <w:tr w14:paraId="0E7833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02" w:type="dxa"/>
            <w:vAlign w:val="center"/>
          </w:tcPr>
          <w:p w14:paraId="75B28C03">
            <w:pPr>
              <w:pStyle w:val="4"/>
              <w:jc w:val="center"/>
              <w:rPr>
                <w:rFonts w:hint="default" w:ascii="仿宋" w:hAnsi="仿宋" w:eastAsia="仿宋" w:cs="仿宋"/>
                <w:lang w:eastAsia="zh-CN"/>
              </w:rPr>
            </w:pPr>
            <w:r>
              <w:rPr>
                <w:rFonts w:hint="eastAsia" w:ascii="仿宋" w:hAnsi="仿宋" w:eastAsia="仿宋" w:cs="仿宋"/>
                <w:lang w:val="en-US" w:eastAsia="zh-CN"/>
              </w:rPr>
              <w:t>7</w:t>
            </w:r>
          </w:p>
        </w:tc>
        <w:tc>
          <w:tcPr>
            <w:tcW w:w="629" w:type="dxa"/>
            <w:vAlign w:val="center"/>
          </w:tcPr>
          <w:p w14:paraId="6F40B743">
            <w:pPr>
              <w:jc w:val="center"/>
              <w:rPr>
                <w:rFonts w:ascii="仿宋" w:hAnsi="仿宋" w:eastAsia="仿宋" w:cs="仿宋"/>
                <w:sz w:val="20"/>
                <w:szCs w:val="20"/>
              </w:rPr>
            </w:pPr>
          </w:p>
        </w:tc>
        <w:tc>
          <w:tcPr>
            <w:tcW w:w="7491" w:type="dxa"/>
            <w:shd w:val="clear" w:color="auto" w:fill="auto"/>
            <w:vAlign w:val="top"/>
          </w:tcPr>
          <w:p w14:paraId="6C7B27BE">
            <w:pPr>
              <w:pStyle w:val="4"/>
              <w:spacing w:before="120"/>
              <w:outlineLvl w:val="1"/>
              <w:rPr>
                <w:rFonts w:hint="default" w:ascii="仿宋" w:hAnsi="仿宋" w:eastAsia="仿宋" w:cs="仿宋"/>
              </w:rPr>
            </w:pPr>
            <w:r>
              <w:rPr>
                <w:rFonts w:hint="eastAsia" w:ascii="仿宋" w:hAnsi="仿宋" w:eastAsia="仿宋" w:cs="仿宋"/>
                <w:b/>
                <w:lang w:val="en-US" w:eastAsia="zh-CN"/>
              </w:rPr>
              <w:t>六</w:t>
            </w:r>
            <w:r>
              <w:rPr>
                <w:rFonts w:ascii="仿宋" w:hAnsi="仿宋" w:eastAsia="仿宋" w:cs="仿宋"/>
                <w:b/>
              </w:rPr>
              <w:t>、商务要求</w:t>
            </w:r>
          </w:p>
          <w:p w14:paraId="766BBB30">
            <w:pPr>
              <w:pStyle w:val="4"/>
              <w:jc w:val="both"/>
              <w:rPr>
                <w:rFonts w:hint="default" w:ascii="仿宋" w:hAnsi="仿宋" w:eastAsia="仿宋" w:cs="仿宋"/>
              </w:rPr>
            </w:pPr>
            <w:r>
              <w:rPr>
                <w:rFonts w:ascii="仿宋" w:hAnsi="仿宋" w:eastAsia="仿宋" w:cs="仿宋"/>
                <w:b/>
              </w:rPr>
              <w:t>1.付款方式及条件</w:t>
            </w:r>
          </w:p>
          <w:p w14:paraId="58CA05D6">
            <w:pPr>
              <w:ind w:firstLine="400" w:firstLineChars="200"/>
              <w:rPr>
                <w:rFonts w:ascii="仿宋" w:hAnsi="仿宋" w:eastAsia="仿宋" w:cs="仿宋"/>
                <w:sz w:val="20"/>
                <w:szCs w:val="20"/>
              </w:rPr>
            </w:pPr>
            <w:r>
              <w:rPr>
                <w:rFonts w:hint="eastAsia" w:ascii="仿宋" w:hAnsi="仿宋" w:eastAsia="仿宋" w:cs="仿宋"/>
                <w:sz w:val="20"/>
                <w:szCs w:val="20"/>
              </w:rPr>
              <w:t>（1）合同签订前，支付合同金额的1%的履约保证金</w:t>
            </w:r>
            <w:r>
              <w:rPr>
                <w:rFonts w:hint="eastAsia" w:ascii="仿宋" w:hAnsi="仿宋" w:eastAsia="仿宋" w:cs="仿宋"/>
                <w:sz w:val="20"/>
                <w:szCs w:val="20"/>
                <w:lang w:eastAsia="zh-CN"/>
              </w:rPr>
              <w:t>，工程全部完工后甲方验收合格后将履约保证金转为质量保证金，待质保期结束后一次性无息退还。</w:t>
            </w:r>
          </w:p>
          <w:p w14:paraId="10775D89">
            <w:pPr>
              <w:ind w:firstLine="400" w:firstLineChars="200"/>
              <w:rPr>
                <w:rFonts w:hint="eastAsia" w:ascii="仿宋" w:hAnsi="仿宋" w:eastAsia="仿宋" w:cs="仿宋"/>
                <w:sz w:val="20"/>
                <w:szCs w:val="20"/>
                <w:lang w:eastAsia="zh-CN"/>
              </w:rPr>
            </w:pPr>
            <w:r>
              <w:rPr>
                <w:rFonts w:hint="eastAsia" w:ascii="仿宋" w:hAnsi="仿宋" w:eastAsia="仿宋" w:cs="仿宋"/>
                <w:sz w:val="20"/>
                <w:szCs w:val="20"/>
                <w:lang w:eastAsia="zh-CN"/>
              </w:rPr>
              <w:t>（2）合同签订生效后，</w:t>
            </w:r>
            <w:r>
              <w:rPr>
                <w:rFonts w:hint="eastAsia" w:ascii="仿宋" w:hAnsi="仿宋" w:eastAsia="仿宋" w:cs="仿宋"/>
                <w:sz w:val="20"/>
                <w:szCs w:val="20"/>
                <w:lang w:val="en-US" w:eastAsia="zh-CN"/>
              </w:rPr>
              <w:t>后</w:t>
            </w:r>
            <w:r>
              <w:rPr>
                <w:rFonts w:hint="eastAsia" w:ascii="仿宋" w:hAnsi="仿宋" w:eastAsia="仿宋" w:cs="仿宋"/>
                <w:sz w:val="20"/>
                <w:szCs w:val="20"/>
                <w:lang w:eastAsia="zh-CN"/>
              </w:rPr>
              <w:t>10个工作日内，甲方向乙方支付合同金额50%预付款。</w:t>
            </w:r>
          </w:p>
          <w:p w14:paraId="651F163A">
            <w:pPr>
              <w:ind w:firstLine="400" w:firstLineChars="200"/>
              <w:rPr>
                <w:rFonts w:hint="eastAsia" w:ascii="仿宋" w:hAnsi="仿宋" w:eastAsia="仿宋" w:cs="仿宋"/>
                <w:sz w:val="20"/>
                <w:szCs w:val="20"/>
                <w:lang w:eastAsia="zh-CN"/>
              </w:rPr>
            </w:pPr>
            <w:r>
              <w:rPr>
                <w:rFonts w:hint="eastAsia" w:ascii="仿宋" w:hAnsi="仿宋" w:eastAsia="仿宋" w:cs="仿宋"/>
                <w:sz w:val="20"/>
                <w:szCs w:val="20"/>
                <w:lang w:eastAsia="zh-CN"/>
              </w:rPr>
              <w:t>（3）乙方应在收到预付款后2个工作日内，开立以甲方为受益人的预付保函，保函金额为合同金额50%，有效期至工程验收合格后，甲方收到并审核通过保函正本后，支付剩余50%工程款（以工程决算审计价格为准进行支付）。</w:t>
            </w:r>
          </w:p>
          <w:p w14:paraId="71790F6E">
            <w:pPr>
              <w:ind w:firstLine="400" w:firstLineChars="200"/>
              <w:rPr>
                <w:rFonts w:hint="eastAsia" w:asciiTheme="minorEastAsia" w:hAnsiTheme="minorEastAsia" w:eastAsiaTheme="minorEastAsia"/>
                <w:bCs/>
                <w:sz w:val="28"/>
                <w:szCs w:val="28"/>
                <w:u w:val="single"/>
              </w:rPr>
            </w:pPr>
            <w:r>
              <w:rPr>
                <w:rFonts w:hint="eastAsia" w:ascii="仿宋" w:hAnsi="仿宋" w:eastAsia="仿宋" w:cs="仿宋"/>
                <w:sz w:val="20"/>
                <w:szCs w:val="20"/>
                <w:lang w:val="en-US" w:eastAsia="zh-CN"/>
              </w:rPr>
              <w:t>（4）工程全部完工后经</w:t>
            </w:r>
            <w:r>
              <w:rPr>
                <w:rFonts w:hint="eastAsia" w:ascii="仿宋" w:hAnsi="仿宋" w:eastAsia="仿宋" w:cs="仿宋"/>
                <w:sz w:val="20"/>
                <w:szCs w:val="20"/>
                <w:lang w:eastAsia="zh-CN"/>
              </w:rPr>
              <w:t>甲方验收合格，并经审计决算后，乙方向甲方开具全额</w:t>
            </w:r>
            <w:r>
              <w:rPr>
                <w:rFonts w:hint="eastAsia" w:ascii="仿宋" w:hAnsi="仿宋" w:eastAsia="仿宋" w:cs="仿宋"/>
                <w:sz w:val="20"/>
                <w:szCs w:val="20"/>
                <w:lang w:val="en-US" w:eastAsia="zh-CN"/>
              </w:rPr>
              <w:t>增值税普通发票（电子/纸质均可；纸质须含发票联、抵扣联）</w:t>
            </w:r>
            <w:r>
              <w:rPr>
                <w:rFonts w:hint="eastAsia" w:ascii="仿宋" w:hAnsi="仿宋" w:eastAsia="仿宋" w:cs="仿宋"/>
                <w:sz w:val="20"/>
                <w:szCs w:val="20"/>
                <w:lang w:eastAsia="zh-CN"/>
              </w:rPr>
              <w:t>。甲方收到乙方全额增值税普通发票，且双方无任何质量争议及未结纠纷后</w:t>
            </w:r>
            <w:r>
              <w:rPr>
                <w:rFonts w:hint="eastAsia" w:ascii="仿宋" w:hAnsi="仿宋" w:eastAsia="仿宋" w:cs="仿宋"/>
                <w:sz w:val="20"/>
                <w:szCs w:val="20"/>
                <w:lang w:val="en-US" w:eastAsia="zh-CN"/>
              </w:rPr>
              <w:t>10</w:t>
            </w:r>
            <w:r>
              <w:rPr>
                <w:rFonts w:hint="eastAsia" w:ascii="仿宋" w:hAnsi="仿宋" w:eastAsia="仿宋" w:cs="仿宋"/>
                <w:sz w:val="20"/>
                <w:szCs w:val="20"/>
                <w:lang w:eastAsia="zh-CN"/>
              </w:rPr>
              <w:t>个工作日内，将保函正本退还乙方。</w:t>
            </w:r>
          </w:p>
          <w:p w14:paraId="4F811B42">
            <w:pPr>
              <w:pStyle w:val="4"/>
              <w:jc w:val="both"/>
              <w:rPr>
                <w:rFonts w:hint="default" w:ascii="仿宋" w:hAnsi="仿宋" w:eastAsia="仿宋" w:cs="仿宋"/>
                <w:b/>
              </w:rPr>
            </w:pPr>
            <w:r>
              <w:rPr>
                <w:rFonts w:ascii="仿宋" w:hAnsi="仿宋" w:eastAsia="仿宋" w:cs="仿宋"/>
                <w:b/>
              </w:rPr>
              <w:t>2.合同类型：</w:t>
            </w:r>
            <w:r>
              <w:rPr>
                <w:rFonts w:ascii="仿宋" w:hAnsi="仿宋" w:eastAsia="仿宋" w:cs="仿宋"/>
                <w:b/>
                <w:highlight w:val="none"/>
              </w:rPr>
              <w:t>固定综合单价</w:t>
            </w:r>
          </w:p>
          <w:p w14:paraId="280CD7FF">
            <w:pPr>
              <w:pStyle w:val="4"/>
              <w:jc w:val="both"/>
              <w:rPr>
                <w:rFonts w:hint="default" w:ascii="仿宋" w:hAnsi="仿宋" w:eastAsia="仿宋" w:cs="仿宋"/>
              </w:rPr>
            </w:pPr>
            <w:r>
              <w:rPr>
                <w:rFonts w:ascii="仿宋" w:hAnsi="仿宋" w:eastAsia="仿宋" w:cs="仿宋"/>
                <w:b/>
                <w:lang w:eastAsia="zh-CN"/>
              </w:rPr>
              <w:t>3.</w:t>
            </w:r>
            <w:r>
              <w:rPr>
                <w:rFonts w:ascii="仿宋" w:hAnsi="仿宋" w:eastAsia="仿宋" w:cs="仿宋"/>
                <w:b/>
              </w:rPr>
              <w:t>质量</w:t>
            </w:r>
            <w:r>
              <w:rPr>
                <w:rFonts w:ascii="仿宋" w:hAnsi="仿宋" w:eastAsia="仿宋" w:cs="仿宋"/>
                <w:b/>
                <w:lang w:eastAsia="zh-CN"/>
              </w:rPr>
              <w:t>及质保期</w:t>
            </w:r>
          </w:p>
          <w:p w14:paraId="366ADB73">
            <w:pPr>
              <w:ind w:firstLine="400" w:firstLineChars="200"/>
              <w:rPr>
                <w:rFonts w:ascii="仿宋" w:hAnsi="仿宋" w:eastAsia="仿宋" w:cs="仿宋"/>
                <w:sz w:val="20"/>
                <w:szCs w:val="20"/>
              </w:rPr>
            </w:pPr>
            <w:r>
              <w:rPr>
                <w:rFonts w:hint="eastAsia" w:ascii="仿宋" w:hAnsi="仿宋" w:eastAsia="仿宋" w:cs="仿宋"/>
                <w:sz w:val="20"/>
                <w:szCs w:val="20"/>
              </w:rPr>
              <w:t>（1）质保期：本项目竣工验收合格通过之日起2年；</w:t>
            </w:r>
          </w:p>
          <w:p w14:paraId="02BB7326">
            <w:pPr>
              <w:ind w:firstLine="400" w:firstLineChars="200"/>
              <w:rPr>
                <w:rFonts w:ascii="仿宋" w:hAnsi="仿宋" w:eastAsia="仿宋" w:cs="仿宋"/>
                <w:sz w:val="20"/>
                <w:szCs w:val="20"/>
              </w:rPr>
            </w:pPr>
            <w:r>
              <w:rPr>
                <w:rFonts w:hint="eastAsia" w:ascii="仿宋" w:hAnsi="仿宋" w:eastAsia="仿宋" w:cs="仿宋"/>
                <w:sz w:val="20"/>
                <w:szCs w:val="20"/>
              </w:rPr>
              <w:t>（2）保修要求：属于保修范围和内容的项目，承包人应在接到维修通知后，1天内派人维修。发生紧急抢修事故（如上水管跑水、爆裂，供电设施漏、断电等），承包人应在接到事故通知后12小时内到达事故现场并于6小时内完成应急维修；</w:t>
            </w:r>
          </w:p>
          <w:p w14:paraId="42FB0B41">
            <w:pPr>
              <w:pStyle w:val="4"/>
              <w:jc w:val="both"/>
              <w:rPr>
                <w:rFonts w:hint="default" w:ascii="仿宋" w:hAnsi="仿宋" w:eastAsia="仿宋" w:cs="仿宋"/>
              </w:rPr>
            </w:pPr>
            <w:r>
              <w:rPr>
                <w:rFonts w:ascii="仿宋" w:hAnsi="仿宋" w:eastAsia="仿宋" w:cs="仿宋"/>
                <w:b/>
                <w:lang w:eastAsia="zh-CN"/>
              </w:rPr>
              <w:t>4</w:t>
            </w:r>
            <w:r>
              <w:rPr>
                <w:rFonts w:ascii="仿宋" w:hAnsi="仿宋" w:eastAsia="仿宋" w:cs="仿宋"/>
                <w:b/>
              </w:rPr>
              <w:t>.</w:t>
            </w:r>
            <w:r>
              <w:rPr>
                <w:rFonts w:ascii="仿宋" w:hAnsi="仿宋" w:eastAsia="仿宋" w:cs="仿宋"/>
                <w:b/>
                <w:lang w:eastAsia="zh-CN"/>
              </w:rPr>
              <w:t>施工工期</w:t>
            </w:r>
          </w:p>
          <w:p w14:paraId="2F348C43">
            <w:pPr>
              <w:ind w:firstLine="400" w:firstLineChars="200"/>
              <w:rPr>
                <w:rFonts w:ascii="仿宋" w:hAnsi="仿宋" w:eastAsia="仿宋" w:cs="仿宋"/>
                <w:sz w:val="20"/>
                <w:szCs w:val="20"/>
              </w:rPr>
            </w:pPr>
            <w:r>
              <w:rPr>
                <w:rFonts w:hint="eastAsia" w:ascii="仿宋" w:hAnsi="仿宋" w:eastAsia="仿宋" w:cs="仿宋"/>
                <w:sz w:val="20"/>
                <w:szCs w:val="20"/>
              </w:rPr>
              <w:t>项目总施工工期为3个月。工期自正式进场开工当日起计算，包含前期准备、基础改造、面层施工、安装收尾、保洁整改及竣工验收全流程工期，合理预留天气、材料微调、细部整改等弹性时间，确保3个月内保质保量完成全部施工及交付工作。</w:t>
            </w:r>
          </w:p>
          <w:p w14:paraId="6DAE634F">
            <w:pPr>
              <w:widowControl/>
              <w:spacing w:line="540" w:lineRule="exact"/>
              <w:jc w:val="left"/>
              <w:rPr>
                <w:rFonts w:hAnsi="宋体" w:cs="Courier New"/>
                <w:sz w:val="28"/>
                <w:szCs w:val="28"/>
                <w:u w:val="single"/>
              </w:rPr>
            </w:pPr>
            <w:r>
              <w:rPr>
                <w:rFonts w:hint="eastAsia" w:ascii="仿宋" w:hAnsi="仿宋" w:eastAsia="仿宋" w:cs="仿宋"/>
                <w:b/>
                <w:kern w:val="0"/>
                <w:sz w:val="20"/>
                <w:szCs w:val="20"/>
              </w:rPr>
              <w:t>5.履约验收标准：</w:t>
            </w:r>
          </w:p>
          <w:p w14:paraId="551125BA">
            <w:pPr>
              <w:ind w:firstLine="400" w:firstLineChars="200"/>
              <w:rPr>
                <w:rFonts w:ascii="仿宋" w:hAnsi="仿宋" w:eastAsia="仿宋" w:cs="仿宋"/>
                <w:sz w:val="20"/>
                <w:szCs w:val="20"/>
              </w:rPr>
            </w:pPr>
            <w:r>
              <w:rPr>
                <w:rFonts w:hint="eastAsia" w:ascii="仿宋" w:hAnsi="仿宋" w:eastAsia="仿宋" w:cs="仿宋"/>
                <w:sz w:val="20"/>
                <w:szCs w:val="20"/>
              </w:rPr>
              <w:t>验收主体：由建设单位（甲方）作为履约验收组织主体，必要时可邀请监理单位共同参与验收；施工单位负责自检、报送验收资料，配合全部验收工作。</w:t>
            </w:r>
          </w:p>
          <w:p w14:paraId="53DF11E6">
            <w:pPr>
              <w:ind w:firstLine="400" w:firstLineChars="200"/>
              <w:rPr>
                <w:rFonts w:ascii="仿宋" w:hAnsi="仿宋" w:eastAsia="仿宋" w:cs="仿宋"/>
                <w:sz w:val="20"/>
                <w:szCs w:val="20"/>
              </w:rPr>
            </w:pPr>
            <w:r>
              <w:rPr>
                <w:rFonts w:hint="eastAsia" w:ascii="仿宋" w:hAnsi="仿宋" w:eastAsia="仿宋" w:cs="仿宋"/>
                <w:sz w:val="20"/>
                <w:szCs w:val="20"/>
              </w:rPr>
              <w:t>验收方法：采用资料核查、现场实测实量、目视检查、通电通网功能测试，发现问题限期整改后复验。</w:t>
            </w:r>
          </w:p>
          <w:p w14:paraId="408C676F">
            <w:pPr>
              <w:ind w:firstLine="400" w:firstLineChars="200"/>
              <w:rPr>
                <w:rFonts w:ascii="仿宋" w:hAnsi="仿宋" w:eastAsia="仿宋" w:cs="仿宋"/>
                <w:sz w:val="20"/>
                <w:szCs w:val="20"/>
              </w:rPr>
            </w:pPr>
            <w:r>
              <w:rPr>
                <w:rFonts w:hint="eastAsia" w:ascii="仿宋" w:hAnsi="仿宋" w:eastAsia="仿宋" w:cs="仿宋"/>
                <w:sz w:val="20"/>
                <w:szCs w:val="20"/>
              </w:rPr>
              <w:t>验收程序：施工单位完工自检合格→提交验收申请及全套资料→建设单位组织现场验收→存在问题限期整改→整改完成复验→复验合格签署验收文件。</w:t>
            </w:r>
          </w:p>
          <w:p w14:paraId="09CE4B4E">
            <w:pPr>
              <w:ind w:firstLine="400" w:firstLineChars="200"/>
              <w:rPr>
                <w:rFonts w:ascii="仿宋" w:hAnsi="仿宋" w:eastAsia="仿宋" w:cs="仿宋"/>
                <w:sz w:val="20"/>
                <w:szCs w:val="20"/>
              </w:rPr>
            </w:pPr>
            <w:r>
              <w:rPr>
                <w:rFonts w:hint="eastAsia" w:ascii="仿宋" w:hAnsi="仿宋" w:eastAsia="仿宋" w:cs="仿宋"/>
                <w:sz w:val="20"/>
                <w:szCs w:val="20"/>
              </w:rPr>
              <w:t>验收内容：核查竣工资料完整性；检查装修实体施工质量；测试电、器具使用功能；现场场地清理情况；核对合同、图纸全部工作内容完成情况。</w:t>
            </w:r>
          </w:p>
          <w:p w14:paraId="185AFFBD">
            <w:pPr>
              <w:ind w:firstLine="400" w:firstLineChars="200"/>
              <w:rPr>
                <w:rFonts w:ascii="仿宋" w:hAnsi="仿宋" w:eastAsia="仿宋" w:cs="仿宋"/>
                <w:sz w:val="20"/>
                <w:szCs w:val="20"/>
              </w:rPr>
            </w:pPr>
            <w:r>
              <w:rPr>
                <w:rFonts w:hint="eastAsia" w:ascii="仿宋" w:hAnsi="仿宋" w:eastAsia="仿宋" w:cs="仿宋"/>
                <w:sz w:val="20"/>
                <w:szCs w:val="20"/>
              </w:rPr>
              <w:t>验收阶段：①阶段性验收：强电、弱电等隐蔽工程完工中间验收，合格后方可下道工序；②竣工总体验收：全部工程完工后开展最终履约验收。</w:t>
            </w:r>
          </w:p>
          <w:p w14:paraId="08BEAC8D">
            <w:pPr>
              <w:ind w:firstLine="400" w:firstLineChars="200"/>
              <w:rPr>
                <w:rFonts w:hint="eastAsia" w:ascii="仿宋" w:hAnsi="仿宋" w:eastAsia="仿宋" w:cs="仿宋"/>
                <w:kern w:val="2"/>
                <w:sz w:val="21"/>
                <w:szCs w:val="24"/>
                <w:lang w:val="en-US" w:eastAsia="zh-CN" w:bidi="ar-SA"/>
              </w:rPr>
            </w:pPr>
            <w:r>
              <w:rPr>
                <w:rFonts w:hint="eastAsia" w:ascii="仿宋" w:hAnsi="仿宋" w:eastAsia="仿宋" w:cs="仿宋"/>
                <w:sz w:val="20"/>
                <w:szCs w:val="20"/>
              </w:rPr>
              <w:t>验收标准：执行《建筑装饰装修工程质量验收标准》及合同、图纸要求，工程质量合格；材料符合约定，强电、弱电功能正常；墙地顶面施工观感及指标达标，无漏项；资料齐全，所有问题整改闭环，复验合格予以通过验收。</w:t>
            </w:r>
          </w:p>
        </w:tc>
      </w:tr>
    </w:tbl>
    <w:p w14:paraId="5FCADD2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A817EF"/>
    <w:rsid w:val="3EA817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2026-09-15T11:07:00Z</dcterms:created>
  <dc:creator>陕西中经招标有限公司</dc:creator>
  <cp:lastModifiedBy>陕西中经招标有限公司</cp:lastModifiedBy>
  <dcterms:modified xsi:type="dcterms:W3CDTF">2026-09-15T11:08:01Z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8D0BE847BD2F4A00ABCA5A8996015AEF_11</vt:lpwstr>
  </property>
  <property fmtid="{D5CDD505-2E9C-101B-9397-08002B2CF9AE}" pid="4" name="KSOTemplateDocerSaveRecord">
    <vt:lpwstr>eyJoZGlkIjoiNjNkNzgyNGVmMGE0ZWRmYmFkMGVjNGNkNDZmZWMwZDEiLCJ1c2VySWQiOiIxODY5MTYyMTc0In0=</vt:lpwstr>
  </property>
</Properties>
</file>