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51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5"/>
          <w:rFonts w:hint="eastAsia"/>
          <w:lang w:val="en-US" w:eastAsia="zh-CN"/>
        </w:rPr>
      </w:pPr>
      <w:bookmarkStart w:id="0" w:name="_Toc9483"/>
      <w:r>
        <w:rPr>
          <w:rStyle w:val="5"/>
          <w:rFonts w:hint="eastAsia"/>
          <w:lang w:val="en-US" w:eastAsia="zh-CN"/>
        </w:rPr>
        <w:t>采购需求</w:t>
      </w:r>
      <w:bookmarkStart w:id="3" w:name="_GoBack"/>
      <w:bookmarkEnd w:id="3"/>
    </w:p>
    <w:p w14:paraId="14B740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招标要求</w:t>
      </w:r>
      <w:bookmarkEnd w:id="0"/>
    </w:p>
    <w:p w14:paraId="207083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项目名称：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陕西铁路工程职业技术学院《预制梁智能生产》数字教材资源开发项目</w:t>
      </w:r>
    </w:p>
    <w:p w14:paraId="61E75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680" w:hanging="1680" w:hangingChars="7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bookmarkStart w:id="1" w:name="_Toc1494"/>
      <w:bookmarkStart w:id="2" w:name="_Toc12665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服务期限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：①开发周期：自合同签订之日起 4 个月内完成全部资源开发、平台适配与正式交付。</w:t>
      </w:r>
    </w:p>
    <w:p w14:paraId="7584B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676" w:leftChars="798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②售后期限：资源最终验收合格后，提供1年免费资源更新服务、2年免费技术支持服务；售后期限内，需建立专项服务台账，记录服务内容、时间、结果。 </w:t>
      </w:r>
    </w:p>
    <w:p w14:paraId="26AC0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、服务地点：采购单位指定地点</w:t>
      </w:r>
    </w:p>
    <w:bookmarkEnd w:id="1"/>
    <w:bookmarkEnd w:id="2"/>
    <w:p w14:paraId="7ECDD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二、需求概况：</w:t>
      </w:r>
    </w:p>
    <w:p w14:paraId="08B33C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u w:val="none"/>
        </w:rPr>
        <w:t xml:space="preserve"> 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1.服务范围；</w:t>
      </w:r>
    </w:p>
    <w:p w14:paraId="6A1762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（1）资源开发服务：按需求完成不少于 13 个 HTML5 交互资源、13 个二维动画（视频）、16 个三维动画（视频）、21 个虚拟仿真交互资源的全流程设计与开发，包含内容策划、模型搭建、动画制作、交互功能开发等环节。</w:t>
      </w:r>
    </w:p>
    <w:p w14:paraId="3B1BC2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（2）技术适配服务：确保所有资源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适配数字教材平台所要求的终端环境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，提供资源格式转换、平台接入调试与测试服务，保障播放流畅无卡顿、交互响应及时。</w:t>
      </w:r>
    </w:p>
    <w:p w14:paraId="382891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（3）交付配套服务：交付全套成品资源与源文件，同步提供资源使用说明书；协助完成资源归档，面向课程教师开展不少于 2 次使用培训。</w:t>
      </w:r>
    </w:p>
    <w:p w14:paraId="16039A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（4）售后支持服务：提供 1 年免费资源更新服务、2 年免费技术支持服务，7×24 小时响应播放故障、交互异常等问题；每季度回访收集使用反馈，持续优化资源质量。</w:t>
      </w:r>
      <w:r>
        <w:rPr>
          <w:rFonts w:hint="eastAsia" w:ascii="宋体" w:hAnsi="宋体" w:eastAsia="宋体" w:cs="宋体"/>
          <w:sz w:val="24"/>
          <w:szCs w:val="24"/>
          <w:highlight w:val="none"/>
          <w:u w:val="none"/>
          <w:lang w:val="en-US" w:eastAsia="zh-CN"/>
        </w:rPr>
        <w:t xml:space="preserve"> </w:t>
      </w:r>
    </w:p>
    <w:p w14:paraId="3E40C1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2.服务要求；</w:t>
      </w:r>
    </w:p>
    <w:p w14:paraId="4D68C7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（1）服务内容：</w:t>
      </w:r>
    </w:p>
    <w:p w14:paraId="08761D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 ①资源开发：前期梳理《预制梁智能生产》能力图谱全部知识点与技能点，调研桥梁预制施工行业规范与现场实操流程，完成四类资源的脚本设计与交互逻辑定义；中期开展素材制作、模型搭建、动画渲染、交互功能开发与效果调试；后期对照图谱校验内容准确性，完成多轮优化迭代。</w:t>
      </w:r>
    </w:p>
    <w:p w14:paraId="01F5BA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②技术适配：针对数字教材平台完成资源格式适配与接口调试，开展至少 3 轮平台接入全量测试，逐一解决兼容性问题，确保流畅运行。</w:t>
      </w:r>
    </w:p>
    <w:p w14:paraId="17551E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③交付配套：按清单交付全部成品资源与工程源文件，编制资源使用说明书（含操作步骤、教学应用建议、常见问题解答），最终教学版权归学校所有；组织不少于 2 次教师专项培训，覆盖资源调用方法、交互操作技巧、课堂教学适配方案。</w:t>
      </w:r>
    </w:p>
    <w:p w14:paraId="418BE4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④售后支持：针对行业规范更新、课程知识点调整提供免费资源更新服务；快速响应播放卡顿、交互失效等技术问题；每季度开展 1 次使用反馈回访，收集师生意见并落实优化。                                                 </w:t>
      </w:r>
    </w:p>
    <w:p w14:paraId="77261E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（2）服务标准：</w:t>
      </w:r>
    </w:p>
    <w:p w14:paraId="2045A6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 ①资源开发标准：</w:t>
      </w:r>
    </w:p>
    <w:p w14:paraId="3FE416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虚拟仿真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资源开发标准</w:t>
      </w:r>
    </w:p>
    <w:p w14:paraId="4CC3DDB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美术标准：</w:t>
      </w:r>
    </w:p>
    <w:p w14:paraId="5FC081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1.1 </w:t>
      </w:r>
      <w:r>
        <w:rPr>
          <w:rFonts w:hint="eastAsia" w:ascii="宋体" w:hAnsi="宋体" w:cs="宋体"/>
          <w:sz w:val="24"/>
          <w:highlight w:val="none"/>
        </w:rPr>
        <w:t>美术风格：写实风格，符合预制梁施工实际环境，色彩柔和、光照自然，无卡通或夸张元素；</w:t>
      </w:r>
    </w:p>
    <w:p w14:paraId="7C49D2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1.2 </w:t>
      </w:r>
      <w:r>
        <w:rPr>
          <w:rFonts w:hint="eastAsia" w:ascii="宋体" w:hAnsi="宋体" w:cs="宋体"/>
          <w:sz w:val="24"/>
          <w:highlight w:val="none"/>
        </w:rPr>
        <w:t>场景模型：预制梁智能生产过程中所涉及的设备按1:1真实比例建模，细节完整，纹理清晰；</w:t>
      </w:r>
    </w:p>
    <w:p w14:paraId="231BEE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1.3 </w:t>
      </w:r>
      <w:r>
        <w:rPr>
          <w:rFonts w:hint="eastAsia" w:ascii="宋体" w:hAnsi="宋体" w:cs="宋体"/>
          <w:sz w:val="24"/>
          <w:highlight w:val="none"/>
        </w:rPr>
        <w:t>模型精度：高模烘焙到低模，三角面数控制：单个模型≤15000面/个，整体场景≤20万面；</w:t>
      </w:r>
    </w:p>
    <w:p w14:paraId="68A692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1.4 </w:t>
      </w:r>
      <w:r>
        <w:rPr>
          <w:rFonts w:hint="eastAsia" w:ascii="宋体" w:hAnsi="宋体" w:cs="宋体"/>
          <w:sz w:val="24"/>
          <w:highlight w:val="none"/>
        </w:rPr>
        <w:t>贴图标准：PBR材质（金属/粗糙度流程），贴图分辨率：角色512×512或1024×1024，场景物体2048×2048，压缩格式为DDS或PNG;</w:t>
      </w:r>
    </w:p>
    <w:p w14:paraId="689DCD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1.5 </w:t>
      </w:r>
      <w:r>
        <w:rPr>
          <w:rFonts w:hint="eastAsia" w:ascii="宋体" w:hAnsi="宋体" w:cs="宋体"/>
          <w:sz w:val="24"/>
          <w:highlight w:val="none"/>
        </w:rPr>
        <w:t>UI/UX标准：界面简洁大方清晰，符合施工类教育软件风格。</w:t>
      </w:r>
    </w:p>
    <w:p w14:paraId="6DD648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2. </w:t>
      </w:r>
      <w:r>
        <w:rPr>
          <w:rFonts w:hint="eastAsia" w:ascii="宋体" w:hAnsi="宋体" w:cs="宋体"/>
          <w:sz w:val="24"/>
          <w:highlight w:val="none"/>
        </w:rPr>
        <w:t>程序标准：</w:t>
      </w:r>
    </w:p>
    <w:p w14:paraId="0A8CC7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2.1 </w:t>
      </w:r>
      <w:r>
        <w:rPr>
          <w:rFonts w:hint="eastAsia" w:ascii="宋体" w:hAnsi="宋体" w:cs="宋体"/>
          <w:sz w:val="24"/>
          <w:highlight w:val="none"/>
        </w:rPr>
        <w:t>开发引擎：使用Unity 2021 LTS或更高版本，开发语言使用C#；</w:t>
      </w:r>
    </w:p>
    <w:p w14:paraId="106779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2.2 </w:t>
      </w:r>
      <w:r>
        <w:rPr>
          <w:rFonts w:hint="eastAsia" w:ascii="宋体" w:hAnsi="宋体" w:cs="宋体"/>
          <w:sz w:val="24"/>
          <w:highlight w:val="none"/>
        </w:rPr>
        <w:t>帧率要求：不低于60fps（主流配置下）；</w:t>
      </w:r>
    </w:p>
    <w:p w14:paraId="1D01FD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2.3 </w:t>
      </w:r>
      <w:r>
        <w:rPr>
          <w:rFonts w:hint="eastAsia" w:ascii="宋体" w:hAnsi="宋体" w:cs="宋体"/>
          <w:sz w:val="24"/>
          <w:highlight w:val="none"/>
        </w:rPr>
        <w:t>系统兼容性：可兼容Windows 10/11 64位系统，可兼容Google Chrome、Firefox、Edge等主流浏览器，可兼容数字教材平台；</w:t>
      </w:r>
    </w:p>
    <w:p w14:paraId="369061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2.4 </w:t>
      </w:r>
      <w:r>
        <w:rPr>
          <w:rFonts w:hint="eastAsia" w:ascii="宋体" w:hAnsi="宋体" w:cs="宋体"/>
          <w:sz w:val="24"/>
          <w:highlight w:val="none"/>
        </w:rPr>
        <w:t>分辨率：支持1920×1080及以上，UI自适应缩放。</w:t>
      </w:r>
    </w:p>
    <w:p w14:paraId="14E412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H5交互</w:t>
      </w: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资源开发标准</w:t>
      </w:r>
      <w:r>
        <w:rPr>
          <w:rFonts w:hint="eastAsia" w:ascii="宋体" w:hAnsi="宋体" w:cs="宋体"/>
          <w:b/>
          <w:bCs/>
          <w:sz w:val="24"/>
          <w:highlight w:val="none"/>
        </w:rPr>
        <w:t>：</w:t>
      </w:r>
    </w:p>
    <w:p w14:paraId="081999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1. 文件格式与封装要求</w:t>
      </w:r>
    </w:p>
    <w:p w14:paraId="79133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1.1 交互资源须基于 HTML5 标准开发，采用 HTML5/CSS3/JavaScript 原生 Web 技术栈实现，不得依赖第三方专用插件，支持直接嵌入数字教材，无需额外安装客户端程序。</w:t>
      </w:r>
    </w:p>
    <w:p w14:paraId="174860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1.2 资源须采用规范化打包，所有内部资源引用采用相对路径，单套独立交互资源总大小原则上不超过 50MB。</w:t>
      </w:r>
    </w:p>
    <w:p w14:paraId="6E7931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 交互功能要求</w:t>
      </w:r>
    </w:p>
    <w:p w14:paraId="66A1A8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2.1 交互逻辑须匹配对应知识点教学目标，操作路径清晰，反馈明确，无逻辑错误、流程断点或功能失效问题。</w:t>
      </w:r>
    </w:p>
    <w:p w14:paraId="17C7A0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2.</w:t>
      </w:r>
      <w:r>
        <w:rPr>
          <w:rFonts w:hint="eastAsia" w:ascii="宋体" w:hAnsi="宋体" w:cs="宋体"/>
          <w:sz w:val="24"/>
          <w:highlight w:val="none"/>
          <w:lang w:eastAsia="zh-CN"/>
        </w:rPr>
        <w:t>2</w:t>
      </w:r>
      <w:r>
        <w:rPr>
          <w:rFonts w:hint="eastAsia" w:ascii="宋体" w:hAnsi="宋体" w:cs="宋体"/>
          <w:sz w:val="24"/>
          <w:highlight w:val="none"/>
        </w:rPr>
        <w:t xml:space="preserve"> 参数调节、流程推演、习题作答类交互资源，须支持操作结果实时反馈；错误操作给出对应提示与知识解析，正确结果呈现完整结论。</w:t>
      </w:r>
    </w:p>
    <w:p w14:paraId="2A26C1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3. 界面与视觉规范</w:t>
      </w:r>
    </w:p>
    <w:p w14:paraId="473EF6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3.1 整体视觉风格须与对应教材设计体系保持统一，色彩搭配符合教学场景视觉舒适度要求，重点交互区域视觉层级清晰，无干扰教学的冗余动效。</w:t>
      </w:r>
    </w:p>
    <w:p w14:paraId="29D1DB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3.2 文字字号须适配移动端最小屏幕清晰辨识，专业术语、单位符号符合国家现行相关标准，标注与指引文字表述简洁准确。</w:t>
      </w:r>
    </w:p>
    <w:p w14:paraId="17626A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3.3 交互控件布局合理。</w:t>
      </w:r>
    </w:p>
    <w:p w14:paraId="4EA2DC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 内容与安全合规</w:t>
      </w:r>
    </w:p>
    <w:p w14:paraId="1EDAD3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4.1 内容须符合意识形态相关要求，符合对应专业的行业规范与职业安全要求，知识内容准确无误，无科学性、原理性错误。</w:t>
      </w:r>
    </w:p>
    <w:p w14:paraId="1533C8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4.2 资源代码安全合规，无恶意脚本、弹窗广告、强制外链跳转、数据窃取等风险，不得收集用户个人敏感信息。</w:t>
      </w:r>
    </w:p>
    <w:p w14:paraId="3BECBB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b/>
          <w:bCs/>
          <w:sz w:val="24"/>
          <w:highlight w:val="none"/>
        </w:rPr>
      </w:pPr>
      <w:r>
        <w:rPr>
          <w:rFonts w:hint="eastAsia" w:ascii="宋体" w:hAnsi="宋体" w:cs="宋体"/>
          <w:b/>
          <w:bCs/>
          <w:sz w:val="24"/>
          <w:highlight w:val="none"/>
        </w:rPr>
        <w:t>二、三维动画资源开发标准：</w:t>
      </w:r>
    </w:p>
    <w:p w14:paraId="4EE630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1.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highlight w:val="none"/>
        </w:rPr>
        <w:t>基础技术要求</w:t>
      </w:r>
    </w:p>
    <w:p w14:paraId="49A10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.1</w:t>
      </w:r>
      <w:r>
        <w:rPr>
          <w:rFonts w:hint="eastAsia" w:ascii="宋体" w:hAnsi="宋体" w:cs="宋体"/>
          <w:sz w:val="24"/>
          <w:highlight w:val="none"/>
        </w:rPr>
        <w:t xml:space="preserve"> 文件格式与编码要求</w:t>
      </w:r>
    </w:p>
    <w:p w14:paraId="7711B8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成品动画须采用 MP4 封装格式，视频编码执行 H.264/H.265 标准，音频编码执行 AAC 标准；轻量级原理动图可采用 GIF 格式，交互动画须通过 H5 技术封装后嵌入数字教材。</w:t>
      </w:r>
    </w:p>
    <w:p w14:paraId="4CE64C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视频文件须优化文件头为快速启动模式，适配网页端、移动端快速加载场景；单条动画文件大小不得超过 200MB。</w:t>
      </w:r>
    </w:p>
    <w:p w14:paraId="20FAE2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.2</w:t>
      </w:r>
      <w:r>
        <w:rPr>
          <w:rFonts w:hint="eastAsia" w:ascii="宋体" w:hAnsi="宋体" w:cs="宋体"/>
          <w:sz w:val="24"/>
          <w:highlight w:val="none"/>
        </w:rPr>
        <w:t xml:space="preserve"> 分辨率与帧率要求</w:t>
      </w:r>
    </w:p>
    <w:p w14:paraId="5DDDAD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动画基础分辨率不得低于 1920×1080（1080P），核心设备结构类三维动画须预留 4K 分辨率源文件。</w:t>
      </w:r>
    </w:p>
    <w:p w14:paraId="46F4FE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动画标准帧率不得低于 24fps，运动密集的机械运转类动画推荐采用 30fps，画面须流畅连贯，无跳帧、画面撕裂等异常现象。</w:t>
      </w:r>
    </w:p>
    <w:p w14:paraId="1951E9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.3</w:t>
      </w:r>
      <w:r>
        <w:rPr>
          <w:rFonts w:hint="eastAsia" w:ascii="宋体" w:hAnsi="宋体" w:cs="宋体"/>
          <w:sz w:val="24"/>
          <w:highlight w:val="none"/>
        </w:rPr>
        <w:t xml:space="preserve"> 音频要求</w:t>
      </w:r>
    </w:p>
    <w:p w14:paraId="101D11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配音须采用标准普通话，音频信噪比≥48dB，音量电平控制在 - 12dB 至 - 8dB 区间，无杂音、失真等问题；音画同步误差≤100ms，须配备简体中文字幕且字幕内容与配音完全一致。</w:t>
      </w:r>
    </w:p>
    <w:p w14:paraId="3DF3FA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1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.4</w:t>
      </w:r>
      <w:r>
        <w:rPr>
          <w:rFonts w:hint="eastAsia" w:ascii="宋体" w:hAnsi="宋体" w:cs="宋体"/>
          <w:sz w:val="24"/>
          <w:highlight w:val="none"/>
        </w:rPr>
        <w:t xml:space="preserve"> 画面与内容要求</w:t>
      </w:r>
    </w:p>
    <w:p w14:paraId="082C50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画面须无花屏、色彩跳动、文字模糊等问题，字幕及标注字号须适配移动端最小屏幕，保证清晰可辨；专业术语、单位符号须符合国家现行相关标准。</w:t>
      </w:r>
    </w:p>
    <w:p w14:paraId="79E570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内容须符合意识形态相关要求，符合职业安全规范。</w:t>
      </w:r>
    </w:p>
    <w:p w14:paraId="69C719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二维动画技术要求</w:t>
      </w:r>
    </w:p>
    <w:p w14:paraId="79896B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.1</w:t>
      </w:r>
      <w:r>
        <w:rPr>
          <w:rFonts w:hint="eastAsia" w:ascii="宋体" w:hAnsi="宋体" w:cs="宋体"/>
          <w:sz w:val="24"/>
          <w:highlight w:val="none"/>
        </w:rPr>
        <w:t xml:space="preserve"> 制作与视觉规范要求</w:t>
      </w:r>
    </w:p>
    <w:p w14:paraId="26EA05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二维动画宜采用矢量图形制作，线条闭合无断点，关键节点平滑过渡；整体视觉风格须与对应教材专业方向保持统一。</w:t>
      </w:r>
    </w:p>
    <w:p w14:paraId="08B0F5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文字、标注与背景对比度须满足清晰辨识要求，避免因颜色相近导致识别困难；重点操作步骤须通过高亮、箭头指示等方式引导视觉焦点。</w:t>
      </w:r>
    </w:p>
    <w:p w14:paraId="2B5CA5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2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.2 </w:t>
      </w:r>
      <w:r>
        <w:rPr>
          <w:rFonts w:hint="eastAsia" w:ascii="宋体" w:hAnsi="宋体" w:cs="宋体"/>
          <w:sz w:val="24"/>
          <w:highlight w:val="none"/>
        </w:rPr>
        <w:t>内容与节奏要求</w:t>
      </w:r>
    </w:p>
    <w:p w14:paraId="47A70C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单条二维动画对应 1 个独立知识点或工作流程，单条时长控制在 10 秒 - 3 分钟，避免信息过载。</w:t>
      </w:r>
    </w:p>
    <w:p w14:paraId="531DEC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动画节奏须匹配教学逻辑，纯静态画面单次停留时长不得超过 5 秒；帧与帧之间过渡自然，无生硬跳转。</w:t>
      </w:r>
    </w:p>
    <w:p w14:paraId="475C873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三维动画专项技术要求</w:t>
      </w:r>
    </w:p>
    <w:p w14:paraId="3C9E4B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3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>.1</w:t>
      </w:r>
      <w:r>
        <w:rPr>
          <w:rFonts w:hint="eastAsia" w:ascii="宋体" w:hAnsi="宋体" w:cs="宋体"/>
          <w:sz w:val="24"/>
          <w:highlight w:val="none"/>
        </w:rPr>
        <w:t xml:space="preserve"> 模型与材质精度</w:t>
      </w:r>
    </w:p>
    <w:p w14:paraId="638C58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核心设备、关键部件的三维模型须还原真实结构与装配关系，结构拆解动画须符合工业装配逻辑，无穿模、错位、结构错误等问题。</w:t>
      </w:r>
    </w:p>
    <w:p w14:paraId="3396E5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材质表现须贴合实物特征，金属、塑料、流体等材质质感还原准确；关键结构、接口、操作位须设置清晰标注。</w:t>
      </w:r>
    </w:p>
    <w:p w14:paraId="6ADB0A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  <w:lang w:eastAsia="zh-CN"/>
        </w:rPr>
        <w:t>3</w:t>
      </w:r>
      <w:r>
        <w:rPr>
          <w:rFonts w:hint="eastAsia" w:ascii="宋体" w:hAnsi="宋体" w:cs="宋体"/>
          <w:sz w:val="24"/>
          <w:highlight w:val="none"/>
          <w:lang w:val="en-US" w:eastAsia="zh-CN"/>
        </w:rPr>
        <w:t xml:space="preserve">.2 </w:t>
      </w:r>
      <w:r>
        <w:rPr>
          <w:rFonts w:hint="eastAsia" w:ascii="宋体" w:hAnsi="宋体" w:cs="宋体"/>
          <w:sz w:val="24"/>
          <w:highlight w:val="none"/>
        </w:rPr>
        <w:t>动画与交互要求</w:t>
      </w:r>
    </w:p>
    <w:p w14:paraId="21910D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动画运动规律须符合物理逻辑，设备运转、工艺动作等内容无违背工程常识的错误；复杂机构动画须支持分步演示、循环播放、慢速播放功能。</w:t>
      </w:r>
    </w:p>
    <w:p w14:paraId="5782FD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sz w:val="24"/>
          <w:highlight w:val="none"/>
        </w:rPr>
        <w:t>重点知识点对应的三维动画须支持交互操作，具备 360° 旋转视角、层级拆解、部件高亮等功能，通过 H5 封装后嵌入数字教材，交互响应时间≤0.1 秒。</w:t>
      </w:r>
    </w:p>
    <w:p w14:paraId="41606A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②技术适配标准：资源播放过程无画面模糊、音画不同步现象；数字教材平台接入测试通过率 100%，交付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测试报告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（含测试环境、测试用例、结果数据、问题整改记录）。</w:t>
      </w:r>
    </w:p>
    <w:p w14:paraId="743175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③交付验收标准：项目最终验收由 5 名课程主讲教师、2 名行业专家共同评审，资源综合满意度≥85 分（满分 100 分）。</w:t>
      </w:r>
    </w:p>
    <w:p w14:paraId="7D025B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④售后支持标准：技术问题工作时间响应≤2 小时、非工作时间响应≤6 小时，问题解决率≥98%；资源更新需求确认后，完成周期≤15 天；季度回访反馈问题整改率 100%。                                                  </w:t>
      </w:r>
    </w:p>
    <w:p w14:paraId="63A237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（3）服务期限：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①开发周期：自合同签订之日起 4 个月内完成全部资源开发、平台适配与正式交付。</w:t>
      </w:r>
    </w:p>
    <w:p w14:paraId="3167FE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②售后期限：资源最终验收合格后，提供1年免费资源更新服务、2年免费技术支持服务；售后期限内，需建立专项服务台账，记录服务内容、时间、结果。                                               </w:t>
      </w:r>
    </w:p>
    <w:p w14:paraId="77641E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（4）服务人员数量及组成：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①人员数量：组建不少于 8 人的专项服务团队，确保资源开发、技术适配、售后支持各环节专人专职负责。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②人员组成：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项目负责人 1 名：从业3年以上，具有高校数字资源项目管理相关经验，负责学校、教师、制作团队之间的沟通与协调，提供相应的证明材料。</w:t>
      </w:r>
    </w:p>
    <w:p w14:paraId="554A94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2、动画设计师 4 名：其中 2 名专注二维动画制作，2 名专注三维动画制作，提供相应资质证书。</w:t>
      </w:r>
    </w:p>
    <w:p w14:paraId="136268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3、交互开发工程师 2 名：负责相应H5资源开发及虚拟仿真软件开发，提供软件开发类的资质证书2份。</w:t>
      </w:r>
    </w:p>
    <w:p w14:paraId="421F8A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4、平面设计师 1 名：负责H5及虚拟仿真界面设计服务，提供平面设计或UI设计资质证书。</w:t>
      </w:r>
    </w:p>
    <w:p w14:paraId="16C50E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③人员要求：服务期间未经采购方同意，不得擅自更换项目负责人、核心动画设计师与交互工程师。</w:t>
      </w:r>
    </w:p>
    <w:p w14:paraId="178972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（5）其他要求：</w:t>
      </w:r>
    </w:p>
    <w:p w14:paraId="5ED563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①保密要求：供应商需对项目涉及的课程知识点、学校平台技术参数、师生反馈数据等信息严格保密，签订保密协议，保密期限≥3年；</w:t>
      </w:r>
    </w:p>
    <w:p w14:paraId="77E850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②</w:t>
      </w:r>
      <w:r>
        <w:rPr>
          <w:rFonts w:hint="eastAsia" w:ascii="宋体" w:hAnsi="宋体" w:cs="宋体"/>
          <w:sz w:val="24"/>
          <w:highlight w:val="none"/>
        </w:rPr>
        <w:t>版权及知识产权承诺：投标人书面承诺所有开发素材均为原创，因素材引起的版权纠纷均由供应商负责，同时所开发好的资源其知识产权归学校所有，供应商无权以任何形式进行修订、传播等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；；</w:t>
      </w:r>
    </w:p>
    <w:p w14:paraId="323437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 xml:space="preserve">③沟通要求：建立周例会制度，供应商需提交周进度报告；重大问题（如资源开发偏差、技术适配障碍）需在24小时内书面告知采购方。 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                              </w:t>
      </w:r>
    </w:p>
    <w:p w14:paraId="058E06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Chars="200"/>
        <w:textAlignment w:val="auto"/>
        <w:outlineLvl w:val="2"/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3、服务事项的验收（考核）标准</w:t>
      </w:r>
    </w:p>
    <w:p w14:paraId="4F995D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（1）整体交付验收标准（合同约定的全部服务内容完成后 15 个工作日内）</w:t>
      </w:r>
    </w:p>
    <w:p w14:paraId="00A633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①验收内容：覆盖不少于 13 个 HTML5 交互资源、13 个二维动画（视频）、16 个三维动画（视频）、21 个虚拟仿真交互资源的开发质量，多终端与平台技术适配效果，交付成果完整性及教师培训效果。</w:t>
      </w:r>
    </w:p>
    <w:p w14:paraId="0C896D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②考核方式：</w:t>
      </w:r>
    </w:p>
    <w:p w14:paraId="318A05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资源质量检测：组织 5 名课程主讲教师 + 2 名行业专家，核查资源与《预制梁智能生产》能力图谱的匹配度（≥95%）、与行业施工规范的符合性；动画分辨率（≥1080P）、帧率（≥24fps）、三维模型精度（误差≤1%）、交互响应延迟（≤0.5 秒），每类资源随机抽取 3 个样本，合格率需达到 100%。</w:t>
      </w:r>
    </w:p>
    <w:p w14:paraId="23A5F8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技术适配验证：上传数字教材资源平台后，测试资源加载无缺失、播放流畅度与交互稳定性；在数字教材平台完成全量资源调用与功能测试，平台适配通过率需达到 100%。</w:t>
      </w:r>
    </w:p>
    <w:p w14:paraId="03A484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交付与培训核查：对照交付清单核对成品资源、工程源文件、使用说明书；组织参训教师填写培训满意度问卷，培训满意度需≥85 分（满分 100 分）。</w:t>
      </w:r>
    </w:p>
    <w:p w14:paraId="64B9F7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③达标要求：资源质量、技术适配、交付成果、培训效果四项全部达标；未达标项需在 7 个工作日内完成整改并重新验收，累计 2 次整改仍不达标的，扣除总服务费用的 15%。</w:t>
      </w:r>
    </w:p>
    <w:p w14:paraId="5856D1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（2）售后最终考核标准（售后期限届满前 1 个月）</w:t>
      </w:r>
    </w:p>
    <w:p w14:paraId="679509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①考核内容：售后支持服务质量与资源长期使用效果。</w:t>
      </w:r>
    </w:p>
    <w:p w14:paraId="63D96F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②考核方式：</w:t>
      </w:r>
    </w:p>
    <w:p w14:paraId="421C5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>售后台账核查：查阅供应商专项服务台账，核验技术问题响应时效、问题解决率、资源更新周期、季度回访整改率等指标，确保数据与实际服务记录一致；面向使用教师发放满意度问卷，综合评价资源使用效果与售后服务质量。</w:t>
      </w:r>
    </w:p>
    <w:p w14:paraId="611E5B76"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u w:val="none"/>
          <w:lang w:val="en-US" w:eastAsia="zh-CN"/>
        </w:rPr>
        <w:t xml:space="preserve">③达标要求：售后台账各项指标全部达标且综合满意度≥85 分；未达标则扣除剩余 5% 服务尾款，供应商需出具书面改进方案并落实优化。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39C36E"/>
    <w:multiLevelType w:val="singleLevel"/>
    <w:tmpl w:val="1039C36E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8D0DB7"/>
    <w:rsid w:val="338D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rFonts w:ascii="Times New Roman" w:hAnsi="Times New Roman" w:eastAsia="宋体" w:cs="Times New Roman"/>
      <w:b/>
      <w:bCs/>
      <w:kern w:val="44"/>
      <w:sz w:val="30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Char"/>
    <w:link w:val="2"/>
    <w:uiPriority w:val="0"/>
    <w:rPr>
      <w:rFonts w:ascii="Times New Roman" w:hAnsi="Times New Roman" w:eastAsia="宋体" w:cs="Times New Roman"/>
      <w:b/>
      <w:bCs/>
      <w:kern w:val="44"/>
      <w:sz w:val="30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2026-07-24T03:39:00Z</dcterms:created>
  <dc:creator>国创招标</dc:creator>
  <cp:lastModifiedBy>国创招标</cp:lastModifiedBy>
  <dcterms:modified xsi:type="dcterms:W3CDTF">2026-07-24T03:39:59Z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7178A81CB4394FBDA62EEDEF655DA0F7_11</vt:lpwstr>
  </property>
  <property fmtid="{D5CDD505-2E9C-101B-9397-08002B2CF9AE}" pid="4" name="KSOTemplateDocerSaveRecord">
    <vt:lpwstr>eyJoZGlkIjoiY2JiM2Q2YTNkZTc1Mjk4ODRhOWVjZTc0YTFmYTE5NzciLCJ1c2VySWQiOiIxMTQ2NDU0OTA0In0=</vt:lpwstr>
  </property>
</Properties>
</file>