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版本号：ZCPC-2026-02620260610001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开展2026年度万名劳动者免费体检活动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ZCPC-2026-026</w:t>
      </w:r>
      <w:r>
        <w:br/>
      </w:r>
      <w:r>
        <w:br/>
      </w:r>
      <w:r>
        <w:br/>
      </w:r>
    </w:p>
    <w:p>
      <w:pPr>
        <w:pStyle w:val="null3"/>
        <w:jc w:val="center"/>
        <w:outlineLvl w:val="2"/>
      </w:pPr>
      <w:r>
        <w:rPr>
          <w:rFonts w:ascii="仿宋_GB2312" w:hAnsi="仿宋_GB2312" w:cs="仿宋_GB2312" w:eastAsia="仿宋_GB2312"/>
          <w:sz w:val="28"/>
          <w:b/>
        </w:rPr>
        <w:t>西安市总工会</w:t>
      </w:r>
    </w:p>
    <w:p>
      <w:pPr>
        <w:pStyle w:val="null3"/>
        <w:jc w:val="center"/>
        <w:outlineLvl w:val="2"/>
      </w:pPr>
      <w:r>
        <w:rPr>
          <w:rFonts w:ascii="仿宋_GB2312" w:hAnsi="仿宋_GB2312" w:cs="仿宋_GB2312" w:eastAsia="仿宋_GB2312"/>
          <w:sz w:val="28"/>
          <w:b/>
        </w:rPr>
        <w:t>陕西众灿品诚项目管理有限公司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陕西众灿品诚项目管理有限公司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西安市总工会</w:t>
      </w:r>
      <w:r>
        <w:rPr>
          <w:rFonts w:ascii="仿宋_GB2312" w:hAnsi="仿宋_GB2312" w:cs="仿宋_GB2312" w:eastAsia="仿宋_GB2312"/>
        </w:rPr>
        <w:t>委托，拟对</w:t>
      </w:r>
      <w:r>
        <w:rPr>
          <w:rFonts w:ascii="仿宋_GB2312" w:hAnsi="仿宋_GB2312" w:cs="仿宋_GB2312" w:eastAsia="仿宋_GB2312"/>
        </w:rPr>
        <w:t>开展2026年度万名劳动者免费体检活动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ZCPC-2026-026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开展2026年度万名劳动者免费体检活动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开展2026年度万名劳动者免费体检活动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1、法人授权委托书：法定代表人参与磋商时，提供法定代表人身份证明及本人身份证复印件加盖公章；授权代表参与磋商时，提供企业法人授权委托书和被授权人身份证复印件加盖公章；</w:t>
      </w:r>
    </w:p>
    <w:p>
      <w:pPr>
        <w:pStyle w:val="null3"/>
      </w:pPr>
      <w:r>
        <w:rPr>
          <w:rFonts w:ascii="仿宋_GB2312" w:hAnsi="仿宋_GB2312" w:cs="仿宋_GB2312" w:eastAsia="仿宋_GB2312"/>
        </w:rPr>
        <w:t>2、信用证明：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p>
    <w:p>
      <w:pPr>
        <w:pStyle w:val="null3"/>
      </w:pPr>
      <w:r>
        <w:rPr>
          <w:rFonts w:ascii="仿宋_GB2312" w:hAnsi="仿宋_GB2312" w:cs="仿宋_GB2312" w:eastAsia="仿宋_GB2312"/>
        </w:rPr>
        <w:t>3、供应商资质要求：具备卫生行政部门核准登记取得的《医疗机构执业许可证》、《放射诊疗许可证》；</w:t>
      </w:r>
    </w:p>
    <w:p>
      <w:pPr>
        <w:pStyle w:val="null3"/>
      </w:pPr>
      <w:r>
        <w:rPr>
          <w:rFonts w:ascii="仿宋_GB2312" w:hAnsi="仿宋_GB2312" w:cs="仿宋_GB2312" w:eastAsia="仿宋_GB2312"/>
        </w:rPr>
        <w:t>4、控股、管理关系：单位负责人为同一人或者存在控股、管理关系的不同供应商，不得同时参加本项目采购项目；</w:t>
      </w:r>
    </w:p>
    <w:p>
      <w:pPr>
        <w:pStyle w:val="null3"/>
      </w:pPr>
      <w:r>
        <w:rPr>
          <w:rFonts w:ascii="仿宋_GB2312" w:hAnsi="仿宋_GB2312" w:cs="仿宋_GB2312" w:eastAsia="仿宋_GB2312"/>
        </w:rPr>
        <w:t>5、联合体投标：本项目不接受联合体投标。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西安市总工会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西安市未央区明光路166号凯瑞大厦i座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缴工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029-87221619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陕西众灿品诚项目管理有限公司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陕西省西安市雁塔区电子城街道万象国际中心2号楼1单元801室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王伟娜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18402992102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和国家发展和改革委员会办公厅颁发的《关于招标代理服务收费有关问题的通知》（发改办价格〔2003〕857号）的有关规定收取，不足5000元，按照5000元进行收取。本项目代理服务费按服务计取。招标代理服务费以转账或现金形式缴纳至以下账户： 名 称：陕西众灿品诚项目管理有限公司 账 号 ：129914150610901 开户行：招商银行西安分行钟楼支行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西安市总工会</w:t>
      </w:r>
      <w:r>
        <w:rPr>
          <w:rFonts w:ascii="仿宋_GB2312" w:hAnsi="仿宋_GB2312" w:cs="仿宋_GB2312" w:eastAsia="仿宋_GB2312"/>
        </w:rPr>
        <w:t>和</w:t>
      </w:r>
      <w:r>
        <w:rPr>
          <w:rFonts w:ascii="仿宋_GB2312" w:hAnsi="仿宋_GB2312" w:cs="仿宋_GB2312" w:eastAsia="仿宋_GB2312"/>
        </w:rPr>
        <w:t>陕西众灿品诚项目管理有限公司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西安市总工会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陕西众灿品诚项目管理有限公司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西安市总工会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陕西众灿品诚项目管理有限公司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联系人：王伟娜</w:t>
      </w:r>
    </w:p>
    <w:p>
      <w:pPr>
        <w:pStyle w:val="null3"/>
      </w:pPr>
      <w:r>
        <w:rPr>
          <w:rFonts w:ascii="仿宋_GB2312" w:hAnsi="仿宋_GB2312" w:cs="仿宋_GB2312" w:eastAsia="仿宋_GB2312"/>
        </w:rPr>
        <w:t>联系电话：18402992102</w:t>
      </w:r>
    </w:p>
    <w:p>
      <w:pPr>
        <w:pStyle w:val="null3"/>
      </w:pPr>
      <w:r>
        <w:rPr>
          <w:rFonts w:ascii="仿宋_GB2312" w:hAnsi="仿宋_GB2312" w:cs="仿宋_GB2312" w:eastAsia="仿宋_GB2312"/>
        </w:rPr>
        <w:t>地址：陕西省西安市雁塔区电子城街道万象国际中心2号楼1单元801室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开展2026年度万名劳动者免费体检活动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开展2026年度万名劳动者免费体检活动</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jc w:val="right"/>
            </w:pPr>
            <w:r>
              <w:rPr>
                <w:rFonts w:ascii="仿宋_GB2312" w:hAnsi="仿宋_GB2312" w:cs="仿宋_GB2312" w:eastAsia="仿宋_GB2312"/>
              </w:rPr>
              <w:t>1,900,000.00</w:t>
            </w:r>
          </w:p>
        </w:tc>
        <w:tc>
          <w:tcPr>
            <w:tcW w:type="dxa" w:w="755"/>
          </w:tcPr>
          <w:p>
            <w:pPr>
              <w:pStyle w:val="null3"/>
            </w:pPr>
            <w:r>
              <w:rPr>
                <w:rFonts w:ascii="仿宋_GB2312" w:hAnsi="仿宋_GB2312" w:cs="仿宋_GB2312" w:eastAsia="仿宋_GB2312"/>
              </w:rPr>
              <w:t>人</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标的名称：开展2026年度万名劳动者免费体检活动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按照市总工会</w:t>
            </w:r>
            <w:r>
              <w:rPr>
                <w:rFonts w:ascii="仿宋_GB2312" w:hAnsi="仿宋_GB2312" w:cs="仿宋_GB2312" w:eastAsia="仿宋_GB2312"/>
              </w:rPr>
              <w:t>202</w:t>
            </w:r>
            <w:r>
              <w:rPr>
                <w:rFonts w:ascii="仿宋_GB2312" w:hAnsi="仿宋_GB2312" w:cs="仿宋_GB2312" w:eastAsia="仿宋_GB2312"/>
              </w:rPr>
              <w:t>6</w:t>
            </w:r>
            <w:r>
              <w:rPr>
                <w:rFonts w:ascii="仿宋_GB2312" w:hAnsi="仿宋_GB2312" w:cs="仿宋_GB2312" w:eastAsia="仿宋_GB2312"/>
              </w:rPr>
              <w:t>年重点工作目标任务要求，对服务我市的</w:t>
            </w:r>
            <w:r>
              <w:rPr>
                <w:rFonts w:ascii="仿宋_GB2312" w:hAnsi="仿宋_GB2312" w:cs="仿宋_GB2312" w:eastAsia="仿宋_GB2312"/>
              </w:rPr>
              <w:t>2026年度万名劳动者免费体检活动</w:t>
            </w:r>
            <w:r>
              <w:rPr>
                <w:rFonts w:ascii="仿宋_GB2312" w:hAnsi="仿宋_GB2312" w:cs="仿宋_GB2312" w:eastAsia="仿宋_GB2312"/>
              </w:rPr>
              <w:t>，此次免费体检活动按照市总工会统一组织、基层工会分批落实的原则，各单位按照所分配名额报名参与的方式实施，体检采取体检人员自行到体检中心体检和体检设备车进单位现场两种方式。</w:t>
            </w:r>
          </w:p>
          <w:p>
            <w:pPr>
              <w:pStyle w:val="null3"/>
            </w:pPr>
            <w:r>
              <w:rPr>
                <w:rFonts w:ascii="仿宋_GB2312" w:hAnsi="仿宋_GB2312" w:cs="仿宋_GB2312" w:eastAsia="仿宋_GB2312"/>
              </w:rPr>
              <w:t>暂定人数：</w:t>
            </w:r>
            <w:r>
              <w:rPr>
                <w:rFonts w:ascii="仿宋_GB2312" w:hAnsi="仿宋_GB2312" w:cs="仿宋_GB2312" w:eastAsia="仿宋_GB2312"/>
              </w:rPr>
              <w:t>10000人（采购人保留少数变更体检人数的权利，最终人数以实际参加体检人数为准）</w:t>
            </w:r>
          </w:p>
          <w:p>
            <w:pPr>
              <w:pStyle w:val="null3"/>
            </w:pPr>
            <w:r>
              <w:rPr>
                <w:rFonts w:ascii="仿宋_GB2312" w:hAnsi="仿宋_GB2312" w:cs="仿宋_GB2312" w:eastAsia="仿宋_GB2312"/>
                <w:sz w:val="21"/>
              </w:rPr>
              <w:t>单价限价：</w:t>
            </w:r>
            <w:r>
              <w:rPr>
                <w:rFonts w:ascii="仿宋_GB2312" w:hAnsi="仿宋_GB2312" w:cs="仿宋_GB2312" w:eastAsia="仿宋_GB2312"/>
                <w:sz w:val="21"/>
              </w:rPr>
              <w:t>190元/人</w:t>
            </w:r>
          </w:p>
          <w:p>
            <w:pPr>
              <w:pStyle w:val="null3"/>
            </w:pPr>
            <w:r>
              <w:rPr>
                <w:rFonts w:ascii="仿宋_GB2312" w:hAnsi="仿宋_GB2312" w:cs="仿宋_GB2312" w:eastAsia="仿宋_GB2312"/>
              </w:rPr>
              <w:t>二、体检方案</w:t>
            </w:r>
          </w:p>
          <w:p>
            <w:pPr>
              <w:pStyle w:val="null3"/>
            </w:pPr>
            <w:r>
              <w:rPr>
                <w:rFonts w:ascii="仿宋_GB2312" w:hAnsi="仿宋_GB2312" w:cs="仿宋_GB2312" w:eastAsia="仿宋_GB2312"/>
              </w:rPr>
              <w:t>体检方案一：</w:t>
            </w:r>
          </w:p>
          <w:tbl>
            <w:tblPr>
              <w:tblInd w:type="dxa" w:w="120"/>
              <w:tblBorders>
                <w:top w:val="none" w:color="000000" w:sz="4"/>
                <w:left w:val="none" w:color="000000" w:sz="4"/>
                <w:bottom w:val="none" w:color="000000" w:sz="4"/>
                <w:right w:val="none" w:color="000000" w:sz="4"/>
                <w:insideH w:val="none"/>
                <w:insideV w:val="none"/>
              </w:tblBorders>
            </w:tblPr>
            <w:tblGrid>
              <w:gridCol w:w="440"/>
              <w:gridCol w:w="763"/>
              <w:gridCol w:w="1349"/>
            </w:tblGrid>
            <w:tr>
              <w:tc>
                <w:tcPr>
                  <w:tcW w:type="dxa" w:w="440"/>
                  <w:tcBorders>
                    <w:top w:val="single" w:color="000000" w:sz="4"/>
                    <w:left w:val="single" w:color="000000" w:sz="4"/>
                    <w:bottom w:val="single" w:color="000000" w:sz="4"/>
                    <w:right w:val="single" w:color="000000" w:sz="4"/>
                  </w:tcBorders>
                  <w:shd w:fill="D3D3D3"/>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763"/>
                  <w:tcBorders>
                    <w:top w:val="single" w:color="000000" w:sz="4"/>
                    <w:left w:val="none" w:color="000000" w:sz="4"/>
                    <w:bottom w:val="single" w:color="000000" w:sz="4"/>
                    <w:right w:val="single" w:color="000000" w:sz="4"/>
                  </w:tcBorders>
                  <w:shd w:fill="D3D3D3"/>
                  <w:tcMar>
                    <w:top w:type="dxa" w:w="0"/>
                    <w:left w:type="dxa" w:w="105"/>
                    <w:bottom w:type="dxa" w:w="0"/>
                    <w:right w:type="dxa" w:w="105"/>
                  </w:tcMar>
                  <w:vAlign w:val="top"/>
                </w:tcPr>
                <w:p>
                  <w:pPr>
                    <w:pStyle w:val="null3"/>
                  </w:pPr>
                  <w:r>
                    <w:rPr>
                      <w:rFonts w:ascii="仿宋_GB2312" w:hAnsi="仿宋_GB2312" w:cs="仿宋_GB2312" w:eastAsia="仿宋_GB2312"/>
                      <w:sz w:val="19"/>
                    </w:rPr>
                    <w:t>类别</w:t>
                  </w:r>
                </w:p>
              </w:tc>
              <w:tc>
                <w:tcPr>
                  <w:tcW w:type="dxa" w:w="1349"/>
                  <w:tcBorders>
                    <w:top w:val="single" w:color="000000" w:sz="4"/>
                    <w:left w:val="none" w:color="000000" w:sz="4"/>
                    <w:bottom w:val="single" w:color="000000" w:sz="4"/>
                    <w:right w:val="single" w:color="000000" w:sz="4"/>
                  </w:tcBorders>
                  <w:shd w:fill="D3D3D3"/>
                  <w:tcMar>
                    <w:top w:type="dxa" w:w="0"/>
                    <w:left w:type="dxa" w:w="105"/>
                    <w:bottom w:type="dxa" w:w="0"/>
                    <w:right w:type="dxa" w:w="105"/>
                  </w:tcMar>
                  <w:vAlign w:val="top"/>
                </w:tcPr>
                <w:p>
                  <w:pPr>
                    <w:pStyle w:val="null3"/>
                  </w:pPr>
                  <w:r>
                    <w:rPr>
                      <w:rFonts w:ascii="仿宋_GB2312" w:hAnsi="仿宋_GB2312" w:cs="仿宋_GB2312" w:eastAsia="仿宋_GB2312"/>
                      <w:sz w:val="19"/>
                    </w:rPr>
                    <w:t>组合名称</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7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基础检查</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身高、体重、体重指数</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763"/>
                  <w:vMerge/>
                  <w:tcBorders>
                    <w:top w:val="none" w:color="000000" w:sz="4"/>
                    <w:left w:val="none" w:color="000000" w:sz="4"/>
                    <w:bottom w:val="single" w:color="000000" w:sz="4"/>
                    <w:right w:val="single" w:color="000000" w:sz="4"/>
                  </w:tcBorders>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血压、脉搏</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763"/>
                  <w:vMerge/>
                  <w:tcBorders>
                    <w:top w:val="none" w:color="000000" w:sz="4"/>
                    <w:left w:val="none" w:color="000000" w:sz="4"/>
                    <w:bottom w:val="single" w:color="000000" w:sz="4"/>
                    <w:right w:val="single" w:color="000000" w:sz="4"/>
                  </w:tcBorders>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内科检查</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763"/>
                  <w:vMerge/>
                  <w:tcBorders>
                    <w:top w:val="none" w:color="000000" w:sz="4"/>
                    <w:left w:val="none" w:color="000000" w:sz="4"/>
                    <w:bottom w:val="single" w:color="000000" w:sz="4"/>
                    <w:right w:val="single" w:color="000000" w:sz="4"/>
                  </w:tcBorders>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外科检查</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7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检验项目</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血细胞分析</w:t>
                  </w:r>
                  <w:r>
                    <w:rPr>
                      <w:rFonts w:ascii="仿宋_GB2312" w:hAnsi="仿宋_GB2312" w:cs="仿宋_GB2312" w:eastAsia="仿宋_GB2312"/>
                      <w:sz w:val="19"/>
                    </w:rPr>
                    <w:t>+五分类</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763"/>
                  <w:vMerge/>
                  <w:tcBorders>
                    <w:top w:val="none" w:color="000000" w:sz="4"/>
                    <w:left w:val="none" w:color="000000" w:sz="4"/>
                    <w:bottom w:val="single" w:color="000000" w:sz="4"/>
                    <w:right w:val="single" w:color="000000" w:sz="4"/>
                  </w:tcBorders>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肝功六项</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763"/>
                  <w:vMerge/>
                  <w:tcBorders>
                    <w:top w:val="none" w:color="000000" w:sz="4"/>
                    <w:left w:val="none" w:color="000000" w:sz="4"/>
                    <w:bottom w:val="single" w:color="000000" w:sz="4"/>
                    <w:right w:val="single" w:color="000000" w:sz="4"/>
                  </w:tcBorders>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肾功四项</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763"/>
                  <w:vMerge/>
                  <w:tcBorders>
                    <w:top w:val="none" w:color="000000" w:sz="4"/>
                    <w:left w:val="none" w:color="000000" w:sz="4"/>
                    <w:bottom w:val="single" w:color="000000" w:sz="4"/>
                    <w:right w:val="single" w:color="000000" w:sz="4"/>
                  </w:tcBorders>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血脂四项</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763"/>
                  <w:vMerge/>
                  <w:tcBorders>
                    <w:top w:val="none" w:color="000000" w:sz="4"/>
                    <w:left w:val="none" w:color="000000" w:sz="4"/>
                    <w:bottom w:val="single" w:color="000000" w:sz="4"/>
                    <w:right w:val="single" w:color="000000" w:sz="4"/>
                  </w:tcBorders>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甲胎蛋白定性</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763"/>
                  <w:vMerge/>
                  <w:tcBorders>
                    <w:top w:val="none" w:color="000000" w:sz="4"/>
                    <w:left w:val="none" w:color="000000" w:sz="4"/>
                    <w:bottom w:val="single" w:color="000000" w:sz="4"/>
                    <w:right w:val="single" w:color="000000" w:sz="4"/>
                  </w:tcBorders>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癌胚抗原定性</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7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功能检查</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常规</w:t>
                  </w:r>
                  <w:r>
                    <w:rPr>
                      <w:rFonts w:ascii="仿宋_GB2312" w:hAnsi="仿宋_GB2312" w:cs="仿宋_GB2312" w:eastAsia="仿宋_GB2312"/>
                      <w:sz w:val="19"/>
                    </w:rPr>
                    <w:t>心电图</w:t>
                  </w:r>
                  <w:r>
                    <w:rPr>
                      <w:rFonts w:ascii="仿宋_GB2312" w:hAnsi="仿宋_GB2312" w:cs="仿宋_GB2312" w:eastAsia="仿宋_GB2312"/>
                      <w:sz w:val="19"/>
                    </w:rPr>
                    <w:t>检查</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763"/>
                  <w:vMerge/>
                  <w:tcBorders>
                    <w:top w:val="none" w:color="000000" w:sz="4"/>
                    <w:left w:val="none" w:color="000000" w:sz="4"/>
                    <w:bottom w:val="single" w:color="000000" w:sz="4"/>
                    <w:right w:val="single" w:color="000000" w:sz="4"/>
                  </w:tcBorders>
                </w:tc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骨密度</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影像检查</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胸部正位</w:t>
                  </w:r>
                  <w:r>
                    <w:rPr>
                      <w:rFonts w:ascii="仿宋_GB2312" w:hAnsi="仿宋_GB2312" w:cs="仿宋_GB2312" w:eastAsia="仿宋_GB2312"/>
                      <w:sz w:val="19"/>
                    </w:rPr>
                    <w:t>DR（不含片）</w:t>
                  </w:r>
                </w:p>
              </w:tc>
            </w:tr>
            <w:tr>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营养早餐</w:t>
                  </w:r>
                </w:p>
              </w:tc>
            </w:tr>
          </w:tbl>
          <w:p>
            <w:pPr>
              <w:pStyle w:val="null3"/>
            </w:pPr>
            <w:r>
              <w:rPr>
                <w:rFonts w:ascii="仿宋_GB2312" w:hAnsi="仿宋_GB2312" w:cs="仿宋_GB2312" w:eastAsia="仿宋_GB2312"/>
              </w:rPr>
              <w:t>体检方案二：</w:t>
            </w:r>
          </w:p>
          <w:tbl>
            <w:tblPr>
              <w:tblInd w:type="dxa" w:w="120"/>
              <w:tblBorders>
                <w:top w:val="none" w:color="000000" w:sz="4"/>
                <w:left w:val="none" w:color="000000" w:sz="4"/>
                <w:bottom w:val="none" w:color="000000" w:sz="4"/>
                <w:right w:val="none" w:color="000000" w:sz="4"/>
                <w:insideH w:val="none"/>
                <w:insideV w:val="none"/>
              </w:tblBorders>
            </w:tblPr>
            <w:tblGrid>
              <w:gridCol w:w="441"/>
              <w:gridCol w:w="730"/>
              <w:gridCol w:w="1381"/>
            </w:tblGrid>
            <w:tr>
              <w:tc>
                <w:tcPr>
                  <w:tcW w:type="dxa" w:w="441"/>
                  <w:tcBorders>
                    <w:top w:val="single" w:color="000000" w:sz="4"/>
                    <w:left w:val="single" w:color="000000" w:sz="4"/>
                    <w:bottom w:val="single" w:color="000000" w:sz="4"/>
                    <w:right w:val="single" w:color="000000" w:sz="4"/>
                  </w:tcBorders>
                  <w:shd w:fill="D3D3D3"/>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730"/>
                  <w:tcBorders>
                    <w:top w:val="single" w:color="000000" w:sz="4"/>
                    <w:left w:val="none" w:color="000000" w:sz="4"/>
                    <w:bottom w:val="single" w:color="000000" w:sz="4"/>
                    <w:right w:val="single" w:color="000000" w:sz="4"/>
                  </w:tcBorders>
                  <w:shd w:fill="D3D3D3"/>
                  <w:tcMar>
                    <w:top w:type="dxa" w:w="0"/>
                    <w:left w:type="dxa" w:w="105"/>
                    <w:bottom w:type="dxa" w:w="0"/>
                    <w:right w:type="dxa" w:w="105"/>
                  </w:tcMar>
                  <w:vAlign w:val="top"/>
                </w:tcPr>
                <w:p>
                  <w:pPr>
                    <w:pStyle w:val="null3"/>
                  </w:pPr>
                  <w:r>
                    <w:rPr>
                      <w:rFonts w:ascii="仿宋_GB2312" w:hAnsi="仿宋_GB2312" w:cs="仿宋_GB2312" w:eastAsia="仿宋_GB2312"/>
                      <w:sz w:val="19"/>
                    </w:rPr>
                    <w:t>类别</w:t>
                  </w:r>
                </w:p>
              </w:tc>
              <w:tc>
                <w:tcPr>
                  <w:tcW w:type="dxa" w:w="1381"/>
                  <w:tcBorders>
                    <w:top w:val="single" w:color="000000" w:sz="4"/>
                    <w:left w:val="none" w:color="000000" w:sz="4"/>
                    <w:bottom w:val="single" w:color="000000" w:sz="4"/>
                    <w:right w:val="single" w:color="000000" w:sz="4"/>
                  </w:tcBorders>
                  <w:shd w:fill="D3D3D3"/>
                  <w:tcMar>
                    <w:top w:type="dxa" w:w="0"/>
                    <w:left w:type="dxa" w:w="105"/>
                    <w:bottom w:type="dxa" w:w="0"/>
                    <w:right w:type="dxa" w:w="105"/>
                  </w:tcMar>
                  <w:vAlign w:val="top"/>
                </w:tcPr>
                <w:p>
                  <w:pPr>
                    <w:pStyle w:val="null3"/>
                  </w:pPr>
                  <w:r>
                    <w:rPr>
                      <w:rFonts w:ascii="仿宋_GB2312" w:hAnsi="仿宋_GB2312" w:cs="仿宋_GB2312" w:eastAsia="仿宋_GB2312"/>
                      <w:sz w:val="19"/>
                    </w:rPr>
                    <w:t>组合名称</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7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检验项目</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血细胞分析</w:t>
                  </w:r>
                  <w:r>
                    <w:rPr>
                      <w:rFonts w:ascii="仿宋_GB2312" w:hAnsi="仿宋_GB2312" w:cs="仿宋_GB2312" w:eastAsia="仿宋_GB2312"/>
                      <w:sz w:val="19"/>
                    </w:rPr>
                    <w:t>+五分类</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730"/>
                  <w:vMerge/>
                  <w:tcBorders>
                    <w:top w:val="none" w:color="000000" w:sz="4"/>
                    <w:left w:val="none" w:color="000000" w:sz="4"/>
                    <w:bottom w:val="single" w:color="000000" w:sz="4"/>
                    <w:right w:val="single" w:color="000000" w:sz="4"/>
                  </w:tcBorders>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肝功六项</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730"/>
                  <w:vMerge/>
                  <w:tcBorders>
                    <w:top w:val="none" w:color="000000" w:sz="4"/>
                    <w:left w:val="none" w:color="000000" w:sz="4"/>
                    <w:bottom w:val="single" w:color="000000" w:sz="4"/>
                    <w:right w:val="single" w:color="000000" w:sz="4"/>
                  </w:tcBorders>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血脂四项</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730"/>
                  <w:vMerge/>
                  <w:tcBorders>
                    <w:top w:val="none" w:color="000000" w:sz="4"/>
                    <w:left w:val="none" w:color="000000" w:sz="4"/>
                    <w:bottom w:val="single" w:color="000000" w:sz="4"/>
                    <w:right w:val="single" w:color="000000" w:sz="4"/>
                  </w:tcBorders>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肾功四项</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730"/>
                  <w:vMerge/>
                  <w:tcBorders>
                    <w:top w:val="none" w:color="000000" w:sz="4"/>
                    <w:left w:val="none" w:color="000000" w:sz="4"/>
                    <w:bottom w:val="single" w:color="000000" w:sz="4"/>
                    <w:right w:val="single" w:color="000000" w:sz="4"/>
                  </w:tcBorders>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心肌酶谱</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730"/>
                  <w:vMerge/>
                  <w:tcBorders>
                    <w:top w:val="none" w:color="000000" w:sz="4"/>
                    <w:left w:val="none" w:color="000000" w:sz="4"/>
                    <w:bottom w:val="single" w:color="000000" w:sz="4"/>
                    <w:right w:val="single" w:color="000000" w:sz="4"/>
                  </w:tcBorders>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甲胎蛋白定量</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730"/>
                  <w:vMerge/>
                  <w:tcBorders>
                    <w:top w:val="none" w:color="000000" w:sz="4"/>
                    <w:left w:val="none" w:color="000000" w:sz="4"/>
                    <w:bottom w:val="single" w:color="000000" w:sz="4"/>
                    <w:right w:val="single" w:color="000000" w:sz="4"/>
                  </w:tcBorders>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癌胚抗原定量</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730"/>
                  <w:vMerge/>
                  <w:tcBorders>
                    <w:top w:val="none" w:color="000000" w:sz="4"/>
                    <w:left w:val="none" w:color="000000" w:sz="4"/>
                    <w:bottom w:val="single" w:color="000000" w:sz="4"/>
                    <w:right w:val="single" w:color="000000" w:sz="4"/>
                  </w:tcBorders>
                </w:tcP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糖化血红蛋白</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功能检查</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骨密度检查</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营养早餐</w:t>
                  </w:r>
                </w:p>
              </w:tc>
            </w:tr>
          </w:tbl>
          <w:p>
            <w:pPr>
              <w:pStyle w:val="null3"/>
            </w:pPr>
            <w:r>
              <w:rPr>
                <w:rFonts w:ascii="仿宋_GB2312" w:hAnsi="仿宋_GB2312" w:cs="仿宋_GB2312" w:eastAsia="仿宋_GB2312"/>
              </w:rPr>
              <w:t>体检方案三：</w:t>
            </w:r>
          </w:p>
          <w:tbl>
            <w:tblPr>
              <w:tblInd w:type="dxa" w:w="90"/>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shd w:fill="D3D3D3"/>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851"/>
                  <w:tcBorders>
                    <w:top w:val="single" w:color="000000" w:sz="4"/>
                    <w:left w:val="none" w:color="000000" w:sz="4"/>
                    <w:bottom w:val="single" w:color="000000" w:sz="4"/>
                    <w:right w:val="single" w:color="000000" w:sz="4"/>
                  </w:tcBorders>
                  <w:shd w:fill="D3D3D3"/>
                  <w:tcMar>
                    <w:top w:type="dxa" w:w="0"/>
                    <w:left w:type="dxa" w:w="105"/>
                    <w:bottom w:type="dxa" w:w="0"/>
                    <w:right w:type="dxa" w:w="105"/>
                  </w:tcMar>
                  <w:vAlign w:val="top"/>
                </w:tcPr>
                <w:p>
                  <w:pPr>
                    <w:pStyle w:val="null3"/>
                  </w:pPr>
                  <w:r>
                    <w:rPr>
                      <w:rFonts w:ascii="仿宋_GB2312" w:hAnsi="仿宋_GB2312" w:cs="仿宋_GB2312" w:eastAsia="仿宋_GB2312"/>
                      <w:sz w:val="19"/>
                    </w:rPr>
                    <w:t>类别</w:t>
                  </w:r>
                </w:p>
              </w:tc>
              <w:tc>
                <w:tcPr>
                  <w:tcW w:type="dxa" w:w="851"/>
                  <w:tcBorders>
                    <w:top w:val="single" w:color="000000" w:sz="4"/>
                    <w:left w:val="none" w:color="000000" w:sz="4"/>
                    <w:bottom w:val="single" w:color="000000" w:sz="4"/>
                    <w:right w:val="single" w:color="000000" w:sz="4"/>
                  </w:tcBorders>
                  <w:shd w:fill="D3D3D3"/>
                  <w:tcMar>
                    <w:top w:type="dxa" w:w="0"/>
                    <w:left w:type="dxa" w:w="105"/>
                    <w:bottom w:type="dxa" w:w="0"/>
                    <w:right w:type="dxa" w:w="105"/>
                  </w:tcMar>
                  <w:vAlign w:val="top"/>
                </w:tcPr>
                <w:p>
                  <w:pPr>
                    <w:pStyle w:val="null3"/>
                  </w:pPr>
                  <w:r>
                    <w:rPr>
                      <w:rFonts w:ascii="仿宋_GB2312" w:hAnsi="仿宋_GB2312" w:cs="仿宋_GB2312" w:eastAsia="仿宋_GB2312"/>
                      <w:sz w:val="19"/>
                    </w:rPr>
                    <w:t>组合名称</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8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基础检查</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身高、体重、体重指数</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血压、脉搏</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内科检查</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外科检查</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8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功能检查</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常规心电图检查</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骨密度</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851"/>
                  <w:vMerge/>
                  <w:tcBorders>
                    <w:top w:val="none" w:color="000000" w:sz="4"/>
                    <w:left w:val="none" w:color="000000" w:sz="4"/>
                    <w:bottom w:val="single" w:color="000000" w:sz="4"/>
                    <w:right w:val="single" w:color="000000" w:sz="4"/>
                  </w:tcBorders>
                </w:tcP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肺功能检测</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影像检查</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胸部正侧位</w:t>
                  </w:r>
                  <w:r>
                    <w:rPr>
                      <w:rFonts w:ascii="仿宋_GB2312" w:hAnsi="仿宋_GB2312" w:cs="仿宋_GB2312" w:eastAsia="仿宋_GB2312"/>
                      <w:sz w:val="19"/>
                    </w:rPr>
                    <w:t>DR（不含片）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其他</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营养早餐</w:t>
                  </w:r>
                </w:p>
              </w:tc>
            </w:tr>
          </w:tbl>
          <w:p>
            <w:pPr>
              <w:pStyle w:val="null3"/>
            </w:pPr>
            <w:r>
              <w:rPr>
                <w:rFonts w:ascii="仿宋_GB2312" w:hAnsi="仿宋_GB2312" w:cs="仿宋_GB2312" w:eastAsia="仿宋_GB2312"/>
                <w:sz w:val="21"/>
              </w:rPr>
              <w:t>注：受检人员最多选择一种方案进行体检。</w:t>
            </w:r>
            <w:r>
              <w:br/>
            </w:r>
            <w:r>
              <w:rPr>
                <w:rFonts w:ascii="仿宋_GB2312" w:hAnsi="仿宋_GB2312" w:cs="仿宋_GB2312" w:eastAsia="仿宋_GB2312"/>
              </w:rPr>
              <w:t xml:space="preserve">  </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 体检环境及场地布置要求</w:t>
            </w:r>
          </w:p>
          <w:p>
            <w:pPr>
              <w:pStyle w:val="null3"/>
            </w:pPr>
            <w:r>
              <w:rPr>
                <w:rFonts w:ascii="仿宋_GB2312" w:hAnsi="仿宋_GB2312" w:cs="仿宋_GB2312" w:eastAsia="仿宋_GB2312"/>
              </w:rPr>
              <w:t>供应商需根据采购人现场体检场地条件，自主完成现场体检功能分区布置、设施摆放、场地整理、线路布设等工作，保障整体体检环境整洁、分区清晰、隐私防护到位、符合医疗体检院感规范。</w:t>
            </w:r>
          </w:p>
          <w:p>
            <w:pPr>
              <w:pStyle w:val="null3"/>
            </w:pPr>
            <w:r>
              <w:rPr>
                <w:rFonts w:ascii="仿宋_GB2312" w:hAnsi="仿宋_GB2312" w:cs="仿宋_GB2312" w:eastAsia="仿宋_GB2312"/>
              </w:rPr>
              <w:t>（</w:t>
            </w:r>
            <w:r>
              <w:rPr>
                <w:rFonts w:ascii="仿宋_GB2312" w:hAnsi="仿宋_GB2312" w:cs="仿宋_GB2312" w:eastAsia="仿宋_GB2312"/>
              </w:rPr>
              <w:t>1）签到处：配置桌椅设施，场地宽敞通透，满足人员有序排队、登记核验需求，区域动线合理，不拥堵。</w:t>
            </w:r>
          </w:p>
          <w:p>
            <w:pPr>
              <w:pStyle w:val="null3"/>
            </w:pPr>
            <w:r>
              <w:rPr>
                <w:rFonts w:ascii="仿宋_GB2312" w:hAnsi="仿宋_GB2312" w:cs="仿宋_GB2312" w:eastAsia="仿宋_GB2312"/>
              </w:rPr>
              <w:t>（</w:t>
            </w:r>
            <w:r>
              <w:rPr>
                <w:rFonts w:ascii="仿宋_GB2312" w:hAnsi="仿宋_GB2312" w:cs="仿宋_GB2312" w:eastAsia="仿宋_GB2312"/>
              </w:rPr>
              <w:t>2）采血处：室内/现场区域光线充足、干净整洁、无扬尘污染，配置足额桌椅设施，满足批量采血操作、消毒防护工作要求。</w:t>
            </w:r>
          </w:p>
          <w:p>
            <w:pPr>
              <w:pStyle w:val="null3"/>
            </w:pPr>
            <w:r>
              <w:rPr>
                <w:rFonts w:ascii="仿宋_GB2312" w:hAnsi="仿宋_GB2312" w:cs="仿宋_GB2312" w:eastAsia="仿宋_GB2312"/>
              </w:rPr>
              <w:t>（</w:t>
            </w:r>
            <w:r>
              <w:rPr>
                <w:rFonts w:ascii="仿宋_GB2312" w:hAnsi="仿宋_GB2312" w:cs="仿宋_GB2312" w:eastAsia="仿宋_GB2312"/>
              </w:rPr>
              <w:t>3）内外科检查区：检查区域光线充足、干净整洁，设置独立遮挡防护设施，严格落实男女分区检查，充分保护参检人员隐私，配置足额检查桌椅。</w:t>
            </w:r>
          </w:p>
          <w:p>
            <w:pPr>
              <w:pStyle w:val="null3"/>
            </w:pPr>
            <w:r>
              <w:rPr>
                <w:rFonts w:ascii="仿宋_GB2312" w:hAnsi="仿宋_GB2312" w:cs="仿宋_GB2312" w:eastAsia="仿宋_GB2312"/>
              </w:rPr>
              <w:t>（</w:t>
            </w:r>
            <w:r>
              <w:rPr>
                <w:rFonts w:ascii="仿宋_GB2312" w:hAnsi="仿宋_GB2312" w:cs="仿宋_GB2312" w:eastAsia="仿宋_GB2312"/>
              </w:rPr>
              <w:t>4）心电图检查区：区域光线充足、环境整洁，具备独立隐私遮挡条件，配备稳定供电电源，配置符合操作高度的检查操作台/检查床及配套座椅，满足心电图规范检查及隐私保护要求。</w:t>
            </w:r>
          </w:p>
          <w:p>
            <w:pPr>
              <w:pStyle w:val="null3"/>
            </w:pPr>
            <w:r>
              <w:rPr>
                <w:rFonts w:ascii="仿宋_GB2312" w:hAnsi="仿宋_GB2312" w:cs="仿宋_GB2312" w:eastAsia="仿宋_GB2312"/>
              </w:rPr>
              <w:t>（</w:t>
            </w:r>
            <w:r>
              <w:rPr>
                <w:rFonts w:ascii="仿宋_GB2312" w:hAnsi="仿宋_GB2312" w:cs="仿宋_GB2312" w:eastAsia="仿宋_GB2312"/>
              </w:rPr>
              <w:t>5）功能检验检查区（肝、肾、血脂、肺功能等项目）：场地整洁、光线充足，具备稳定供电条件，配置足额桌椅设施，满足检验项目操作、样本临时存放、规范作业要求。</w:t>
            </w:r>
          </w:p>
          <w:p>
            <w:pPr>
              <w:pStyle w:val="null3"/>
            </w:pPr>
            <w:r>
              <w:rPr>
                <w:rFonts w:ascii="仿宋_GB2312" w:hAnsi="仿宋_GB2312" w:cs="仿宋_GB2312" w:eastAsia="仿宋_GB2312"/>
              </w:rPr>
              <w:t>（</w:t>
            </w:r>
            <w:r>
              <w:rPr>
                <w:rFonts w:ascii="仿宋_GB2312" w:hAnsi="仿宋_GB2312" w:cs="仿宋_GB2312" w:eastAsia="仿宋_GB2312"/>
              </w:rPr>
              <w:t>6）影像检查场地要求：供应商需根据现场条件，选取平整、整洁、通风阴凉、利于设备散热的场地开展影像检查工作；现场需具备220V、16A专用供电接口，可满足影像检查设备稳定运行、安全作业及散热需求。</w:t>
            </w:r>
          </w:p>
          <w:p>
            <w:pPr>
              <w:pStyle w:val="null3"/>
            </w:pPr>
            <w:r>
              <w:rPr>
                <w:rFonts w:ascii="仿宋_GB2312" w:hAnsi="仿宋_GB2312" w:cs="仿宋_GB2312" w:eastAsia="仿宋_GB2312"/>
              </w:rPr>
              <w:t>2. 体检服务效率及作业能力要求</w:t>
            </w:r>
          </w:p>
          <w:p>
            <w:pPr>
              <w:pStyle w:val="null3"/>
            </w:pPr>
            <w:r>
              <w:rPr>
                <w:rFonts w:ascii="仿宋_GB2312" w:hAnsi="仿宋_GB2312" w:cs="仿宋_GB2312" w:eastAsia="仿宋_GB2312"/>
              </w:rPr>
              <w:t>（</w:t>
            </w:r>
            <w:r>
              <w:rPr>
                <w:rFonts w:ascii="仿宋_GB2312" w:hAnsi="仿宋_GB2312" w:cs="仿宋_GB2312" w:eastAsia="仿宋_GB2312"/>
              </w:rPr>
              <w:t>1）供应商需具备上门现场集中体检服务能力，可根据采购人指定地点、指定时间完成全员集中体检工作，能够适配采购人</w:t>
            </w:r>
            <w:r>
              <w:rPr>
                <w:rFonts w:ascii="仿宋_GB2312" w:hAnsi="仿宋_GB2312" w:cs="仿宋_GB2312" w:eastAsia="仿宋_GB2312"/>
              </w:rPr>
              <w:t>要求，</w:t>
            </w:r>
            <w:r>
              <w:rPr>
                <w:rFonts w:ascii="仿宋_GB2312" w:hAnsi="仿宋_GB2312" w:cs="仿宋_GB2312" w:eastAsia="仿宋_GB2312"/>
              </w:rPr>
              <w:t>上门现场集中体检服务能力作业场景，全程负责场地布置、设备转运、现场作业、秩序维护等全部工作。</w:t>
            </w:r>
          </w:p>
          <w:p>
            <w:pPr>
              <w:pStyle w:val="null3"/>
            </w:pPr>
            <w:r>
              <w:rPr>
                <w:rFonts w:ascii="仿宋_GB2312" w:hAnsi="仿宋_GB2312" w:cs="仿宋_GB2312" w:eastAsia="仿宋_GB2312"/>
              </w:rPr>
              <w:t>（</w:t>
            </w:r>
            <w:r>
              <w:rPr>
                <w:rFonts w:ascii="仿宋_GB2312" w:hAnsi="仿宋_GB2312" w:cs="仿宋_GB2312" w:eastAsia="仿宋_GB2312"/>
              </w:rPr>
              <w:t>2）为保障体检进度及服务质量，供应商服务团队配置、设备配置、作业流程需满足单日</w:t>
            </w:r>
            <w:r>
              <w:rPr>
                <w:rFonts w:ascii="仿宋_GB2312" w:hAnsi="仿宋_GB2312" w:cs="仿宋_GB2312" w:eastAsia="仿宋_GB2312"/>
              </w:rPr>
              <w:t>最大</w:t>
            </w:r>
            <w:r>
              <w:rPr>
                <w:rFonts w:ascii="仿宋_GB2312" w:hAnsi="仿宋_GB2312" w:cs="仿宋_GB2312" w:eastAsia="仿宋_GB2312"/>
              </w:rPr>
              <w:t>150人</w:t>
            </w:r>
            <w:r>
              <w:rPr>
                <w:rFonts w:ascii="仿宋_GB2312" w:hAnsi="仿宋_GB2312" w:cs="仿宋_GB2312" w:eastAsia="仿宋_GB2312"/>
              </w:rPr>
              <w:t>批量体检作业能力，确保体检流程顺畅、不积压、不漏检，按时保质完成全部体检任务。</w:t>
            </w:r>
          </w:p>
          <w:p>
            <w:pPr>
              <w:pStyle w:val="null3"/>
            </w:pPr>
            <w:r>
              <w:rPr>
                <w:rFonts w:ascii="仿宋_GB2312" w:hAnsi="仿宋_GB2312" w:cs="仿宋_GB2312" w:eastAsia="仿宋_GB2312"/>
              </w:rPr>
              <w:t>（</w:t>
            </w:r>
            <w:r>
              <w:rPr>
                <w:rFonts w:ascii="仿宋_GB2312" w:hAnsi="仿宋_GB2312" w:cs="仿宋_GB2312" w:eastAsia="仿宋_GB2312"/>
              </w:rPr>
              <w:t>3）供应商需适配采购人各类作业场地环境，具备灵活布场、现场独立开展全套体检项目</w:t>
            </w:r>
            <w:r>
              <w:rPr>
                <w:rFonts w:ascii="仿宋_GB2312" w:hAnsi="仿宋_GB2312" w:cs="仿宋_GB2312" w:eastAsia="仿宋_GB2312"/>
              </w:rPr>
              <w:t>及</w:t>
            </w:r>
            <w:r>
              <w:rPr>
                <w:rFonts w:ascii="仿宋_GB2312" w:hAnsi="仿宋_GB2312" w:cs="仿宋_GB2312" w:eastAsia="仿宋_GB2312"/>
              </w:rPr>
              <w:t>完成全部体检配套保障工作的服务能力。</w:t>
            </w:r>
          </w:p>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1、服务期限</w:t>
            </w:r>
          </w:p>
          <w:p>
            <w:pPr>
              <w:pStyle w:val="null3"/>
            </w:pPr>
            <w:r>
              <w:rPr>
                <w:rFonts w:ascii="仿宋_GB2312" w:hAnsi="仿宋_GB2312" w:cs="仿宋_GB2312" w:eastAsia="仿宋_GB2312"/>
              </w:rPr>
              <w:t>自合同签订之日起至</w:t>
            </w:r>
            <w:r>
              <w:rPr>
                <w:rFonts w:ascii="仿宋_GB2312" w:hAnsi="仿宋_GB2312" w:cs="仿宋_GB2312" w:eastAsia="仿宋_GB2312"/>
              </w:rPr>
              <w:t>2026年10月31日</w:t>
            </w:r>
            <w:r>
              <w:rPr>
                <w:rFonts w:ascii="仿宋_GB2312" w:hAnsi="仿宋_GB2312" w:cs="仿宋_GB2312" w:eastAsia="仿宋_GB2312"/>
              </w:rPr>
              <w:t>前。</w:t>
            </w:r>
          </w:p>
          <w:p>
            <w:pPr>
              <w:pStyle w:val="null3"/>
            </w:pPr>
            <w:r>
              <w:rPr>
                <w:rFonts w:ascii="仿宋_GB2312" w:hAnsi="仿宋_GB2312" w:cs="仿宋_GB2312" w:eastAsia="仿宋_GB2312"/>
              </w:rPr>
              <w:t>2、进度要求</w:t>
            </w:r>
          </w:p>
          <w:p>
            <w:pPr>
              <w:pStyle w:val="null3"/>
            </w:pPr>
            <w:r>
              <w:rPr>
                <w:rFonts w:ascii="仿宋_GB2312" w:hAnsi="仿宋_GB2312" w:cs="仿宋_GB2312" w:eastAsia="仿宋_GB2312"/>
              </w:rPr>
              <w:t>（</w:t>
            </w:r>
            <w:r>
              <w:rPr>
                <w:rFonts w:ascii="仿宋_GB2312" w:hAnsi="仿宋_GB2312" w:cs="仿宋_GB2312" w:eastAsia="仿宋_GB2312"/>
              </w:rPr>
              <w:t>1）按照体检安排，单次体检任务完成后，体检机构要在15日内出具体检报告并向体检人员进行反馈。体检机构要做好后续服务，可结合体检结果主动上门进行报告解读和健康知识讲座。</w:t>
            </w:r>
          </w:p>
          <w:p>
            <w:pPr>
              <w:pStyle w:val="null3"/>
            </w:pPr>
            <w:r>
              <w:rPr>
                <w:rFonts w:ascii="仿宋_GB2312" w:hAnsi="仿宋_GB2312" w:cs="仿宋_GB2312" w:eastAsia="仿宋_GB2312"/>
              </w:rPr>
              <w:t>（</w:t>
            </w:r>
            <w:r>
              <w:rPr>
                <w:rFonts w:ascii="仿宋_GB2312" w:hAnsi="仿宋_GB2312" w:cs="仿宋_GB2312" w:eastAsia="仿宋_GB2312"/>
              </w:rPr>
              <w:t>2）体检机构将实际体检人员信息表和统计表于单次体检任务完成后5日内，报市总工会农民工工作委员会，并反馈各区县、产业、开发区工会。</w:t>
            </w:r>
          </w:p>
          <w:p>
            <w:pPr>
              <w:pStyle w:val="null3"/>
            </w:pPr>
            <w:r>
              <w:rPr>
                <w:rFonts w:ascii="仿宋_GB2312" w:hAnsi="仿宋_GB2312" w:cs="仿宋_GB2312" w:eastAsia="仿宋_GB2312"/>
              </w:rPr>
              <w:t>（</w:t>
            </w:r>
            <w:r>
              <w:rPr>
                <w:rFonts w:ascii="仿宋_GB2312" w:hAnsi="仿宋_GB2312" w:cs="仿宋_GB2312" w:eastAsia="仿宋_GB2312"/>
              </w:rPr>
              <w:t>3）体检机构于每月25日前将本月体检完成情况报市总工会农民工工作委员会。</w:t>
            </w:r>
          </w:p>
          <w:p>
            <w:pPr>
              <w:pStyle w:val="null3"/>
            </w:pPr>
            <w:r>
              <w:rPr>
                <w:rFonts w:ascii="仿宋_GB2312" w:hAnsi="仿宋_GB2312" w:cs="仿宋_GB2312" w:eastAsia="仿宋_GB2312"/>
                <w:sz w:val="21"/>
              </w:rPr>
              <w:t>（</w:t>
            </w:r>
            <w:r>
              <w:rPr>
                <w:rFonts w:ascii="仿宋_GB2312" w:hAnsi="仿宋_GB2312" w:cs="仿宋_GB2312" w:eastAsia="仿宋_GB2312"/>
                <w:sz w:val="21"/>
              </w:rPr>
              <w:t>4）整体体检活动结束后，各区县、产业、开发区工会和体检机构将活动总结于</w:t>
            </w:r>
            <w:r>
              <w:rPr>
                <w:rFonts w:ascii="仿宋_GB2312" w:hAnsi="仿宋_GB2312" w:cs="仿宋_GB2312" w:eastAsia="仿宋_GB2312"/>
                <w:sz w:val="21"/>
              </w:rPr>
              <w:t>10</w:t>
            </w:r>
            <w:r>
              <w:rPr>
                <w:rFonts w:ascii="仿宋_GB2312" w:hAnsi="仿宋_GB2312" w:cs="仿宋_GB2312" w:eastAsia="仿宋_GB2312"/>
                <w:sz w:val="21"/>
              </w:rPr>
              <w:t>月底前报市总工会农民工工作委员会。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项目需求，体检医疗机构服务点应具备完成所有体检项目的专业人员。所有体检项目由具有相应资质的医护人员负责（须提供相关人员证书）。针对本项目的检查团队至少8名中级及专业技术执业医师或技师，和10名以上护理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1.成交供应商按照项目需求完成体检服务后，由用户方组织验收。 2.验收依据： (1) 合同文本； (2) 国家有关的验收标准及规范； (3) 竞争性磋商文件； (4) 磋商响应文件。3.其他以采购合同约定为准。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进度款，所有人员体检结束后按实检人数进行费用结算，达到付款条件起30个工作日内，支付合同总金额的100.0%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①违约责任：（一）按《中华人民共和国政府采购法》、《中华人民共和国民法典》中的相关条款执行。 （二）未按合同要求提供服务或服务质量不能满足本次项目要求，甲方有权终止合同和对乙方违约行为进行追究，同时按有关规定进行相应的处罚。 ②本合同在履行过程中发生的争议，由甲、乙双方当事人协商解决，协商不成的依法向甲方所在地法院起诉。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贰份，递交文件地点：陕西省西安市雁塔区电子城街道万象国际中心2号楼1单元801室。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业绩.docx 中小企业声明函 商务应答表 服务内容及服务要求应答表 报价表 资格证明文件.docx 响应文件封面 分项报价表.docx 详细评审.docx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财务会计报告</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投标文件截止时间不足一年的可提供成立后任意时段的资产负债表），事业法人提供部门决算报告；或其磋商前六个月内基本存款账户开户银行出具的资信证明；或信用担保机构出具的投标担保函（以上三种形式的资料提供任何一种即可）。 注：财会〔(2023〕15号文《财政部国务院国资委金融监管总局关于加强审计报告查验工作的通知》会计师事务所应当主动向被审计单位提供附验证码的审计报告 ，即2023年及以后的审计报告需附验证码。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提供2025年12月1日至今任意一个月的社会保障资金缴存单据或社保机构开具的社会保险参保缴费情况证明，依法不需要缴纳社会保障资金的提供相关文件证明；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提供2025年12月1日至今任意一个月的纳税证明或完税证明，纳税证明或完税证明上应有代收机构或税务机关的公章，依法免税的应提供相关文件证明；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参加政府采购项目前 3 年内经营项目中没有重大违法记录声明；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法定代表人参与磋商时，提供法定代表人身份证明及本人身份证复印件加盖公章；授权代表参与磋商时，提供企业法人授权委托书和被授权人身份证复印件加盖公章；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具备卫生行政部门核准登记取得的《医疗机构执业许可证》、《放射诊疗许可证》；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单位负责人为同一人或者存在控股、管理关系的不同供应商，不得同时参加本项目采购项目；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3.根据《财政部关于推动解决政府采购异常低价问题的通知》(财库〔2026〕2号)相关规定，政府采购评审中出现下列情形之一的，评审委员会应当启动异常低价投标(响应)审查程序：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响应文件签署、盖章均按竞争性磋商文件要求签字、盖章。</w:t>
            </w:r>
          </w:p>
        </w:tc>
        <w:tc>
          <w:tcPr>
            <w:tcW w:type="dxa" w:w="1661"/>
          </w:tcPr>
          <w:p>
            <w:pPr>
              <w:pStyle w:val="null3"/>
            </w:pPr>
            <w:r>
              <w:rPr>
                <w:rFonts w:ascii="仿宋_GB2312" w:hAnsi="仿宋_GB2312" w:cs="仿宋_GB2312" w:eastAsia="仿宋_GB2312"/>
              </w:rPr>
              <w:t>业绩.docx 中小企业声明函 商务应答表 服务内容及服务要求应答表 报价表 资格证明文件.docx 响应文件封面 分项报价表.docx 详细评审.docx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报价唯一，且没有高于采购预算或竞争性磋商文件规定的最高限价。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方案需包含①体检实施前的注意事项、②服务计划及进度安排、③整体体检流程管控方案、④体检重大阳性指标筛查与紧急处置流程、⑤现场公益义诊专项服务、⑥全员健康知识宣讲与体检报告科普解读服务、⑦参检人员个性化就医指导服务方案 7 个方面的内容。 以上各项方案内容全面详细、阐述条理清晰详尽、符合本项目采购需求，能有效保障本项目实施的得21分，每有一项评审内容缺失扣3分，每有一项评审内容存在缺陷，扣0.01-2.99分，扣完为止。 说明：缺陷是指①方案内容不合理、虽有内容但内容稀疏、不完善、且内容表述前后不一致；②套用其他项目方案或与项目需求不匹配及其他不利于项目实施的等任意一种情形。未提供或内容与本项目无关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结合本项目要求，提供专业的服务团队，人员岗位设置专业、合理、充足，配备满足体检需求相关服务资格、责任心强的医护人员，针对本项目的检查团队至少8名中级及以上专业技术职业医师或技师，和10名以上护理人员，满足以上条件得8分，除此之外，增加一名主任医师加2分，增加一名副主任医师加1分；最高得14分。 以上内容未提供不得分。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拟投入体检设备情况</w:t>
            </w:r>
          </w:p>
        </w:tc>
        <w:tc>
          <w:tcPr>
            <w:tcW w:type="dxa" w:w="2492"/>
          </w:tcPr>
          <w:p>
            <w:pPr>
              <w:pStyle w:val="null3"/>
            </w:pPr>
            <w:r>
              <w:rPr>
                <w:rFonts w:ascii="仿宋_GB2312" w:hAnsi="仿宋_GB2312" w:cs="仿宋_GB2312" w:eastAsia="仿宋_GB2312"/>
              </w:rPr>
              <w:t>保障项目质量，供应商须提供在本项目实施过程中所必须的检测仪器、试剂耗材等设备设施的清单、功能描述等情况的书面介绍，并提供相关证明材料。 需包括拟①供应商拟投入本项目的体检设备具体种类、②供应商拟投入本项目的体检设备详细功能描述，根据以上2个方面的内容进行评审，内容全面详细、阐述条理清晰详尽、符合本项目采购需求，能有效保障本项目实施的得6分，每有一项方案缺失扣3分，每有一项评审内容存在缺陷，扣0.01-2.99分，扣完为止。按以下说明扣分。 说明：缺陷是指①内容不合理、虽有内容但内容稀疏、不完善、且内容表述前后不一致；②套用其他项目内容或与项目需求不匹配及其他不利于项目实施的等任意一种情形。未提供或内容与本项目无关不得分。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体检场地</w:t>
            </w:r>
          </w:p>
        </w:tc>
        <w:tc>
          <w:tcPr>
            <w:tcW w:type="dxa" w:w="2492"/>
          </w:tcPr>
          <w:p>
            <w:pPr>
              <w:pStyle w:val="null3"/>
            </w:pPr>
            <w:r>
              <w:rPr>
                <w:rFonts w:ascii="仿宋_GB2312" w:hAnsi="仿宋_GB2312" w:cs="仿宋_GB2312" w:eastAsia="仿宋_GB2312"/>
              </w:rPr>
              <w:t>1.体检机构符合采购人场所设置的基本要求，根据体检机构的环境舒适、体检机构建筑空间合理、检查安全、男女体检空间的划分合理，得2分； 2.供应商具有符合本项目采购要求的体检设备车，提供车辆图片等证明材料，得2分； 未提供或其他不得分。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体检资料</w:t>
            </w:r>
          </w:p>
        </w:tc>
        <w:tc>
          <w:tcPr>
            <w:tcW w:type="dxa" w:w="2492"/>
          </w:tcPr>
          <w:p>
            <w:pPr>
              <w:pStyle w:val="null3"/>
            </w:pPr>
            <w:r>
              <w:rPr>
                <w:rFonts w:ascii="仿宋_GB2312" w:hAnsi="仿宋_GB2312" w:cs="仿宋_GB2312" w:eastAsia="仿宋_GB2312"/>
              </w:rPr>
              <w:t>全体人员体检完成后须向采购人提供以下资料：①体检结果分析、②健康风险评估报告、③治疗建议、④被检人员的体检结果详细资料及电子档案。 根据上述4点内容进行评审。 以上各项内容全面详细、阐述条理清晰详尽、符合本项目采购需求，能有效保障本项目实施的得8分，每有一项评审内容缺失扣2分，每有一项评审内容存在缺陷，扣0.01-1.99分，扣完为止。 说明：缺陷是指①内容不合理、虽有内容但内容稀疏、不完善、且内容表述前后不一致；②套用其他项目方案或与项目需求不匹配及其他不利于项目实施的等任意一种情形。未提供或内容与本项目无关不得分。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供应商针对本项目提供体检质量安全控制管理体系方案，方案包含但不限于①质量管理机构、②质量检查流程、③质量保障措施等方面，根据上述3点方案内容进行评审。以上各项方案内容全面详细、阐述条理清晰详尽、符合本项目采购需求，能有效保障本项目实施的得6分，每有一项评审内容缺失扣2分，每有一项评审内容存在缺陷，扣0.01-1.99分，扣完为止。 说明：缺陷是指①内容不合理、虽有内容但内容稀疏、不完善、且内容表述前后不一致；②套用其他项目方案或与项目需求不匹配及其他不利于项目实施的等任意一种情形。未提供或内容与本项目无关不得分。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供应商针对本项目提供应急方案，方案需包含①突发疾病预案、②人员集中排队等候时间长、③设备故障应急预案 根据以上3项内容要求全面详细、阐述条理清晰详尽、符合本项目采购需求，能有效保障本项目实施的得6分，每有一项评审内容缺失扣2分，每有一项评审内容存在缺陷，扣0.01-1.99分，扣完为止。 说明：缺陷是指①内容不合理、虽有内容但内容稀疏、不完善、且内容表述前后不一致；②套用其他项目方案或与项目需求不匹配及其他不利于项目实施的等任意一种情形。未提供或内容与本项目无关不得分。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供应商须保证参检人员所有信息数据不得外泄，提供体检过程中个人隐私信息保密方案及体检结果保密措施。 A.个人信息保密方案及结果保密措施完善、科学合理、可行性强，实施过程及成果安全性高，得3分； B.个人信息保密方案及结果保密措施简单，实施过程及成果安全性不足，得1分； C.未提供或其他不得分。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体检后续服务</w:t>
            </w:r>
          </w:p>
        </w:tc>
        <w:tc>
          <w:tcPr>
            <w:tcW w:type="dxa" w:w="2492"/>
          </w:tcPr>
          <w:p>
            <w:pPr>
              <w:pStyle w:val="null3"/>
            </w:pPr>
            <w:r>
              <w:rPr>
                <w:rFonts w:ascii="仿宋_GB2312" w:hAnsi="仿宋_GB2312" w:cs="仿宋_GB2312" w:eastAsia="仿宋_GB2312"/>
              </w:rPr>
              <w:t>针对本项目提供详细的后续服务方案及相关承诺，内容应包括：①体检报告移交及时性；②体检报告的准确性（需保证后期可使用体检报告直接进行就医）；③配套服务（包括但不限于体检结果详细解读、健康讲座等） 根据以上3项内容要求全面详细、阐述条理清晰详尽、符合本项目采购需求，能有效保障本项目实施的得9分，每有一项评审内容缺失扣3分，每有一项评审内容存在缺陷，扣0.01-2.99分，扣完为止。 说明：缺陷是指①内容不合理、虽有内容但内容稀疏、不完善、且内容表述前后不一致；②套用其他项目方案或与项目需求不匹配及其他不利于项目实施的等任意一种情形。未提供或内容与本项目无关不得分。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提供2023年6月1日至磋商截止日类似项目业绩（业绩须提供中标（成交）通知书或合同复印件，时间以合同复印件为准），每提供一份得2分，最高得10分。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