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80F8A">
      <w:pPr>
        <w:spacing w:line="700" w:lineRule="exact"/>
        <w:jc w:val="center"/>
        <w:rPr>
          <w:rFonts w:hint="eastAsia" w:ascii="方正小标宋简体" w:hAnsi="方正小标宋简体" w:eastAsia="方正小标宋简体" w:cs="方正小标宋简体"/>
          <w:sz w:val="48"/>
          <w:szCs w:val="56"/>
        </w:rPr>
      </w:pPr>
    </w:p>
    <w:p w14:paraId="09919331">
      <w:pPr>
        <w:pStyle w:val="26"/>
        <w:rPr>
          <w:rFonts w:hint="eastAsia"/>
        </w:rPr>
      </w:pPr>
    </w:p>
    <w:p w14:paraId="01169439">
      <w:pPr>
        <w:spacing w:line="700" w:lineRule="exact"/>
        <w:jc w:val="center"/>
        <w:rPr>
          <w:rFonts w:hint="eastAsia" w:ascii="方正公文小标宋" w:hAnsi="方正公文小标宋" w:eastAsia="方正小标宋简体" w:cs="方正公文小标宋"/>
          <w:sz w:val="48"/>
          <w:szCs w:val="56"/>
          <w:lang w:eastAsia="zh-CN"/>
        </w:rPr>
      </w:pPr>
      <w:r>
        <w:rPr>
          <w:rFonts w:hint="eastAsia" w:ascii="方正小标宋简体" w:hAnsi="方正小标宋简体" w:eastAsia="方正小标宋简体" w:cs="方正小标宋简体"/>
          <w:sz w:val="48"/>
          <w:szCs w:val="56"/>
        </w:rPr>
        <w:t xml:space="preserve"> </w:t>
      </w:r>
      <w:r>
        <w:rPr>
          <w:rFonts w:hint="eastAsia" w:ascii="方正小标宋简体" w:hAnsi="方正小标宋简体" w:eastAsia="方正小标宋简体" w:cs="方正小标宋简体"/>
          <w:b w:val="0"/>
          <w:bCs/>
          <w:sz w:val="48"/>
          <w:szCs w:val="28"/>
          <w:lang w:eastAsia="zh-CN"/>
        </w:rPr>
        <w:t>陕西能源职业技术学院2026年煤矿安全类虚拟仿真课程建设项目</w:t>
      </w:r>
    </w:p>
    <w:p w14:paraId="0F2243BD">
      <w:pPr>
        <w:spacing w:line="600" w:lineRule="exact"/>
        <w:jc w:val="center"/>
        <w:rPr>
          <w:rFonts w:hint="eastAsia" w:ascii="方正小标宋简体" w:hAnsi="方正小标宋简体" w:eastAsia="方正小标宋简体" w:cs="方正小标宋简体"/>
          <w:sz w:val="48"/>
          <w:szCs w:val="56"/>
        </w:rPr>
      </w:pPr>
    </w:p>
    <w:p w14:paraId="6E11BD3B">
      <w:pPr>
        <w:spacing w:line="600" w:lineRule="exact"/>
        <w:jc w:val="center"/>
        <w:rPr>
          <w:rFonts w:hint="eastAsia" w:ascii="方正小标宋简体" w:hAnsi="方正小标宋简体" w:eastAsia="方正小标宋简体" w:cs="方正小标宋简体"/>
          <w:sz w:val="48"/>
          <w:szCs w:val="56"/>
        </w:rPr>
      </w:pPr>
    </w:p>
    <w:p w14:paraId="41C13B40">
      <w:pPr>
        <w:spacing w:line="600" w:lineRule="exact"/>
        <w:jc w:val="center"/>
        <w:rPr>
          <w:rFonts w:hint="eastAsia" w:ascii="方正小标宋简体" w:hAnsi="方正小标宋简体" w:eastAsia="方正小标宋简体" w:cs="方正小标宋简体"/>
          <w:sz w:val="48"/>
          <w:szCs w:val="56"/>
        </w:rPr>
      </w:pPr>
    </w:p>
    <w:p w14:paraId="0BAC6582">
      <w:pPr>
        <w:spacing w:line="600" w:lineRule="exact"/>
        <w:jc w:val="center"/>
        <w:rPr>
          <w:rFonts w:hint="eastAsia" w:ascii="方正小标宋简体" w:hAnsi="方正小标宋简体" w:eastAsia="方正小标宋简体" w:cs="方正小标宋简体"/>
          <w:sz w:val="48"/>
          <w:szCs w:val="56"/>
        </w:rPr>
      </w:pPr>
    </w:p>
    <w:p w14:paraId="37ACCD00">
      <w:pPr>
        <w:pStyle w:val="26"/>
        <w:rPr>
          <w:rFonts w:hint="eastAsia"/>
        </w:rPr>
      </w:pPr>
    </w:p>
    <w:p w14:paraId="7B7A10A0">
      <w:pPr>
        <w:spacing w:line="600" w:lineRule="exact"/>
        <w:rPr>
          <w:rFonts w:hint="eastAsia" w:ascii="方正小标宋简体" w:hAnsi="方正小标宋简体" w:eastAsia="方正小标宋简体" w:cs="方正小标宋简体"/>
          <w:sz w:val="48"/>
          <w:szCs w:val="56"/>
        </w:rPr>
      </w:pPr>
    </w:p>
    <w:p w14:paraId="70A9D679">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竞争性磋商文件</w:t>
      </w:r>
    </w:p>
    <w:p w14:paraId="683A4285">
      <w:pPr>
        <w:spacing w:line="600" w:lineRule="exact"/>
        <w:jc w:val="center"/>
        <w:rPr>
          <w:rFonts w:hint="eastAsia"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【KRDL】K1-2609188</w:t>
      </w:r>
    </w:p>
    <w:p w14:paraId="60D3C467">
      <w:pPr>
        <w:spacing w:line="600" w:lineRule="exact"/>
        <w:jc w:val="center"/>
        <w:rPr>
          <w:rFonts w:hint="eastAsia" w:ascii="方正小标宋简体" w:hAnsi="方正小标宋简体" w:eastAsia="方正小标宋简体" w:cs="方正小标宋简体"/>
          <w:sz w:val="48"/>
          <w:szCs w:val="56"/>
        </w:rPr>
      </w:pPr>
    </w:p>
    <w:p w14:paraId="66715EF8">
      <w:pPr>
        <w:spacing w:line="600" w:lineRule="exact"/>
        <w:jc w:val="center"/>
        <w:rPr>
          <w:rFonts w:hint="eastAsia" w:ascii="方正小标宋简体" w:hAnsi="方正小标宋简体" w:eastAsia="方正小标宋简体" w:cs="方正小标宋简体"/>
          <w:sz w:val="48"/>
          <w:szCs w:val="56"/>
        </w:rPr>
      </w:pPr>
    </w:p>
    <w:p w14:paraId="7FE40178">
      <w:pPr>
        <w:spacing w:line="600" w:lineRule="exact"/>
        <w:jc w:val="center"/>
        <w:rPr>
          <w:rFonts w:hint="eastAsia" w:ascii="方正小标宋简体" w:hAnsi="方正小标宋简体" w:eastAsia="方正小标宋简体" w:cs="方正小标宋简体"/>
          <w:sz w:val="48"/>
          <w:szCs w:val="56"/>
        </w:rPr>
      </w:pPr>
    </w:p>
    <w:p w14:paraId="0EE1DF39">
      <w:pPr>
        <w:spacing w:line="600" w:lineRule="exact"/>
        <w:jc w:val="center"/>
        <w:rPr>
          <w:rFonts w:hint="eastAsia" w:ascii="方正小标宋简体" w:hAnsi="方正小标宋简体" w:eastAsia="方正小标宋简体" w:cs="方正小标宋简体"/>
          <w:sz w:val="48"/>
          <w:szCs w:val="56"/>
        </w:rPr>
      </w:pPr>
    </w:p>
    <w:p w14:paraId="602FA318">
      <w:pPr>
        <w:spacing w:line="600" w:lineRule="exact"/>
        <w:rPr>
          <w:rFonts w:hint="eastAsia" w:ascii="方正小标宋简体" w:hAnsi="方正小标宋简体" w:eastAsia="方正小标宋简体" w:cs="方正小标宋简体"/>
          <w:sz w:val="48"/>
          <w:szCs w:val="56"/>
        </w:rPr>
      </w:pPr>
    </w:p>
    <w:p w14:paraId="79F39CB6">
      <w:pPr>
        <w:spacing w:line="600" w:lineRule="exact"/>
        <w:rPr>
          <w:rFonts w:hint="eastAsia" w:ascii="方正小标宋简体" w:hAnsi="方正小标宋简体" w:eastAsia="方正小标宋简体" w:cs="方正小标宋简体"/>
          <w:sz w:val="48"/>
          <w:szCs w:val="56"/>
        </w:rPr>
      </w:pPr>
    </w:p>
    <w:p w14:paraId="0DD5AE5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陕西</w:t>
      </w:r>
      <w:r>
        <w:rPr>
          <w:rFonts w:hint="eastAsia" w:ascii="方正小标宋简体" w:hAnsi="方正小标宋简体" w:eastAsia="方正小标宋简体" w:cs="方正小标宋简体"/>
          <w:sz w:val="32"/>
          <w:lang w:val="en-US" w:eastAsia="zh-CN"/>
        </w:rPr>
        <w:t>能源职业技术学院</w:t>
      </w:r>
    </w:p>
    <w:p w14:paraId="14A3FF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3"/>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064C144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lang w:val="en-US" w:eastAsia="zh-CN"/>
        </w:rPr>
      </w:pPr>
      <w:r>
        <w:rPr>
          <w:rFonts w:hint="eastAsia" w:ascii="方正小标宋简体" w:hAnsi="方正小标宋简体" w:eastAsia="方正小标宋简体" w:cs="方正小标宋简体"/>
          <w:sz w:val="32"/>
          <w:szCs w:val="40"/>
          <w:lang w:val="en-US" w:eastAsia="zh-CN"/>
        </w:rPr>
        <w:t>2026年9月</w:t>
      </w:r>
    </w:p>
    <w:p w14:paraId="2AC7D6E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p>
    <w:p w14:paraId="05C490C1">
      <w:pPr>
        <w:spacing w:line="720" w:lineRule="auto"/>
        <w:jc w:val="center"/>
        <w:rPr>
          <w:rFonts w:hint="eastAsia"/>
          <w:b/>
          <w:bCs/>
          <w:sz w:val="40"/>
          <w:szCs w:val="40"/>
        </w:rPr>
      </w:pPr>
      <w:r>
        <w:rPr>
          <w:rFonts w:hint="eastAsia"/>
          <w:b/>
          <w:bCs/>
          <w:sz w:val="40"/>
          <w:szCs w:val="40"/>
        </w:rPr>
        <w:t>重要提示</w:t>
      </w:r>
    </w:p>
    <w:p w14:paraId="5FEBF37C">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0160239">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227D1BE6">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44E6622D">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5CE1BC66">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0E7F9657">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w:t>
      </w:r>
      <w:r>
        <w:rPr>
          <w:rFonts w:hint="eastAsia" w:ascii="宋体" w:hAnsi="宋体"/>
          <w:bCs/>
          <w:sz w:val="24"/>
          <w:szCs w:val="24"/>
          <w:lang w:eastAsia="zh-CN"/>
        </w:rPr>
        <w:t>响应报价</w:t>
      </w:r>
      <w:r>
        <w:rPr>
          <w:rFonts w:hint="eastAsia" w:ascii="宋体" w:hAnsi="宋体"/>
          <w:bCs/>
          <w:sz w:val="24"/>
          <w:szCs w:val="24"/>
        </w:rPr>
        <w:t>呈规律性差异；</w:t>
      </w:r>
    </w:p>
    <w:p w14:paraId="48AA31BC">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0AE05B10">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2BB29B5E">
      <w:pPr>
        <w:spacing w:line="360" w:lineRule="auto"/>
        <w:ind w:firstLine="480"/>
        <w:jc w:val="left"/>
        <w:rPr>
          <w:rFonts w:hint="eastAsia"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0FE917FE">
      <w:pPr>
        <w:rPr>
          <w:rFonts w:hint="eastAsia" w:ascii="宋体" w:hAnsi="宋体" w:cs="宋体"/>
          <w:color w:val="000000"/>
          <w:sz w:val="44"/>
          <w:szCs w:val="44"/>
          <w:lang w:val="zh-CN"/>
        </w:rPr>
      </w:pPr>
      <w:r>
        <w:rPr>
          <w:rFonts w:hint="eastAsia" w:ascii="宋体" w:hAnsi="宋体" w:cs="宋体"/>
          <w:color w:val="000000"/>
          <w:sz w:val="44"/>
          <w:szCs w:val="44"/>
          <w:lang w:val="zh-CN"/>
        </w:rPr>
        <w:br w:type="page"/>
      </w:r>
    </w:p>
    <w:p w14:paraId="16A1F484">
      <w:pPr>
        <w:jc w:val="center"/>
        <w:rPr>
          <w:rFonts w:hint="eastAsia" w:ascii="宋体" w:hAnsi="宋体" w:cs="宋体"/>
          <w:b/>
          <w:bCs/>
          <w:color w:val="000000"/>
          <w:sz w:val="44"/>
          <w:szCs w:val="44"/>
          <w:lang w:val="zh-CN"/>
        </w:rPr>
      </w:pPr>
      <w:r>
        <w:rPr>
          <w:rFonts w:hint="eastAsia" w:ascii="宋体" w:hAnsi="宋体" w:cs="宋体"/>
          <w:b/>
          <w:bCs/>
          <w:color w:val="000000"/>
          <w:sz w:val="44"/>
          <w:szCs w:val="44"/>
          <w:lang w:val="zh-CN"/>
        </w:rPr>
        <w:t>目   录</w:t>
      </w:r>
    </w:p>
    <w:p w14:paraId="34CFCCD6">
      <w:pPr>
        <w:rPr>
          <w:rFonts w:hint="eastAsia"/>
          <w:color w:val="000000"/>
          <w:sz w:val="32"/>
          <w:szCs w:val="32"/>
          <w:lang w:val="zh-CN"/>
        </w:rPr>
      </w:pPr>
    </w:p>
    <w:p w14:paraId="32ED277A">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_Toc26792 </w:instrText>
      </w:r>
      <w:r>
        <w:rPr>
          <w:rFonts w:hint="eastAsia" w:ascii="宋体" w:hAnsi="宋体" w:cs="宋体"/>
          <w:sz w:val="28"/>
          <w:szCs w:val="28"/>
        </w:rP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_Toc26792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575F354">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_Toc26619 </w:instrText>
      </w:r>
      <w:r>
        <w:rPr>
          <w:rFonts w:hint="eastAsia" w:ascii="宋体" w:hAnsi="宋体" w:cs="宋体"/>
          <w:sz w:val="28"/>
          <w:szCs w:val="28"/>
        </w:rPr>
        <w:fldChar w:fldCharType="separate"/>
      </w:r>
      <w:r>
        <w:rPr>
          <w:rFonts w:hint="eastAsia" w:ascii="宋体" w:hAnsi="宋体" w:cs="宋体"/>
          <w:kern w:val="0"/>
          <w:sz w:val="28"/>
          <w:szCs w:val="28"/>
        </w:rPr>
        <w:t>第二章  供应商须知前附表及供应商须知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_Toc26619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6C75FB7">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_Toc9308 </w:instrText>
      </w:r>
      <w:r>
        <w:rPr>
          <w:rFonts w:hint="eastAsia" w:ascii="宋体" w:hAnsi="宋体" w:cs="宋体"/>
          <w:sz w:val="28"/>
          <w:szCs w:val="28"/>
        </w:rPr>
        <w:fldChar w:fldCharType="separate"/>
      </w:r>
      <w:r>
        <w:rPr>
          <w:rFonts w:hint="eastAsia" w:ascii="宋体" w:hAnsi="宋体" w:cs="宋体"/>
          <w:kern w:val="0"/>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_Toc9308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829E63F">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_Toc7639 </w:instrText>
      </w:r>
      <w:r>
        <w:rPr>
          <w:rFonts w:hint="eastAsia" w:ascii="宋体" w:hAnsi="宋体" w:cs="宋体"/>
          <w:sz w:val="28"/>
          <w:szCs w:val="28"/>
        </w:rPr>
        <w:fldChar w:fldCharType="separate"/>
      </w:r>
      <w:r>
        <w:rPr>
          <w:rFonts w:hint="eastAsia" w:ascii="宋体" w:hAnsi="宋体" w:cs="宋体"/>
          <w:sz w:val="28"/>
          <w:szCs w:val="28"/>
        </w:rPr>
        <w:t>第四章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_Toc7639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642DB0E">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_Toc19583 </w:instrText>
      </w:r>
      <w:r>
        <w:rPr>
          <w:rFonts w:hint="eastAsia" w:ascii="宋体" w:hAnsi="宋体" w:cs="宋体"/>
          <w:sz w:val="28"/>
          <w:szCs w:val="28"/>
        </w:rPr>
        <w:fldChar w:fldCharType="separate"/>
      </w:r>
      <w:r>
        <w:rPr>
          <w:rFonts w:hint="eastAsia" w:ascii="宋体" w:hAnsi="宋体" w:cs="宋体"/>
          <w:sz w:val="28"/>
          <w:szCs w:val="28"/>
        </w:rPr>
        <w:t xml:space="preserve">第五章 </w:t>
      </w:r>
      <w:r>
        <w:rPr>
          <w:rFonts w:hint="eastAsia" w:ascii="宋体" w:hAnsi="宋体" w:cs="宋体"/>
          <w:kern w:val="0"/>
          <w:sz w:val="28"/>
          <w:szCs w:val="28"/>
        </w:rPr>
        <w:t xml:space="preserve">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_Toc19583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461F534">
      <w:pPr>
        <w:pStyle w:val="28"/>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_Toc14956 </w:instrText>
      </w:r>
      <w:r>
        <w:rPr>
          <w:rFonts w:hint="eastAsia" w:ascii="宋体" w:hAnsi="宋体" w:cs="宋体"/>
          <w:sz w:val="28"/>
          <w:szCs w:val="28"/>
        </w:rPr>
        <w:fldChar w:fldCharType="separate"/>
      </w:r>
      <w:r>
        <w:rPr>
          <w:rFonts w:hint="eastAsia" w:ascii="宋体" w:hAnsi="宋体" w:cs="宋体"/>
          <w:kern w:val="0"/>
          <w:sz w:val="28"/>
          <w:szCs w:val="28"/>
        </w:rPr>
        <w:t>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_Toc14956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855125B">
      <w:pPr>
        <w:spacing w:line="60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cs="宋体"/>
          <w:bCs/>
          <w:color w:val="000000"/>
          <w:sz w:val="28"/>
          <w:szCs w:val="28"/>
        </w:rPr>
        <w:fldChar w:fldCharType="end"/>
      </w:r>
    </w:p>
    <w:p w14:paraId="11ECEDE2">
      <w:pPr>
        <w:pStyle w:val="2"/>
        <w:jc w:val="center"/>
        <w:rPr>
          <w:rFonts w:hint="eastAsia" w:ascii="黑体" w:hAnsi="黑体" w:cs="黑体"/>
          <w:b/>
          <w:bCs/>
          <w:color w:val="000000"/>
          <w:szCs w:val="32"/>
          <w:highlight w:val="none"/>
          <w:u w:val="single"/>
        </w:rPr>
      </w:pPr>
      <w:bookmarkStart w:id="0" w:name="_Toc26125"/>
      <w:bookmarkStart w:id="1" w:name="_Toc511316279"/>
      <w:bookmarkStart w:id="2" w:name="_Toc504605085"/>
      <w:r>
        <w:rPr>
          <w:rFonts w:hint="eastAsia" w:ascii="黑体" w:hAnsi="黑体" w:cs="黑体"/>
          <w:b/>
          <w:bCs/>
          <w:color w:val="000000"/>
          <w:szCs w:val="32"/>
          <w:highlight w:val="none"/>
        </w:rPr>
        <w:t>第一章  竞争性磋商公告</w:t>
      </w:r>
      <w:bookmarkEnd w:id="0"/>
    </w:p>
    <w:p w14:paraId="683033DC">
      <w:pPr>
        <w:keepNext w:val="0"/>
        <w:keepLines w:val="0"/>
        <w:pageBreakBefore w:val="0"/>
        <w:kinsoku/>
        <w:overflowPunct/>
        <w:topLinePunct w:val="0"/>
        <w:autoSpaceDE/>
        <w:autoSpaceDN/>
        <w:bidi w:val="0"/>
        <w:spacing w:line="360" w:lineRule="auto"/>
        <w:textAlignment w:val="auto"/>
        <w:rPr>
          <w:rStyle w:val="43"/>
          <w:highlight w:val="none"/>
        </w:rPr>
      </w:pPr>
      <w:r>
        <w:rPr>
          <w:rStyle w:val="42"/>
          <w:rFonts w:cs="宋体"/>
          <w:sz w:val="24"/>
          <w:szCs w:val="24"/>
          <w:highlight w:val="none"/>
          <w:shd w:val="clear" w:color="auto" w:fill="FFFFFF"/>
        </w:rPr>
        <w:t>项目概况</w:t>
      </w:r>
    </w:p>
    <w:p w14:paraId="437B11F7">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highlight w:val="none"/>
          <w:shd w:val="clear" w:color="auto" w:fill="FFFFFF"/>
        </w:rPr>
      </w:pPr>
      <w:r>
        <w:rPr>
          <w:rFonts w:hint="eastAsia"/>
          <w:highlight w:val="none"/>
          <w:shd w:val="clear" w:color="auto" w:fill="FFFFFF"/>
          <w:lang w:eastAsia="zh-CN"/>
        </w:rPr>
        <w:t>陕西能源职业技术学院2026年煤矿安全类虚拟仿真课程建设项目</w:t>
      </w:r>
      <w:r>
        <w:t>的潜在供应商应在陕西省西安市莲湖区高新二路1号招商银行大厦19层获取竞争性磋商文件，并于</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highlight w:val="none"/>
          <w:shd w:val="clear" w:color="auto" w:fill="FFFFFF"/>
        </w:rPr>
        <w:t>前递交响应文件。</w:t>
      </w:r>
    </w:p>
    <w:p w14:paraId="5369946F">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cs="宋体"/>
          <w:b w:val="0"/>
          <w:highlight w:val="none"/>
        </w:rPr>
      </w:pPr>
      <w:r>
        <w:rPr>
          <w:rStyle w:val="42"/>
          <w:rFonts w:cs="宋体"/>
          <w:b/>
          <w:bCs/>
          <w:highlight w:val="none"/>
          <w:shd w:val="clear" w:color="auto" w:fill="FFFFFF"/>
        </w:rPr>
        <w:t>一、项目基本情况</w:t>
      </w:r>
    </w:p>
    <w:p w14:paraId="4F8564D3">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cs="宋体"/>
          <w:bCs/>
          <w:caps w:val="0"/>
          <w:shadow w:val="0"/>
          <w:color w:val="auto"/>
          <w:sz w:val="24"/>
          <w:szCs w:val="24"/>
          <w:highlight w:val="none"/>
          <w:lang w:val="en-US" w:eastAsia="zh-CN"/>
        </w:rPr>
        <w:t>【KRDL】K1-2609188</w:t>
      </w:r>
    </w:p>
    <w:p w14:paraId="5AB64F0A">
      <w:pPr>
        <w:pStyle w:val="35"/>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shadow w:val="0"/>
          <w:color w:val="auto"/>
          <w:sz w:val="24"/>
          <w:szCs w:val="24"/>
          <w:highlight w:val="none"/>
          <w:lang w:val="en-US" w:eastAsia="zh-CN"/>
        </w:rPr>
        <w:t>陕西能源职业技术学院2026年煤矿安全类虚拟仿真课程建设项目</w:t>
      </w:r>
    </w:p>
    <w:p w14:paraId="22011A01">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w:t>
      </w:r>
      <w:r>
        <w:rPr>
          <w:rFonts w:hint="eastAsia"/>
          <w:highlight w:val="none"/>
          <w:shd w:val="clear" w:color="auto" w:fill="FFFFFF"/>
          <w:lang w:val="en-US" w:eastAsia="zh-CN"/>
        </w:rPr>
        <w:t>方式</w:t>
      </w:r>
      <w:r>
        <w:rPr>
          <w:rFonts w:hint="eastAsia"/>
          <w:highlight w:val="none"/>
          <w:shd w:val="clear" w:color="auto" w:fill="FFFFFF"/>
        </w:rPr>
        <w:t>：竞争性磋商</w:t>
      </w:r>
    </w:p>
    <w:p w14:paraId="4A0059E9">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cs="宋体"/>
          <w:sz w:val="24"/>
          <w:szCs w:val="24"/>
          <w:highlight w:val="none"/>
          <w:lang w:eastAsia="zh-CN"/>
        </w:rPr>
        <w:t>300000.00</w:t>
      </w:r>
      <w:r>
        <w:rPr>
          <w:rFonts w:hint="eastAsia"/>
          <w:highlight w:val="none"/>
          <w:shd w:val="clear" w:color="auto" w:fill="FFFFFF"/>
        </w:rPr>
        <w:t>元</w:t>
      </w:r>
    </w:p>
    <w:p w14:paraId="5AF61A8E">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1EB18534">
      <w:pPr>
        <w:pStyle w:val="35"/>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cs="宋体"/>
          <w:bCs/>
          <w:caps w:val="0"/>
          <w:color w:val="auto"/>
          <w:sz w:val="24"/>
          <w:szCs w:val="24"/>
          <w:highlight w:val="none"/>
          <w:lang w:val="en-US" w:eastAsia="zh-CN"/>
        </w:rPr>
        <w:t>陕西能源职业技术学院2026年煤矿安全类虚拟仿真课程建设项目</w:t>
      </w:r>
      <w:r>
        <w:rPr>
          <w:rFonts w:hint="eastAsia"/>
          <w:highlight w:val="none"/>
          <w:shd w:val="clear" w:color="auto" w:fill="FFFFFF"/>
        </w:rPr>
        <w:t>)：</w:t>
      </w:r>
    </w:p>
    <w:p w14:paraId="5F62813E">
      <w:pPr>
        <w:pStyle w:val="35"/>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cs="宋体"/>
          <w:sz w:val="24"/>
          <w:szCs w:val="24"/>
          <w:highlight w:val="none"/>
          <w:lang w:eastAsia="zh-CN"/>
        </w:rPr>
        <w:t>300000.00</w:t>
      </w:r>
      <w:r>
        <w:rPr>
          <w:rFonts w:hint="eastAsia"/>
          <w:highlight w:val="none"/>
          <w:shd w:val="clear" w:color="auto" w:fill="FFFFFF"/>
        </w:rPr>
        <w:t>元</w:t>
      </w:r>
    </w:p>
    <w:p w14:paraId="5644DB71">
      <w:pPr>
        <w:pStyle w:val="35"/>
        <w:wordWrap w:val="0"/>
        <w:adjustRightInd w:val="0"/>
        <w:snapToGrid w:val="0"/>
        <w:spacing w:before="0" w:beforeAutospacing="0" w:after="0" w:afterAutospacing="0" w:line="360" w:lineRule="auto"/>
        <w:ind w:firstLine="480"/>
        <w:jc w:val="both"/>
        <w:rPr>
          <w:rFonts w:hint="default" w:eastAsia="宋体"/>
          <w:highlight w:val="none"/>
          <w:lang w:val="en-US" w:eastAsia="zh-CN"/>
        </w:rPr>
      </w:pPr>
      <w:r>
        <w:rPr>
          <w:rFonts w:hint="eastAsia"/>
          <w:highlight w:val="none"/>
          <w:shd w:val="clear" w:color="auto" w:fill="FFFFFF"/>
        </w:rPr>
        <w:t>合同包最高限价：</w:t>
      </w:r>
      <w:r>
        <w:rPr>
          <w:rFonts w:hint="eastAsia"/>
          <w:lang w:eastAsia="zh-CN"/>
        </w:rPr>
        <w:t>300000.00</w:t>
      </w:r>
      <w:r>
        <w:t>元</w:t>
      </w:r>
    </w:p>
    <w:tbl>
      <w:tblPr>
        <w:tblStyle w:val="39"/>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06888C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E88884">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9301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AC6EB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93C2F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52F9F84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AC6C0">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0DB561B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DBBCAC">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697AA1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82D604">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F00FC6">
            <w:pPr>
              <w:widowControl/>
              <w:wordWrap w:val="0"/>
              <w:adjustRightInd w:val="0"/>
              <w:snapToGrid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val="0"/>
                <w:bCs w:val="0"/>
                <w:i w:val="0"/>
                <w:iCs w:val="0"/>
                <w:caps w:val="0"/>
                <w:spacing w:val="0"/>
                <w:sz w:val="24"/>
                <w:szCs w:val="24"/>
                <w:highlight w:val="none"/>
                <w:shd w:val="clear"/>
              </w:rPr>
              <w:t>其他专业技术服务</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B604F5">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2026年煤矿安全类虚拟仿真课程建设项目</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8CF2B7">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F1672">
            <w:pPr>
              <w:widowControl/>
              <w:wordWrap w:val="0"/>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详见磋商文件</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E55A79">
            <w:pPr>
              <w:widowControl/>
              <w:adjustRightInd w:val="0"/>
              <w:snapToGrid w:val="0"/>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lang w:eastAsia="zh-CN"/>
              </w:rPr>
              <w:t>300000.00</w:t>
            </w:r>
          </w:p>
        </w:tc>
      </w:tr>
    </w:tbl>
    <w:p w14:paraId="3F2003F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3A2B655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自合同签订生效后开始至双方合同义务完全履行后截止</w:t>
      </w:r>
      <w:r>
        <w:rPr>
          <w:rFonts w:ascii="宋体" w:hAnsi="宋体" w:eastAsia="宋体" w:cs="宋体"/>
          <w:sz w:val="24"/>
        </w:rPr>
        <w:t>。</w:t>
      </w:r>
    </w:p>
    <w:p w14:paraId="585DF05F">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ascii="Times New Roman" w:hAnsi="Times New Roman" w:cs="宋体"/>
          <w:b/>
          <w:bCs/>
          <w:highlight w:val="none"/>
          <w:shd w:val="clear" w:color="auto" w:fill="FFFFFF"/>
        </w:rPr>
        <w:t>二、</w:t>
      </w:r>
      <w:r>
        <w:rPr>
          <w:rStyle w:val="42"/>
          <w:rFonts w:hint="eastAsia" w:ascii="Times New Roman" w:hAnsi="Times New Roman" w:cs="宋体"/>
          <w:b/>
          <w:bCs/>
          <w:highlight w:val="none"/>
          <w:shd w:val="clear" w:color="auto" w:fill="FFFFFF"/>
          <w:lang w:eastAsia="zh-CN"/>
        </w:rPr>
        <w:t>供应商</w:t>
      </w:r>
      <w:r>
        <w:rPr>
          <w:rStyle w:val="42"/>
          <w:rFonts w:ascii="Times New Roman" w:hAnsi="Times New Roman" w:cs="宋体"/>
          <w:b/>
          <w:bCs/>
          <w:highlight w:val="none"/>
          <w:shd w:val="clear" w:color="auto" w:fill="FFFFFF"/>
        </w:rPr>
        <w:t>的资格要求：</w:t>
      </w:r>
    </w:p>
    <w:p w14:paraId="65C000CC">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314F505D">
      <w:pPr>
        <w:pStyle w:val="35"/>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cs="宋体"/>
          <w:sz w:val="24"/>
          <w:szCs w:val="24"/>
          <w:highlight w:val="none"/>
        </w:rPr>
        <w:t>2.落实政</w:t>
      </w:r>
      <w:r>
        <w:rPr>
          <w:rFonts w:hint="eastAsia" w:ascii="宋体" w:hAnsi="宋体" w:eastAsia="宋体" w:cs="宋体"/>
          <w:color w:val="000000"/>
          <w:highlight w:val="none"/>
          <w:shd w:val="clear" w:color="auto" w:fill="FFFFFF"/>
        </w:rPr>
        <w:t>府采购政策需满足的资格要求：</w:t>
      </w:r>
    </w:p>
    <w:p w14:paraId="56833E16">
      <w:pPr>
        <w:pStyle w:val="35"/>
        <w:wordWrap w:val="0"/>
        <w:adjustRightInd w:val="0"/>
        <w:snapToGrid w:val="0"/>
        <w:spacing w:before="0" w:beforeAutospacing="0" w:after="0" w:afterAutospacing="0" w:line="360" w:lineRule="auto"/>
        <w:ind w:firstLine="480" w:firstLineChars="200"/>
        <w:jc w:val="both"/>
        <w:textAlignment w:val="baseline"/>
        <w:rPr>
          <w:rFonts w:ascii="宋体" w:hAnsi="宋体" w:eastAsia="宋体" w:cs="宋体"/>
          <w:color w:val="000000"/>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陕西能源职业技术学院2026年煤矿安全类虚拟仿真课程建设项目</w:t>
      </w:r>
      <w:r>
        <w:rPr>
          <w:rFonts w:ascii="宋体" w:hAnsi="宋体" w:eastAsia="宋体" w:cs="宋体"/>
          <w:color w:val="000000"/>
        </w:rPr>
        <w:t>)落实政府采购政策需满足的资格要求如下:</w:t>
      </w:r>
    </w:p>
    <w:p w14:paraId="472B52F5">
      <w:pPr>
        <w:pStyle w:val="35"/>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lang w:val="en-US" w:eastAsia="zh-CN"/>
        </w:rPr>
        <w:t>本项目</w:t>
      </w:r>
      <w:r>
        <w:rPr>
          <w:rFonts w:ascii="宋体" w:hAnsi="宋体" w:eastAsia="宋体" w:cs="宋体"/>
          <w:color w:val="000000"/>
          <w:highlight w:val="none"/>
        </w:rPr>
        <w:t>专门面向中小企业。</w:t>
      </w:r>
    </w:p>
    <w:p w14:paraId="5FC630E7">
      <w:pPr>
        <w:pStyle w:val="35"/>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3.本项目的特定资格要求：</w:t>
      </w:r>
    </w:p>
    <w:p w14:paraId="73C6369D">
      <w:pPr>
        <w:pStyle w:val="35"/>
        <w:wordWrap w:val="0"/>
        <w:adjustRightInd w:val="0"/>
        <w:snapToGrid w:val="0"/>
        <w:spacing w:before="0" w:beforeAutospacing="0" w:after="0" w:afterAutospacing="0" w:line="360" w:lineRule="auto"/>
        <w:ind w:firstLine="480" w:firstLineChars="200"/>
        <w:jc w:val="both"/>
        <w:textAlignment w:val="baseline"/>
        <w:rPr>
          <w:rFonts w:hint="eastAsia" w:ascii="宋体" w:hAnsi="宋体" w:cs="宋体"/>
          <w:sz w:val="24"/>
          <w:szCs w:val="24"/>
          <w:highlight w:val="none"/>
          <w:shd w:val="clear" w:color="auto" w:fill="FFFFFF"/>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陕西能源职业技术学院2026年煤矿安全类虚拟仿真课程建设项目</w:t>
      </w:r>
      <w:r>
        <w:rPr>
          <w:rFonts w:ascii="宋体" w:hAnsi="宋体" w:eastAsia="宋体" w:cs="宋体"/>
          <w:color w:val="000000"/>
        </w:rPr>
        <w:t>)特</w:t>
      </w:r>
      <w:r>
        <w:rPr>
          <w:rFonts w:hint="eastAsia" w:ascii="宋体" w:hAnsi="宋体" w:cs="宋体"/>
          <w:sz w:val="24"/>
          <w:szCs w:val="24"/>
          <w:highlight w:val="none"/>
        </w:rPr>
        <w:t>定资格要求如下</w:t>
      </w:r>
      <w:r>
        <w:rPr>
          <w:rFonts w:hint="eastAsia" w:ascii="宋体" w:hAnsi="宋体" w:cs="宋体"/>
          <w:sz w:val="24"/>
          <w:szCs w:val="24"/>
          <w:highlight w:val="none"/>
          <w:shd w:val="clear" w:color="auto" w:fill="FFFFFF"/>
        </w:rPr>
        <w:t>:</w:t>
      </w:r>
    </w:p>
    <w:p w14:paraId="171145F3">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3.1供应商为向采购人提供服务的法人或其他组织；</w:t>
      </w:r>
    </w:p>
    <w:p w14:paraId="4F867AA5">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2742004B">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3.3</w:t>
      </w:r>
      <w:r>
        <w:rPr>
          <w:rFonts w:hint="eastAsia"/>
          <w:color w:val="000000"/>
          <w:highlight w:val="none"/>
          <w:shd w:val="clear" w:color="auto" w:fill="FFFFFF"/>
          <w:lang w:eastAsia="zh-CN"/>
        </w:rPr>
        <w:t>单位负责人为同一人或者存在直接控股、管理关系的不同供应商，不得参加同一合同项下的政府采购活动</w:t>
      </w:r>
      <w:r>
        <w:rPr>
          <w:rFonts w:hint="eastAsia"/>
          <w:color w:val="000000"/>
          <w:highlight w:val="none"/>
          <w:shd w:val="clear" w:color="auto" w:fill="FFFFFF"/>
        </w:rPr>
        <w:t>；</w:t>
      </w:r>
    </w:p>
    <w:p w14:paraId="6C363604">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ascii="Times New Roman" w:hAnsi="Times New Roman" w:cs="宋体"/>
          <w:b/>
          <w:bCs/>
          <w:highlight w:val="none"/>
          <w:shd w:val="clear" w:color="auto" w:fill="FFFFFF"/>
        </w:rPr>
        <w:t>三、获取采购文件</w:t>
      </w:r>
    </w:p>
    <w:p w14:paraId="6B0DE118">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18</w:t>
      </w:r>
      <w:r>
        <w:rPr>
          <w:rFonts w:hint="eastAsia" w:ascii="宋体" w:hAnsi="宋体" w:cs="宋体"/>
          <w:color w:val="000000"/>
          <w:kern w:val="0"/>
          <w:sz w:val="24"/>
          <w:szCs w:val="24"/>
          <w:highlight w:val="none"/>
        </w:rPr>
        <w:t>日至2026年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23</w:t>
      </w:r>
      <w:r>
        <w:rPr>
          <w:rFonts w:hint="eastAsia" w:ascii="宋体" w:hAnsi="宋体" w:cs="宋体"/>
          <w:color w:val="000000"/>
          <w:kern w:val="0"/>
          <w:sz w:val="24"/>
          <w:szCs w:val="24"/>
          <w:highlight w:val="none"/>
        </w:rPr>
        <w:t>日</w:t>
      </w:r>
      <w:r>
        <w:rPr>
          <w:rFonts w:hint="eastAsia"/>
          <w:highlight w:val="none"/>
          <w:shd w:val="clear" w:color="auto" w:fill="FFFFFF"/>
        </w:rPr>
        <w:t>，每天上午09:00:00至12:00:00，下午14:00:00至17:00:00（北京时间）</w:t>
      </w:r>
    </w:p>
    <w:p w14:paraId="4F6B9B26">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途径：陕西省西安市莲湖区高新二路1号招商银行大厦19层</w:t>
      </w:r>
    </w:p>
    <w:p w14:paraId="3EC5BE5F">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方式：现场获取</w:t>
      </w:r>
    </w:p>
    <w:p w14:paraId="2ECC22C0">
      <w:pPr>
        <w:pStyle w:val="35"/>
        <w:wordWrap w:val="0"/>
        <w:adjustRightInd w:val="0"/>
        <w:snapToGrid w:val="0"/>
        <w:spacing w:before="0" w:beforeAutospacing="0" w:after="0" w:afterAutospacing="0" w:line="360" w:lineRule="auto"/>
        <w:ind w:firstLine="480"/>
        <w:jc w:val="both"/>
        <w:rPr>
          <w:highlight w:val="none"/>
        </w:rPr>
      </w:pPr>
      <w:r>
        <w:rPr>
          <w:rFonts w:hint="eastAsia"/>
          <w:highlight w:val="none"/>
          <w:shd w:val="clear" w:color="auto" w:fill="FFFFFF"/>
        </w:rPr>
        <w:t>售价：</w:t>
      </w:r>
      <w:r>
        <w:rPr>
          <w:rFonts w:hint="eastAsia" w:ascii="宋体" w:hAnsi="宋体" w:cs="宋体"/>
          <w:color w:val="000000"/>
          <w:kern w:val="0"/>
          <w:sz w:val="24"/>
          <w:szCs w:val="24"/>
          <w:highlight w:val="none"/>
        </w:rPr>
        <w:t>500</w:t>
      </w:r>
      <w:r>
        <w:rPr>
          <w:rFonts w:hint="eastAsia"/>
          <w:highlight w:val="none"/>
          <w:shd w:val="clear" w:color="auto" w:fill="FFFFFF"/>
        </w:rPr>
        <w:t>元</w:t>
      </w:r>
    </w:p>
    <w:p w14:paraId="3BFA5632">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rPr>
        <w:t>四、响应文件提交</w:t>
      </w:r>
    </w:p>
    <w:p w14:paraId="11740A5C">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7E86D7A5">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2F45E9E4">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hint="eastAsia"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rPr>
        <w:t>五、开启</w:t>
      </w:r>
    </w:p>
    <w:p w14:paraId="5216C9AF">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47005525">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638EA6E5">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六</w:t>
      </w:r>
      <w:r>
        <w:rPr>
          <w:rStyle w:val="42"/>
          <w:rFonts w:ascii="Times New Roman" w:hAnsi="Times New Roman" w:cs="宋体"/>
          <w:b/>
          <w:bCs/>
          <w:highlight w:val="none"/>
          <w:shd w:val="clear" w:color="auto" w:fill="FFFFFF"/>
        </w:rPr>
        <w:t>、公告期限</w:t>
      </w:r>
    </w:p>
    <w:p w14:paraId="30952462">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自本公告发布之日起3个工作日。</w:t>
      </w:r>
    </w:p>
    <w:p w14:paraId="764DD088">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七</w:t>
      </w:r>
      <w:r>
        <w:rPr>
          <w:rStyle w:val="42"/>
          <w:rFonts w:ascii="Times New Roman" w:hAnsi="Times New Roman" w:cs="宋体"/>
          <w:b/>
          <w:bCs/>
          <w:highlight w:val="none"/>
          <w:shd w:val="clear" w:color="auto" w:fill="FFFFFF"/>
        </w:rPr>
        <w:t>、其他补充事宜</w:t>
      </w:r>
    </w:p>
    <w:p w14:paraId="30B7F706">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lang w:val="en-US" w:eastAsia="zh-CN"/>
        </w:rPr>
        <w:t>1.</w:t>
      </w:r>
      <w:r>
        <w:rPr>
          <w:rFonts w:hint="eastAsia"/>
          <w:color w:val="000000"/>
          <w:highlight w:val="none"/>
          <w:shd w:val="clear" w:color="auto" w:fill="FFFFFF"/>
        </w:rPr>
        <w:t>领取竞争性磋商文件时请携带单位介绍信原件（或授权委托书原件）以及经办人身份证原件及复印件加盖公章，现场领取，谢绝邮寄。</w:t>
      </w:r>
    </w:p>
    <w:p w14:paraId="3D81F74B">
      <w:pPr>
        <w:pStyle w:val="35"/>
        <w:wordWrap w:val="0"/>
        <w:adjustRightInd w:val="0"/>
        <w:snapToGrid w:val="0"/>
        <w:spacing w:before="0" w:beforeAutospacing="0" w:after="0" w:afterAutospacing="0" w:line="360" w:lineRule="auto"/>
        <w:ind w:firstLine="480" w:firstLineChars="200"/>
        <w:jc w:val="both"/>
        <w:textAlignment w:val="baseline"/>
        <w:rPr>
          <w:rFonts w:hint="eastAsia" w:eastAsia="宋体"/>
          <w:color w:val="000000"/>
          <w:highlight w:val="none"/>
          <w:shd w:val="clear" w:color="auto" w:fill="FFFFFF"/>
          <w:lang w:eastAsia="zh-CN"/>
        </w:rPr>
      </w:pPr>
      <w:r>
        <w:rPr>
          <w:rFonts w:hint="eastAsia" w:cs="宋体"/>
          <w:sz w:val="24"/>
          <w:szCs w:val="24"/>
          <w:highlight w:val="none"/>
          <w:lang w:val="en-US" w:eastAsia="zh-CN"/>
        </w:rPr>
        <w:t>2.</w:t>
      </w:r>
      <w:r>
        <w:rPr>
          <w:rFonts w:hint="eastAsia" w:ascii="宋体" w:hAnsi="宋体" w:cs="宋体"/>
          <w:sz w:val="24"/>
          <w:szCs w:val="24"/>
          <w:highlight w:val="none"/>
        </w:rPr>
        <w:t>落实政</w:t>
      </w:r>
      <w:r>
        <w:rPr>
          <w:rFonts w:hint="eastAsia" w:ascii="宋体" w:hAnsi="宋体" w:eastAsia="宋体" w:cs="宋体"/>
          <w:color w:val="000000"/>
          <w:highlight w:val="none"/>
          <w:shd w:val="clear" w:color="auto" w:fill="FFFFFF"/>
        </w:rPr>
        <w:t>府采购政策</w:t>
      </w:r>
      <w:r>
        <w:rPr>
          <w:rFonts w:hint="eastAsia" w:cs="宋体"/>
          <w:color w:val="000000"/>
          <w:highlight w:val="none"/>
          <w:shd w:val="clear" w:color="auto" w:fill="FFFFFF"/>
          <w:lang w:eastAsia="zh-CN"/>
        </w:rPr>
        <w:t>：</w:t>
      </w:r>
    </w:p>
    <w:p w14:paraId="330AA5AA">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1</w:t>
      </w:r>
      <w:r>
        <w:rPr>
          <w:rFonts w:hint="eastAsia"/>
          <w:color w:val="000000"/>
          <w:highlight w:val="none"/>
          <w:shd w:val="clear" w:color="auto" w:fill="FFFFFF"/>
        </w:rPr>
        <w:t>）《关于在政府采购活动中查询及使用信用记录有关问题的通知》（财库〔2016〕125号）；</w:t>
      </w:r>
    </w:p>
    <w:p w14:paraId="4897C709">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2</w:t>
      </w:r>
      <w:r>
        <w:rPr>
          <w:rFonts w:hint="eastAsia"/>
          <w:color w:val="000000"/>
          <w:highlight w:val="none"/>
          <w:shd w:val="clear" w:color="auto" w:fill="FFFFFF"/>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061160FD">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3</w:t>
      </w:r>
      <w:r>
        <w:rPr>
          <w:rFonts w:hint="eastAsia"/>
          <w:color w:val="000000"/>
          <w:highlight w:val="none"/>
          <w:shd w:val="clear" w:color="auto" w:fill="FFFFFF"/>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p>
    <w:p w14:paraId="479E69E2">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4</w:t>
      </w:r>
      <w:r>
        <w:rPr>
          <w:rFonts w:hint="eastAsia"/>
          <w:color w:val="000000"/>
          <w:highlight w:val="none"/>
          <w:shd w:val="clear" w:color="auto" w:fill="FFFFFF"/>
        </w:rPr>
        <w:t>）《陕西省财政厅关于加快推进我省中小企业政府采购信用融资工作的通知》（陕财办采〔2020〕15号）、陕西省财政厅关于印发《陕西省中小企业政府采购信用融资办法》（陕财办采〔2018〕23号）；</w:t>
      </w:r>
    </w:p>
    <w:p w14:paraId="708E1EF7">
      <w:pPr>
        <w:pStyle w:val="35"/>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5</w:t>
      </w:r>
      <w:r>
        <w:rPr>
          <w:rFonts w:hint="eastAsia"/>
          <w:color w:val="000000"/>
          <w:highlight w:val="none"/>
          <w:shd w:val="clear" w:color="auto" w:fill="FFFFFF"/>
        </w:rPr>
        <w:t>）其他需要落实的政府采购政策。</w:t>
      </w:r>
    </w:p>
    <w:p w14:paraId="507D50AD">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八</w:t>
      </w:r>
      <w:r>
        <w:rPr>
          <w:rStyle w:val="42"/>
          <w:rFonts w:ascii="Times New Roman" w:hAnsi="Times New Roman" w:cs="宋体"/>
          <w:b/>
          <w:bCs/>
          <w:highlight w:val="none"/>
          <w:shd w:val="clear" w:color="auto" w:fill="FFFFFF"/>
        </w:rPr>
        <w:t>、对本次采购提出询问，请按以下方式联系</w:t>
      </w:r>
    </w:p>
    <w:p w14:paraId="75F95E7C">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1.采购人信息</w:t>
      </w:r>
    </w:p>
    <w:p w14:paraId="5F5F0C95">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default"/>
          <w:highlight w:val="none"/>
          <w:shd w:val="clear" w:color="auto" w:fill="FFFFFF"/>
          <w:lang w:val="en-US" w:eastAsia="zh-CN"/>
        </w:rPr>
        <w:t>陕西能源职业技术学院</w:t>
      </w:r>
    </w:p>
    <w:p w14:paraId="1744B2FB">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地址：陕西省咸阳市文林路中段</w:t>
      </w:r>
    </w:p>
    <w:p w14:paraId="2301600E">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联系</w:t>
      </w:r>
      <w:r>
        <w:rPr>
          <w:rFonts w:hint="eastAsia"/>
          <w:highlight w:val="none"/>
          <w:shd w:val="clear" w:color="auto" w:fill="FFFFFF"/>
          <w:lang w:val="en-US" w:eastAsia="zh-CN"/>
        </w:rPr>
        <w:t>方式</w:t>
      </w:r>
      <w:r>
        <w:rPr>
          <w:rFonts w:hint="default"/>
          <w:highlight w:val="none"/>
          <w:shd w:val="clear" w:color="auto" w:fill="FFFFFF"/>
          <w:lang w:val="en-US" w:eastAsia="zh-CN"/>
        </w:rPr>
        <w:t>：029-33665117</w:t>
      </w:r>
    </w:p>
    <w:p w14:paraId="69700A65">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2.采购代理机构信息</w:t>
      </w:r>
    </w:p>
    <w:p w14:paraId="4406CD6F">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名称：开瑞项目管理有限公司</w:t>
      </w:r>
    </w:p>
    <w:p w14:paraId="691CCFDB">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地址：陕西省西安市莲湖区高新二路1号招商银行大厦19层</w:t>
      </w:r>
    </w:p>
    <w:p w14:paraId="7E21BA5B">
      <w:pPr>
        <w:pStyle w:val="35"/>
        <w:wordWrap w:val="0"/>
        <w:adjustRightInd w:val="0"/>
        <w:snapToGrid w:val="0"/>
        <w:spacing w:before="0" w:beforeAutospacing="0" w:after="0" w:afterAutospacing="0" w:line="360" w:lineRule="auto"/>
        <w:ind w:firstLine="480"/>
        <w:jc w:val="both"/>
        <w:rPr>
          <w:rFonts w:hint="default" w:eastAsia="宋体"/>
          <w:highlight w:val="none"/>
          <w:u w:val="single"/>
          <w:lang w:val="en-US" w:eastAsia="zh-CN"/>
        </w:rPr>
      </w:pPr>
      <w:r>
        <w:rPr>
          <w:rFonts w:hint="eastAsia"/>
          <w:highlight w:val="none"/>
          <w:shd w:val="clear" w:color="auto" w:fill="FFFFFF"/>
        </w:rPr>
        <w:t>联系方式：</w:t>
      </w:r>
      <w:r>
        <w:rPr>
          <w:rFonts w:hint="eastAsia"/>
          <w:highlight w:val="none"/>
          <w:shd w:val="clear" w:color="auto" w:fill="FFFFFF"/>
          <w:lang w:eastAsia="zh-CN"/>
        </w:rPr>
        <w:t>029-89569197、</w:t>
      </w:r>
      <w:r>
        <w:rPr>
          <w:rFonts w:hint="eastAsia"/>
          <w:highlight w:val="none"/>
          <w:shd w:val="clear" w:color="auto" w:fill="FFFFFF"/>
          <w:lang w:val="en-US" w:eastAsia="zh-CN"/>
        </w:rPr>
        <w:t>15893865239、18740707410</w:t>
      </w:r>
      <w:r>
        <w:rPr>
          <w:rFonts w:hint="eastAsia" w:ascii="宋体" w:hAnsi="宋体" w:eastAsia="宋体" w:cs="宋体"/>
          <w:sz w:val="24"/>
          <w:szCs w:val="24"/>
          <w:lang w:val="en-US" w:eastAsia="zh-CN"/>
        </w:rPr>
        <w:t xml:space="preserve"> </w:t>
      </w:r>
    </w:p>
    <w:p w14:paraId="50BE32F2">
      <w:pPr>
        <w:pStyle w:val="35"/>
        <w:wordWrap w:val="0"/>
        <w:adjustRightInd w:val="0"/>
        <w:snapToGrid w:val="0"/>
        <w:spacing w:before="0" w:beforeAutospacing="0" w:after="0" w:afterAutospacing="0" w:line="360" w:lineRule="auto"/>
        <w:ind w:firstLine="480"/>
        <w:jc w:val="both"/>
        <w:rPr>
          <w:rFonts w:hint="eastAsia" w:ascii="宋体" w:hAnsi="宋体" w:eastAsia="宋体" w:cs="宋体"/>
          <w:b w:val="0"/>
          <w:bCs w:val="0"/>
          <w:highlight w:val="none"/>
          <w:shd w:val="clear" w:color="auto" w:fill="FFFFFF"/>
          <w:lang w:val="en-US" w:eastAsia="zh-CN"/>
        </w:rPr>
      </w:pPr>
      <w:r>
        <w:rPr>
          <w:rFonts w:cs="宋体"/>
          <w:b w:val="0"/>
          <w:bCs w:val="0"/>
          <w:sz w:val="24"/>
          <w:szCs w:val="24"/>
          <w:highlight w:val="none"/>
          <w:shd w:val="clear" w:color="auto" w:fill="FFFFFF"/>
        </w:rPr>
        <w:t>3.项目联系方式</w:t>
      </w:r>
    </w:p>
    <w:p w14:paraId="2F6C973B">
      <w:pPr>
        <w:spacing w:line="360" w:lineRule="auto"/>
        <w:ind w:firstLineChars="200"/>
        <w:outlineLvl w:val="9"/>
        <w:rPr>
          <w:rFonts w:hint="default" w:ascii="Times New Roman" w:hAnsi="Times New Roman" w:eastAsia="宋体" w:cs="宋体"/>
          <w:sz w:val="24"/>
          <w:szCs w:val="24"/>
          <w:highlight w:val="none"/>
          <w:shd w:val="clear" w:color="auto" w:fill="FFFFFF"/>
          <w:lang w:val="en-US" w:eastAsia="zh-CN"/>
        </w:rPr>
      </w:pPr>
      <w:r>
        <w:rPr>
          <w:rFonts w:hint="default" w:ascii="Times New Roman" w:hAnsi="Times New Roman" w:eastAsia="宋体" w:cs="宋体"/>
          <w:sz w:val="24"/>
          <w:szCs w:val="24"/>
          <w:highlight w:val="none"/>
          <w:shd w:val="clear" w:color="auto" w:fill="FFFFFF"/>
          <w:lang w:val="en-US" w:eastAsia="zh-CN"/>
        </w:rPr>
        <w:t>项目联系人：</w:t>
      </w:r>
      <w:r>
        <w:rPr>
          <w:rFonts w:hint="default" w:cs="宋体"/>
          <w:sz w:val="24"/>
          <w:szCs w:val="24"/>
          <w:highlight w:val="none"/>
          <w:shd w:val="clear" w:color="auto" w:fill="FFFFFF"/>
          <w:lang w:val="en-US" w:eastAsia="zh-CN"/>
        </w:rPr>
        <w:t>于姣洋</w:t>
      </w:r>
      <w:r>
        <w:rPr>
          <w:rFonts w:hint="default" w:cs="宋体"/>
          <w:sz w:val="24"/>
          <w:szCs w:val="24"/>
          <w:highlight w:val="none"/>
          <w:shd w:val="clear" w:color="auto" w:fill="FFFFFF"/>
        </w:rPr>
        <w:t>、王昭、姚瑶、刘昆、张晨、代光艳、王森、靳祥德、成荔、彭明杨、王莉</w:t>
      </w:r>
    </w:p>
    <w:p w14:paraId="5A61E56C">
      <w:pPr>
        <w:wordWrap w:val="0"/>
        <w:adjustRightInd w:val="0"/>
        <w:snapToGrid w:val="0"/>
        <w:spacing w:before="0" w:beforeAutospacing="0" w:after="0" w:afterAutospacing="0" w:line="360" w:lineRule="auto"/>
        <w:ind w:firstLine="480"/>
        <w:outlineLvl w:val="9"/>
        <w:rPr>
          <w:rFonts w:hint="default" w:cs="宋体"/>
          <w:sz w:val="24"/>
          <w:szCs w:val="24"/>
          <w:highlight w:val="none"/>
          <w:shd w:val="clear" w:color="auto" w:fill="FFFFFF"/>
        </w:rPr>
        <w:sectPr>
          <w:footerReference r:id="rId9" w:type="first"/>
          <w:headerReference r:id="rId7" w:type="default"/>
          <w:footerReference r:id="rId8" w:type="default"/>
          <w:pgSz w:w="11906" w:h="16838"/>
          <w:pgMar w:top="1440" w:right="1800" w:bottom="1440" w:left="1800" w:header="851" w:footer="992" w:gutter="0"/>
          <w:pgNumType w:fmt="decimal"/>
          <w:cols w:space="720" w:num="1"/>
          <w:titlePg/>
          <w:docGrid w:type="lines" w:linePitch="312" w:charSpace="0"/>
        </w:sectPr>
      </w:pPr>
      <w:r>
        <w:rPr>
          <w:rFonts w:hint="default" w:ascii="Times New Roman" w:hAnsi="Times New Roman" w:eastAsia="宋体" w:cs="宋体"/>
          <w:sz w:val="24"/>
          <w:szCs w:val="24"/>
          <w:highlight w:val="none"/>
          <w:shd w:val="clear" w:color="auto" w:fill="FFFFFF"/>
          <w:lang w:val="en-US" w:eastAsia="zh-CN"/>
        </w:rPr>
        <w:t>电话：</w:t>
      </w:r>
      <w:r>
        <w:rPr>
          <w:rFonts w:hint="default" w:ascii="Times New Roman" w:hAnsi="Times New Roman" w:cs="宋体"/>
          <w:sz w:val="24"/>
          <w:szCs w:val="24"/>
          <w:highlight w:val="none"/>
          <w:shd w:val="clear" w:color="auto" w:fill="FFFFFF"/>
          <w:lang w:eastAsia="zh-CN"/>
        </w:rPr>
        <w:t>029-89569197、</w:t>
      </w:r>
      <w:r>
        <w:rPr>
          <w:rFonts w:hint="default" w:ascii="Times New Roman" w:hAnsi="Times New Roman" w:cs="宋体"/>
          <w:sz w:val="24"/>
          <w:szCs w:val="24"/>
          <w:highlight w:val="none"/>
          <w:shd w:val="clear" w:color="auto" w:fill="FFFFFF"/>
          <w:lang w:val="en-US" w:eastAsia="zh-CN"/>
        </w:rPr>
        <w:t>15893865239、18740707410</w:t>
      </w:r>
    </w:p>
    <w:p w14:paraId="797E74E2">
      <w:pPr>
        <w:pStyle w:val="2"/>
        <w:jc w:val="center"/>
        <w:rPr>
          <w:rFonts w:hint="eastAsia" w:ascii="黑体" w:hAnsi="黑体" w:cs="黑体"/>
          <w:b/>
          <w:bCs/>
          <w:color w:val="000000"/>
          <w:szCs w:val="32"/>
          <w:highlight w:val="none"/>
        </w:rPr>
      </w:pPr>
      <w:bookmarkStart w:id="3" w:name="_Toc12377614"/>
      <w:bookmarkStart w:id="4" w:name="_Toc10621832"/>
      <w:bookmarkStart w:id="5" w:name="_Toc10563630"/>
      <w:bookmarkStart w:id="6" w:name="_Toc25422"/>
      <w:bookmarkStart w:id="7" w:name="_Toc26619"/>
      <w:bookmarkStart w:id="8" w:name="_Toc22292"/>
      <w:bookmarkStart w:id="9" w:name="_Toc31983"/>
      <w:r>
        <w:rPr>
          <w:rFonts w:hint="eastAsia" w:ascii="黑体" w:hAnsi="黑体" w:cs="黑体"/>
          <w:b/>
          <w:bCs/>
          <w:color w:val="000000"/>
          <w:szCs w:val="32"/>
          <w:highlight w:val="none"/>
        </w:rPr>
        <w:t>第二章  供应商须知前附表及</w:t>
      </w:r>
      <w:bookmarkEnd w:id="1"/>
      <w:bookmarkEnd w:id="2"/>
      <w:bookmarkEnd w:id="3"/>
      <w:bookmarkEnd w:id="4"/>
      <w:bookmarkEnd w:id="5"/>
      <w:bookmarkEnd w:id="6"/>
      <w:r>
        <w:rPr>
          <w:rFonts w:hint="eastAsia" w:ascii="黑体" w:hAnsi="黑体" w:cs="黑体"/>
          <w:b/>
          <w:bCs/>
          <w:color w:val="000000"/>
          <w:szCs w:val="32"/>
          <w:highlight w:val="none"/>
        </w:rPr>
        <w:t>供应商须知</w:t>
      </w:r>
      <w:bookmarkEnd w:id="7"/>
      <w:bookmarkEnd w:id="8"/>
      <w:bookmarkEnd w:id="9"/>
    </w:p>
    <w:p w14:paraId="0131D030">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10" w:name="_Toc511316280"/>
      <w:bookmarkStart w:id="11" w:name="_Toc12377615"/>
      <w:bookmarkStart w:id="12" w:name="_Toc10563089"/>
      <w:bookmarkStart w:id="13" w:name="_Toc504605168"/>
      <w:bookmarkStart w:id="14" w:name="_Toc10563631"/>
      <w:bookmarkStart w:id="15" w:name="_Toc10621833"/>
      <w:bookmarkStart w:id="16" w:name="_Toc504605086"/>
      <w:r>
        <w:rPr>
          <w:rFonts w:hint="eastAsia" w:ascii="黑体" w:hAnsi="黑体" w:eastAsia="黑体" w:cs="黑体"/>
          <w:b/>
          <w:bCs/>
          <w:color w:val="auto"/>
          <w:sz w:val="28"/>
          <w:szCs w:val="28"/>
          <w:highlight w:val="none"/>
        </w:rPr>
        <w:t>一、供应商须知前附表</w:t>
      </w:r>
      <w:bookmarkEnd w:id="10"/>
      <w:bookmarkEnd w:id="11"/>
      <w:bookmarkEnd w:id="12"/>
      <w:bookmarkEnd w:id="13"/>
      <w:bookmarkEnd w:id="14"/>
      <w:bookmarkEnd w:id="15"/>
      <w:bookmarkEnd w:id="16"/>
    </w:p>
    <w:tbl>
      <w:tblPr>
        <w:tblStyle w:val="39"/>
        <w:tblW w:w="9556" w:type="dxa"/>
        <w:jc w:val="center"/>
        <w:tblLayout w:type="fixed"/>
        <w:tblCellMar>
          <w:top w:w="0" w:type="dxa"/>
          <w:left w:w="108" w:type="dxa"/>
          <w:bottom w:w="0" w:type="dxa"/>
          <w:right w:w="108" w:type="dxa"/>
        </w:tblCellMar>
      </w:tblPr>
      <w:tblGrid>
        <w:gridCol w:w="986"/>
        <w:gridCol w:w="2019"/>
        <w:gridCol w:w="587"/>
        <w:gridCol w:w="3447"/>
        <w:gridCol w:w="2517"/>
      </w:tblGrid>
      <w:tr w14:paraId="601A1CEF">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F428211">
            <w:pPr>
              <w:adjustRightInd w:val="0"/>
              <w:snapToGrid w:val="0"/>
              <w:spacing w:line="360" w:lineRule="auto"/>
              <w:jc w:val="center"/>
              <w:rPr>
                <w:rFonts w:hint="eastAsia" w:ascii="宋体" w:hAnsi="宋体" w:cs="宋体"/>
                <w:b/>
                <w:bCs/>
                <w:color w:val="000000"/>
                <w:szCs w:val="21"/>
              </w:rPr>
            </w:pPr>
            <w:bookmarkStart w:id="17" w:name="_Toc10621834"/>
            <w:bookmarkStart w:id="18" w:name="_Toc10563632"/>
            <w:bookmarkStart w:id="19" w:name="_Toc10563090"/>
            <w:bookmarkStart w:id="20" w:name="_Toc12377616"/>
            <w:bookmarkStart w:id="21" w:name="_Toc511316281"/>
            <w:bookmarkStart w:id="22" w:name="_Toc504605087"/>
            <w:bookmarkStart w:id="23" w:name="_Toc504605169"/>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0DD880E">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DE82D9C">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编列内容</w:t>
            </w:r>
          </w:p>
        </w:tc>
      </w:tr>
      <w:tr w14:paraId="75325E48">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8671C7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2B659A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A9D270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采购人指定地点</w:t>
            </w:r>
          </w:p>
        </w:tc>
      </w:tr>
      <w:tr w14:paraId="46EE1D59">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5C0830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580986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EF24249">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lang w:val="en-US" w:eastAsia="zh-CN"/>
              </w:rPr>
              <w:t>本项目拟采购2026年煤矿安全类虚拟仿真课程建设项目</w:t>
            </w:r>
            <w:r>
              <w:rPr>
                <w:rFonts w:hint="eastAsia" w:cs="宋体"/>
                <w:color w:val="000000"/>
                <w:lang w:eastAsia="zh-CN"/>
              </w:rPr>
              <w:t>，</w:t>
            </w:r>
            <w:r>
              <w:rPr>
                <w:rFonts w:hint="eastAsia" w:cs="宋体"/>
                <w:color w:val="000000"/>
                <w:lang w:val="en-US" w:eastAsia="zh-CN"/>
              </w:rPr>
              <w:t>1项</w:t>
            </w:r>
            <w:r>
              <w:rPr>
                <w:rFonts w:ascii="宋体" w:hAnsi="宋体" w:eastAsia="宋体" w:cs="宋体"/>
                <w:color w:val="000000"/>
              </w:rPr>
              <w:t>。具体内容及要求详见本竞争性磋商文件、答疑文件中所涵盖的全部服务内容。</w:t>
            </w:r>
          </w:p>
        </w:tc>
      </w:tr>
      <w:tr w14:paraId="034B255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4AD6F1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2C4634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服务期限</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611CC84">
            <w:pPr>
              <w:pStyle w:val="12"/>
              <w:rPr>
                <w:rFonts w:hint="default" w:ascii="宋体" w:hAnsi="宋体" w:cs="宋体"/>
                <w:color w:val="000000"/>
                <w:szCs w:val="21"/>
                <w:highlight w:val="none"/>
                <w:lang w:val="en-US"/>
              </w:rPr>
            </w:pPr>
            <w:r>
              <w:rPr>
                <w:rFonts w:hint="eastAsia" w:ascii="宋体" w:hAnsi="宋体" w:eastAsia="宋体" w:cs="宋体"/>
                <w:sz w:val="21"/>
                <w:szCs w:val="21"/>
                <w:highlight w:val="none"/>
                <w:lang w:eastAsia="zh-CN"/>
              </w:rPr>
              <w:t>自合同签订之日起</w:t>
            </w:r>
            <w:r>
              <w:rPr>
                <w:rFonts w:hint="eastAsia" w:ascii="宋体" w:hAnsi="宋体" w:cs="宋体"/>
                <w:sz w:val="21"/>
                <w:szCs w:val="21"/>
                <w:highlight w:val="none"/>
                <w:lang w:val="en-US" w:eastAsia="zh-CN"/>
              </w:rPr>
              <w:t>3个月内完成课程建设。</w:t>
            </w:r>
          </w:p>
        </w:tc>
      </w:tr>
      <w:tr w14:paraId="44DE607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589B9F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20F78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ABC8609">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2277950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9E3526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6E14E8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BE1266B">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详见本文件“第一章 竞争性磋商公告”供应商资格要求。</w:t>
            </w:r>
          </w:p>
        </w:tc>
      </w:tr>
      <w:tr w14:paraId="054DEC3F">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8FA05F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1A3683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F93CFB7">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485664618</w:t>
            </w:r>
            <w:r>
              <w:rPr>
                <w:rFonts w:hint="eastAsia" w:ascii="宋体" w:hAnsi="宋体" w:eastAsia="宋体" w:cs="宋体"/>
                <w:sz w:val="21"/>
                <w:szCs w:val="21"/>
                <w:highlight w:val="none"/>
              </w:rPr>
              <w:t>@qq.com</w:t>
            </w:r>
          </w:p>
        </w:tc>
      </w:tr>
      <w:tr w14:paraId="53C14174">
        <w:tblPrEx>
          <w:tblCellMar>
            <w:top w:w="0" w:type="dxa"/>
            <w:left w:w="108" w:type="dxa"/>
            <w:bottom w:w="0" w:type="dxa"/>
            <w:right w:w="108" w:type="dxa"/>
          </w:tblCellMar>
        </w:tblPrEx>
        <w:trPr>
          <w:trHeight w:val="1326"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E9ED213">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F83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响应文件的份数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5D17A2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1A85E124">
            <w:pPr>
              <w:adjustRightInd w:val="0"/>
              <w:snapToGrid w:val="0"/>
              <w:spacing w:line="360" w:lineRule="auto"/>
              <w:jc w:val="left"/>
              <w:rPr>
                <w:rFonts w:ascii="宋体" w:hAnsi="宋体" w:cs="宋体"/>
                <w:color w:val="000000"/>
                <w:szCs w:val="21"/>
              </w:rPr>
            </w:pPr>
            <w:r>
              <w:rPr>
                <w:rFonts w:hint="eastAsia" w:ascii="宋体" w:hAnsi="宋体" w:cs="宋体"/>
                <w:b/>
                <w:bCs/>
                <w:color w:val="000000"/>
                <w:szCs w:val="21"/>
              </w:rPr>
              <w:t>备注：电子版文件存储介质：U盘，供应商所递交的U盘上用标签注明单位简称、项目名称。</w:t>
            </w:r>
          </w:p>
        </w:tc>
      </w:tr>
      <w:tr w14:paraId="78FDA0C0">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6AB6582">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08BE39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响应文件的密封与包装</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EECC2E2">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1.响应文件正、副本应分别胶装成册，装订应牢固、不易拆散和换页，不得采用活页装订。</w:t>
            </w:r>
          </w:p>
          <w:p w14:paraId="655E3FE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2.密封包装方式：</w:t>
            </w:r>
          </w:p>
          <w:p w14:paraId="6DD47AD6">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23BAF47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3.封套上应载明的信息：按照本文件“第六章 响应文件格式”编制。</w:t>
            </w:r>
          </w:p>
        </w:tc>
      </w:tr>
      <w:tr w14:paraId="310550D7">
        <w:tblPrEx>
          <w:tblCellMar>
            <w:top w:w="0" w:type="dxa"/>
            <w:left w:w="108" w:type="dxa"/>
            <w:bottom w:w="0" w:type="dxa"/>
            <w:right w:w="108" w:type="dxa"/>
          </w:tblCellMar>
        </w:tblPrEx>
        <w:trPr>
          <w:trHeight w:val="127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BE4AB0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8E97EB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竞争性磋商报价</w:t>
            </w:r>
          </w:p>
          <w:p w14:paraId="1D21950E">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33E2FAC">
            <w:pPr>
              <w:adjustRightInd w:val="0"/>
              <w:snapToGrid w:val="0"/>
              <w:spacing w:line="360" w:lineRule="auto"/>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各投标人在投标时以填报“总价及单价”的形式自主填报投标报价。所填报的投标报价不得超出本项目的最高投标限价，否则将按照无效投标处理。</w:t>
            </w:r>
          </w:p>
          <w:p w14:paraId="436997E6">
            <w:pPr>
              <w:adjustRightInd w:val="0"/>
              <w:snapToGrid w:val="0"/>
              <w:spacing w:line="360" w:lineRule="auto"/>
              <w:jc w:val="left"/>
              <w:rPr>
                <w:rFonts w:hint="eastAsia" w:ascii="宋体" w:hAnsi="宋体" w:cs="宋体"/>
                <w:color w:val="000000"/>
                <w:highlight w:val="none"/>
              </w:rPr>
            </w:pPr>
            <w:r>
              <w:rPr>
                <w:rFonts w:hint="eastAsia" w:ascii="宋体" w:hAnsi="宋体" w:cs="宋体"/>
                <w:color w:val="000000"/>
                <w:highlight w:val="none"/>
                <w:lang w:val="en-US" w:eastAsia="zh-CN"/>
              </w:rPr>
              <w:t>投标人所填报的单价应是完成本次服务范围内所需的相应全部费用，包括但不限于：人工费、材料费、服务费、规费、税金、利润、专用工具使用费等与之相关的一切直接费、间接费。要求的其他相关费用以本磋商文件的内容和要求作为投标依据。</w:t>
            </w:r>
          </w:p>
        </w:tc>
      </w:tr>
      <w:tr w14:paraId="22AC3417">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244A7D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4BCDE4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F25B8E3">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自响应文件递交截止之日起90天。</w:t>
            </w:r>
          </w:p>
        </w:tc>
      </w:tr>
      <w:tr w14:paraId="033F9067">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478844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AA332F7">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响应保证金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B4ADF89">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需要交纳。</w:t>
            </w:r>
            <w:r>
              <w:rPr>
                <w:rFonts w:hint="eastAsia" w:ascii="宋体" w:hAnsi="宋体" w:cs="宋体"/>
                <w:color w:val="000000"/>
                <w:szCs w:val="21"/>
                <w:lang w:eastAsia="zh-CN"/>
              </w:rPr>
              <w:t>响应保证金</w:t>
            </w:r>
            <w:r>
              <w:rPr>
                <w:rFonts w:hint="eastAsia" w:ascii="宋体" w:hAnsi="宋体" w:cs="宋体"/>
                <w:color w:val="000000"/>
                <w:szCs w:val="21"/>
              </w:rPr>
              <w:t>要求如下：</w:t>
            </w:r>
          </w:p>
          <w:p w14:paraId="182A7842">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1.交纳金额：人民币</w:t>
            </w:r>
            <w:r>
              <w:rPr>
                <w:rFonts w:hint="eastAsia" w:ascii="宋体" w:hAnsi="宋体" w:cs="宋体"/>
                <w:color w:val="000000"/>
                <w:lang w:val="en-US" w:eastAsia="zh-CN"/>
              </w:rPr>
              <w:t>伍</w:t>
            </w:r>
            <w:r>
              <w:rPr>
                <w:rFonts w:ascii="宋体" w:hAnsi="宋体" w:eastAsia="宋体" w:cs="宋体"/>
                <w:color w:val="000000"/>
              </w:rPr>
              <w:t>仟元整（￥</w:t>
            </w:r>
            <w:r>
              <w:rPr>
                <w:rFonts w:hint="eastAsia" w:ascii="宋体" w:hAnsi="宋体" w:cs="宋体"/>
                <w:color w:val="000000"/>
                <w:lang w:val="en-US" w:eastAsia="zh-CN"/>
              </w:rPr>
              <w:t>5</w:t>
            </w:r>
            <w:r>
              <w:rPr>
                <w:rFonts w:ascii="宋体" w:hAnsi="宋体" w:eastAsia="宋体" w:cs="宋体"/>
                <w:color w:val="000000"/>
              </w:rPr>
              <w:t>000.00元）</w:t>
            </w:r>
          </w:p>
          <w:p w14:paraId="2A96C5B1">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2.交纳时间：以到账时间为准，由于转账当天不一定能够到账，为避免因保证金未到账而导致采购被拒绝，建议提前转账；缴纳截止时间以响应文件递交截止时间为准。</w:t>
            </w:r>
          </w:p>
          <w:p w14:paraId="20F965C6">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lang w:eastAsia="zh-CN"/>
              </w:rPr>
              <w:t>响应保证金</w:t>
            </w:r>
            <w:r>
              <w:rPr>
                <w:rFonts w:hint="eastAsia" w:ascii="宋体" w:hAnsi="宋体" w:cs="宋体"/>
                <w:color w:val="000000"/>
                <w:szCs w:val="21"/>
              </w:rPr>
              <w:t>的交纳形式：对公转账或电汇。</w:t>
            </w:r>
          </w:p>
          <w:p w14:paraId="3EE772F1">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4.指定账户名称：开瑞项目管理有限公司</w:t>
            </w:r>
          </w:p>
          <w:p w14:paraId="3082A0FC">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账  号：129905724510703</w:t>
            </w:r>
          </w:p>
          <w:p w14:paraId="0778EDF7">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开户行：招商银行股份有限公司西安分行营业部</w:t>
            </w:r>
          </w:p>
          <w:p w14:paraId="5BA777A2">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转账事由：【项目编号（或项目名称）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w:t>
            </w:r>
          </w:p>
          <w:p w14:paraId="3D5532EA">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注：供应商必须将上述转账事由填写清楚，否则所带来的不利后果由其自行承担。</w:t>
            </w:r>
          </w:p>
          <w:p w14:paraId="3890BB58">
            <w:pPr>
              <w:pStyle w:val="38"/>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注：①对公转账、电汇时必须写明【项目编号（或项目名称）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】等字样，便于采购代理机构查询登记。</w:t>
            </w:r>
          </w:p>
          <w:p w14:paraId="004E9E22">
            <w:pPr>
              <w:pStyle w:val="38"/>
              <w:adjustRightInd w:val="0"/>
              <w:snapToGrid w:val="0"/>
              <w:spacing w:after="0" w:line="360" w:lineRule="auto"/>
              <w:ind w:firstLine="0" w:firstLineChars="0"/>
              <w:rPr>
                <w:color w:val="000000"/>
              </w:rPr>
            </w:pPr>
            <w:r>
              <w:rPr>
                <w:rFonts w:hint="eastAsia" w:ascii="宋体" w:hAnsi="宋体" w:cs="宋体"/>
                <w:color w:val="000000"/>
                <w:szCs w:val="21"/>
              </w:rPr>
              <w:t>②</w:t>
            </w:r>
            <w:r>
              <w:rPr>
                <w:rFonts w:hint="eastAsia" w:ascii="宋体" w:hAnsi="宋体" w:cs="宋体"/>
                <w:color w:val="000000"/>
                <w:szCs w:val="21"/>
                <w:lang w:eastAsia="zh-CN"/>
              </w:rPr>
              <w:t>响应保证金</w:t>
            </w:r>
            <w:r>
              <w:rPr>
                <w:rFonts w:hint="eastAsia" w:ascii="宋体" w:hAnsi="宋体" w:cs="宋体"/>
                <w:color w:val="000000"/>
                <w:szCs w:val="21"/>
              </w:rPr>
              <w:t>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w:t>
            </w:r>
            <w:r>
              <w:rPr>
                <w:rFonts w:hint="eastAsia" w:ascii="宋体" w:hAnsi="宋体" w:cs="宋体"/>
                <w:color w:val="000000"/>
                <w:szCs w:val="21"/>
                <w:lang w:eastAsia="zh-CN"/>
              </w:rPr>
              <w:t>响应保证金</w:t>
            </w:r>
            <w:r>
              <w:rPr>
                <w:rFonts w:hint="eastAsia" w:ascii="宋体" w:hAnsi="宋体" w:cs="宋体"/>
                <w:color w:val="000000"/>
                <w:szCs w:val="21"/>
              </w:rPr>
              <w:t>，如果在本文件规定的交纳截止时间之前未能收到</w:t>
            </w:r>
            <w:r>
              <w:rPr>
                <w:rFonts w:hint="eastAsia" w:ascii="宋体" w:hAnsi="宋体" w:cs="宋体"/>
                <w:color w:val="000000"/>
                <w:szCs w:val="21"/>
                <w:lang w:eastAsia="zh-CN"/>
              </w:rPr>
              <w:t>响应保证金</w:t>
            </w:r>
            <w:r>
              <w:rPr>
                <w:rFonts w:hint="eastAsia" w:ascii="宋体" w:hAnsi="宋体" w:cs="宋体"/>
                <w:color w:val="000000"/>
                <w:szCs w:val="21"/>
              </w:rPr>
              <w:t>，则视为未响应本磋商文件要求，按照为无效响应处理，不得进入后续评审环节。</w:t>
            </w:r>
          </w:p>
        </w:tc>
      </w:tr>
      <w:tr w14:paraId="4928D438">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0BDF25D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noWrap w:val="0"/>
            <w:vAlign w:val="center"/>
          </w:tcPr>
          <w:p w14:paraId="17D9BF3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p w14:paraId="06A6194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2AD2BA2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C97991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2142725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审查内容及依据</w:t>
            </w:r>
          </w:p>
        </w:tc>
      </w:tr>
      <w:tr w14:paraId="5B21507F">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0618A32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8807B6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46B9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5181215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符合《中华人民共和国政府采购法》第二十二条的规定</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3B3B4B0">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194647AE">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B15697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CA835B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8A039B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0F00707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供应商为向采购人提供服务的法人或其他组织</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656AD41A">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7D840CB9">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A27B5F8">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7F50745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0BBB8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9F0C49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4E3E207B">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22A0BB4A">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noWrap w:val="0"/>
            <w:vAlign w:val="center"/>
          </w:tcPr>
          <w:p w14:paraId="4E98B28D">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9713FAF">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AB3F9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6B059E65">
            <w:pPr>
              <w:adjustRightInd w:val="0"/>
              <w:snapToGrid w:val="0"/>
              <w:spacing w:line="360" w:lineRule="auto"/>
              <w:jc w:val="both"/>
              <w:rPr>
                <w:rFonts w:hint="eastAsia" w:ascii="宋体" w:hAnsi="宋体" w:eastAsia="宋体" w:cs="宋体"/>
                <w:color w:val="000000"/>
                <w:szCs w:val="21"/>
                <w:lang w:eastAsia="zh-CN"/>
              </w:rPr>
            </w:pPr>
            <w:r>
              <w:rPr>
                <w:rFonts w:hint="eastAsia" w:ascii="宋体" w:hAnsi="宋体" w:cs="宋体"/>
                <w:color w:val="000000"/>
                <w:szCs w:val="21"/>
                <w:lang w:eastAsia="zh-CN"/>
              </w:rPr>
              <w:t>单位负责人为同一人或者存在直接控股、管理关系的不同供应商，不得参加同一合同项下的政府采购活动</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35D82A2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71A9ABE5">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0BE8B98A">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9D69465">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47B7B191">
            <w:pPr>
              <w:adjustRightInd w:val="0"/>
              <w:snapToGrid w:val="0"/>
              <w:spacing w:line="360" w:lineRule="auto"/>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5</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6EE221C8">
            <w:pPr>
              <w:adjustRightInd w:val="0"/>
              <w:snapToGrid w:val="0"/>
              <w:spacing w:line="360" w:lineRule="auto"/>
              <w:jc w:val="center"/>
              <w:rPr>
                <w:rFonts w:hint="eastAsia" w:ascii="宋体" w:hAnsi="宋体" w:eastAsia="宋体" w:cs="宋体"/>
                <w:color w:val="000000"/>
                <w:kern w:val="0"/>
                <w:szCs w:val="21"/>
                <w:highlight w:val="none"/>
                <w:lang w:eastAsia="zh-CN"/>
              </w:rPr>
            </w:pPr>
            <w:r>
              <w:rPr>
                <w:rFonts w:hint="eastAsia"/>
                <w:color w:val="000000"/>
                <w:highlight w:val="none"/>
                <w:shd w:val="clear" w:color="auto" w:fill="FFFFFF"/>
                <w:lang w:eastAsia="zh-CN"/>
              </w:rPr>
              <w:t>本项目专门面向中小企业。</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C3A3186">
            <w:pPr>
              <w:adjustRightInd w:val="0"/>
              <w:snapToGrid w:val="0"/>
              <w:spacing w:line="360" w:lineRule="auto"/>
              <w:jc w:val="left"/>
              <w:rPr>
                <w:rFonts w:hint="eastAsia" w:ascii="宋体" w:hAnsi="宋体" w:cs="宋体"/>
                <w:color w:val="000000"/>
                <w:kern w:val="2"/>
                <w:sz w:val="21"/>
                <w:szCs w:val="21"/>
                <w:highlight w:val="none"/>
                <w:lang w:val="en-US" w:eastAsia="zh-CN" w:bidi="ar-SA"/>
              </w:rPr>
            </w:pPr>
            <w:r>
              <w:rPr>
                <w:rFonts w:hint="eastAsia" w:ascii="宋体" w:hAnsi="宋体" w:cs="宋体"/>
                <w:color w:val="000000"/>
                <w:szCs w:val="21"/>
                <w:highlight w:val="none"/>
              </w:rPr>
              <w:t>评审依据：供应商应在响应文件中附符合本条要求的</w:t>
            </w:r>
            <w:r>
              <w:rPr>
                <w:rFonts w:hint="eastAsia" w:ascii="宋体" w:hAnsi="宋体" w:cs="宋体"/>
                <w:color w:val="000000"/>
                <w:szCs w:val="21"/>
                <w:highlight w:val="none"/>
                <w:lang w:val="en-US" w:eastAsia="zh-CN"/>
              </w:rPr>
              <w:t>中小企业声明函</w:t>
            </w:r>
            <w:r>
              <w:rPr>
                <w:rFonts w:hint="eastAsia" w:ascii="宋体" w:hAnsi="宋体" w:cs="宋体"/>
                <w:color w:val="000000"/>
                <w:szCs w:val="21"/>
                <w:highlight w:val="none"/>
              </w:rPr>
              <w:t xml:space="preserve">，格式及内容详见本项目竞争性磋商文件“第六章 响应文件格式” </w:t>
            </w:r>
          </w:p>
        </w:tc>
      </w:tr>
      <w:tr w14:paraId="08C4744D">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5E45F6F6">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bottom w:val="single" w:color="auto" w:sz="4" w:space="0"/>
              <w:right w:val="single" w:color="auto" w:sz="4" w:space="0"/>
            </w:tcBorders>
            <w:noWrap w:val="0"/>
            <w:vAlign w:val="center"/>
          </w:tcPr>
          <w:p w14:paraId="76ECA814">
            <w:pPr>
              <w:adjustRightInd w:val="0"/>
              <w:snapToGrid w:val="0"/>
              <w:spacing w:line="360" w:lineRule="auto"/>
              <w:jc w:val="center"/>
              <w:rPr>
                <w:rFonts w:hint="eastAsia"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C0A4CD2">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备注：</w:t>
            </w:r>
          </w:p>
          <w:p w14:paraId="591C087A">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56799AB5">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②信用信息查询渠道：“信用中国”、“中国执行信息公开网”、“中国政府采购”、“国家企业信用信息公示系统”为供应商信用信息查询渠道。</w:t>
            </w:r>
          </w:p>
          <w:p w14:paraId="25B5842B">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w:t>
            </w:r>
          </w:p>
          <w:p w14:paraId="5E2F6372">
            <w:pPr>
              <w:adjustRightInd w:val="0"/>
              <w:snapToGrid w:val="0"/>
              <w:spacing w:line="360" w:lineRule="auto"/>
              <w:jc w:val="left"/>
              <w:rPr>
                <w:rFonts w:hint="eastAsia" w:ascii="宋体" w:hAnsi="宋体" w:cs="宋体"/>
                <w:b/>
                <w:bCs/>
                <w:color w:val="000000"/>
                <w:sz w:val="24"/>
                <w:szCs w:val="24"/>
              </w:rPr>
            </w:pP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4 \* GB3 \* MERGEFORMAT </w:instrText>
            </w:r>
            <w:r>
              <w:rPr>
                <w:rFonts w:hint="eastAsia" w:ascii="宋体" w:hAnsi="宋体" w:cs="宋体"/>
                <w:b/>
                <w:bCs/>
                <w:color w:val="000000"/>
                <w:szCs w:val="21"/>
              </w:rPr>
              <w:fldChar w:fldCharType="separate"/>
            </w:r>
            <w:r>
              <w:rPr>
                <w:rFonts w:hint="eastAsia" w:ascii="宋体" w:hAnsi="宋体" w:cs="宋体"/>
                <w:b/>
                <w:bCs/>
                <w:color w:val="000000"/>
                <w:szCs w:val="21"/>
              </w:rPr>
              <w:t>④</w:t>
            </w:r>
            <w:r>
              <w:rPr>
                <w:rFonts w:hint="eastAsia" w:ascii="宋体" w:hAnsi="宋体" w:cs="宋体"/>
                <w:b/>
                <w:bCs/>
                <w:color w:val="000000"/>
                <w:szCs w:val="21"/>
              </w:rPr>
              <w:fldChar w:fldCharType="end"/>
            </w:r>
            <w:r>
              <w:rPr>
                <w:rFonts w:hint="eastAsia" w:ascii="宋体" w:hAnsi="宋体" w:cs="宋体"/>
                <w:b/>
                <w:bCs/>
                <w:color w:val="000000"/>
                <w:szCs w:val="21"/>
              </w:rPr>
              <w:t>磋商小组或者采购人有权在评审过程中证明材料。对供应商提供的证明材料进行复核，若发现复核结果与供应商提供的证明材料不符的，供应商自行承担相关不利风险。</w:t>
            </w:r>
          </w:p>
        </w:tc>
      </w:tr>
      <w:tr w14:paraId="7ED36AC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146F2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39ACFE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3253568">
            <w:pPr>
              <w:adjustRightInd w:val="0"/>
              <w:snapToGrid w:val="0"/>
              <w:spacing w:line="360" w:lineRule="auto"/>
              <w:rPr>
                <w:rFonts w:hint="eastAsia" w:ascii="宋体" w:hAnsi="宋体" w:cs="宋体"/>
                <w:color w:val="000000"/>
                <w:szCs w:val="21"/>
              </w:rPr>
            </w:pPr>
            <w:r>
              <w:rPr>
                <w:rFonts w:hint="eastAsia" w:ascii="宋体" w:hAnsi="宋体" w:eastAsia="宋体" w:cs="宋体"/>
                <w:sz w:val="21"/>
                <w:szCs w:val="21"/>
                <w:highlight w:val="none"/>
                <w:lang w:val="en-US" w:eastAsia="zh-CN"/>
              </w:rPr>
              <w:t>2026年9月30日9时30分</w:t>
            </w:r>
            <w:r>
              <w:rPr>
                <w:rFonts w:hint="eastAsia" w:ascii="宋体" w:hAnsi="宋体" w:cs="宋体"/>
                <w:color w:val="000000"/>
                <w:szCs w:val="21"/>
              </w:rPr>
              <w:t>（北京时间）</w:t>
            </w:r>
          </w:p>
        </w:tc>
      </w:tr>
      <w:tr w14:paraId="6C7C2793">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F102E7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8A5F1D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510AC30">
            <w:pPr>
              <w:adjustRightInd w:val="0"/>
              <w:snapToGrid w:val="0"/>
              <w:spacing w:line="360" w:lineRule="auto"/>
              <w:rPr>
                <w:rFonts w:ascii="宋体" w:hAnsi="宋体" w:cs="宋体"/>
                <w:color w:val="000000"/>
                <w:szCs w:val="21"/>
              </w:rPr>
            </w:pPr>
            <w:r>
              <w:rPr>
                <w:rFonts w:hint="eastAsia" w:ascii="宋体" w:hAnsi="宋体" w:cs="宋体"/>
                <w:color w:val="000000"/>
                <w:szCs w:val="21"/>
              </w:rPr>
              <w:t>陕西省西安市莲湖区高新二路一号招商银行大厦19层</w:t>
            </w:r>
          </w:p>
        </w:tc>
      </w:tr>
      <w:tr w14:paraId="34A042AE">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F0E52E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F2E44E5">
            <w:pPr>
              <w:adjustRightInd w:val="0"/>
              <w:snapToGrid w:val="0"/>
              <w:spacing w:line="360" w:lineRule="auto"/>
              <w:jc w:val="center"/>
              <w:rPr>
                <w:color w:val="000000"/>
                <w:highlight w:val="none"/>
              </w:rPr>
            </w:pPr>
            <w:r>
              <w:rPr>
                <w:rFonts w:hint="eastAsia"/>
                <w:color w:val="000000"/>
                <w:highlight w:val="none"/>
              </w:rPr>
              <w:t>磋商程序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C7B671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本次磋商项目原则上采用二次报价。</w:t>
            </w:r>
          </w:p>
          <w:p w14:paraId="48F78D1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（1）</w:t>
            </w:r>
            <w:r>
              <w:rPr>
                <w:rFonts w:hint="eastAsia" w:ascii="宋体" w:hAnsi="宋体" w:eastAsia="宋体" w:cs="宋体"/>
                <w:sz w:val="21"/>
                <w:szCs w:val="21"/>
                <w:highlight w:val="none"/>
                <w:lang w:val="en-US" w:eastAsia="zh-CN"/>
              </w:rPr>
              <w:t>宣读本项目基本情况</w:t>
            </w:r>
          </w:p>
          <w:p w14:paraId="3BE4DDF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（2）</w:t>
            </w:r>
            <w:r>
              <w:rPr>
                <w:rFonts w:hint="eastAsia" w:ascii="宋体" w:hAnsi="宋体" w:eastAsia="宋体" w:cs="宋体"/>
                <w:sz w:val="21"/>
                <w:szCs w:val="21"/>
                <w:highlight w:val="none"/>
                <w:lang w:val="en-US" w:eastAsia="zh-CN"/>
              </w:rPr>
              <w:t>宣读会议纪律</w:t>
            </w:r>
          </w:p>
          <w:p w14:paraId="69088DF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核验响应文件密封情况</w:t>
            </w:r>
          </w:p>
          <w:p w14:paraId="7D3FDF0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开启响应文件</w:t>
            </w:r>
          </w:p>
          <w:p w14:paraId="7F655C9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依次进行磋商、第二次商务报价。</w:t>
            </w:r>
            <w:r>
              <w:rPr>
                <w:rFonts w:hint="eastAsia" w:ascii="宋体" w:hAnsi="宋体" w:eastAsia="宋体" w:cs="宋体"/>
                <w:sz w:val="21"/>
                <w:szCs w:val="21"/>
                <w:highlight w:val="none"/>
                <w:lang w:val="en-US" w:eastAsia="en-US"/>
              </w:rPr>
              <w:t>对有效供应商要求提交第二次商务报价，在磋商小组未对磋商文件进行实质性修改的情况下，第二次报价不得超过一次报价</w:t>
            </w:r>
            <w:r>
              <w:rPr>
                <w:rFonts w:hint="eastAsia" w:ascii="宋体" w:hAnsi="宋体" w:eastAsia="宋体" w:cs="宋体"/>
                <w:sz w:val="21"/>
                <w:szCs w:val="21"/>
                <w:highlight w:val="none"/>
                <w:lang w:val="en-US" w:eastAsia="zh-CN"/>
              </w:rPr>
              <w:t>。</w:t>
            </w:r>
          </w:p>
          <w:p w14:paraId="73E68EE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（6）宣布供应商离场</w:t>
            </w:r>
          </w:p>
          <w:p w14:paraId="1F3DE54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color w:val="000000"/>
                <w:szCs w:val="21"/>
                <w:highlight w:val="none"/>
              </w:rPr>
            </w:pPr>
            <w:r>
              <w:rPr>
                <w:rFonts w:hint="eastAsia" w:ascii="宋体" w:hAnsi="宋体" w:eastAsia="宋体" w:cs="宋体"/>
                <w:sz w:val="21"/>
                <w:szCs w:val="21"/>
                <w:highlight w:val="none"/>
                <w:lang w:val="en-US" w:eastAsia="en-US"/>
              </w:rPr>
              <w:t>注：在本项目</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过程中，磋商小组可根据本</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文件要求和磋商情况实质性变动服务要求中的技术、服务要求以及合同草案条款，第二次商务报价为本磋商活动最终报价。根据相关规定，所有报价在公示前均不公开宣布。</w:t>
            </w:r>
          </w:p>
        </w:tc>
      </w:tr>
      <w:tr w14:paraId="2CD7109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162AE2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63A225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磋商小组</w:t>
            </w:r>
          </w:p>
          <w:p w14:paraId="7301396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33ED4C3">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32E26E2">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磋商小组确定方式：评审前24小时内在法律认可的专家库中随机抽取。</w:t>
            </w:r>
          </w:p>
        </w:tc>
      </w:tr>
      <w:tr w14:paraId="6A027286">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7C680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62D552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7CD6CEA">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是否授权磋商小组确定成交供应商：</w:t>
            </w:r>
          </w:p>
          <w:p w14:paraId="7BD765CD">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  ☑否</w:t>
            </w:r>
          </w:p>
          <w:p w14:paraId="422EE39C">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0F9E6B69">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noWrap w:val="0"/>
            <w:vAlign w:val="center"/>
          </w:tcPr>
          <w:p w14:paraId="5134F2C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noWrap w:val="0"/>
            <w:vAlign w:val="center"/>
          </w:tcPr>
          <w:p w14:paraId="2C9599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noWrap w:val="0"/>
            <w:vAlign w:val="center"/>
          </w:tcPr>
          <w:p w14:paraId="5B1DE97B">
            <w:pPr>
              <w:adjustRightInd w:val="0"/>
              <w:snapToGrid w:val="0"/>
              <w:spacing w:line="360" w:lineRule="auto"/>
              <w:rPr>
                <w:rFonts w:hint="eastAsia" w:ascii="宋体" w:hAnsi="宋体" w:cs="宋体"/>
                <w:color w:val="000000"/>
              </w:rPr>
            </w:pPr>
            <w:r>
              <w:rPr>
                <w:rFonts w:hint="eastAsia" w:ascii="宋体" w:hAnsi="宋体" w:cs="宋体"/>
                <w:color w:val="000000"/>
                <w:lang w:val="en-US" w:eastAsia="zh-CN"/>
              </w:rPr>
              <w:t>不要求</w:t>
            </w:r>
          </w:p>
        </w:tc>
      </w:tr>
      <w:tr w14:paraId="48EF727F">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E708CC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5E336A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需要补充的</w:t>
            </w:r>
          </w:p>
          <w:p w14:paraId="32F23C0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C7496A6">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1.本项目采购预算：</w:t>
            </w:r>
            <w:r>
              <w:rPr>
                <w:rFonts w:hint="eastAsia" w:ascii="宋体" w:hAnsi="宋体" w:cs="宋体"/>
                <w:color w:val="000000"/>
                <w:lang w:eastAsia="zh-CN"/>
              </w:rPr>
              <w:t>300000.00</w:t>
            </w:r>
            <w:r>
              <w:rPr>
                <w:rFonts w:ascii="宋体" w:hAnsi="宋体" w:eastAsia="宋体" w:cs="宋体"/>
                <w:color w:val="000000"/>
              </w:rPr>
              <w:t>元；</w:t>
            </w:r>
          </w:p>
          <w:p w14:paraId="2819CF97">
            <w:pPr>
              <w:adjustRightInd w:val="0"/>
              <w:snapToGrid w:val="0"/>
              <w:spacing w:line="360" w:lineRule="auto"/>
              <w:ind w:firstLine="210" w:firstLineChars="100"/>
              <w:rPr>
                <w:rFonts w:hint="eastAsia" w:ascii="宋体" w:hAnsi="宋体" w:cs="宋体"/>
                <w:color w:val="000000"/>
                <w:szCs w:val="21"/>
              </w:rPr>
            </w:pPr>
            <w:r>
              <w:rPr>
                <w:rFonts w:hint="eastAsia" w:ascii="宋体" w:hAnsi="宋体" w:cs="宋体"/>
                <w:color w:val="000000"/>
                <w:szCs w:val="21"/>
              </w:rPr>
              <w:t>最高限价：</w:t>
            </w:r>
            <w:r>
              <w:rPr>
                <w:rFonts w:hint="eastAsia" w:ascii="宋体" w:hAnsi="宋体" w:cs="宋体"/>
                <w:color w:val="000000"/>
                <w:lang w:eastAsia="zh-CN"/>
              </w:rPr>
              <w:t>300000.00</w:t>
            </w:r>
            <w:r>
              <w:rPr>
                <w:rFonts w:ascii="宋体" w:hAnsi="宋体" w:eastAsia="宋体" w:cs="宋体"/>
                <w:color w:val="000000"/>
              </w:rPr>
              <w:t>元</w:t>
            </w:r>
          </w:p>
          <w:p w14:paraId="5CAB09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color w:val="000000"/>
                <w:szCs w:val="21"/>
              </w:rPr>
            </w:pPr>
            <w:r>
              <w:rPr>
                <w:rFonts w:hint="eastAsia" w:ascii="宋体" w:hAnsi="宋体" w:cs="宋体"/>
                <w:b/>
                <w:bCs/>
                <w:color w:val="000000"/>
                <w:szCs w:val="21"/>
              </w:rPr>
              <w:t>备注：各供应商磋商报价不得超过上述最高限价，否则将按照无效磋商处理。</w:t>
            </w:r>
          </w:p>
          <w:p w14:paraId="576C393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2.本项目标的所属软件和信息技术服务业；</w:t>
            </w:r>
          </w:p>
          <w:p w14:paraId="5E62470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17B621A3">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color w:val="000000"/>
                <w:szCs w:val="21"/>
              </w:rPr>
            </w:pPr>
            <w:r>
              <w:rPr>
                <w:rFonts w:hint="eastAsia" w:ascii="宋体" w:hAnsi="宋体" w:cs="宋体"/>
                <w:color w:val="000000"/>
                <w:szCs w:val="21"/>
              </w:rPr>
              <w:t>4.</w:t>
            </w:r>
            <w:r>
              <w:rPr>
                <w:rFonts w:hint="eastAsia" w:ascii="宋体" w:hAnsi="宋体" w:eastAsia="宋体" w:cs="宋体"/>
                <w:sz w:val="21"/>
                <w:szCs w:val="21"/>
                <w:highlight w:val="none"/>
                <w:lang w:val="en-US" w:eastAsia="zh-CN"/>
              </w:rPr>
              <w:t>确定成交供应商后3日内，由成交供应商参照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服务收费管理暂行办法》（计价格</w:t>
            </w:r>
            <w:r>
              <w:rPr>
                <w:rFonts w:hint="eastAsia" w:ascii="宋体" w:hAnsi="宋体" w:eastAsia="宋体" w:cs="宋体"/>
                <w:sz w:val="21"/>
                <w:szCs w:val="21"/>
                <w:highlight w:val="none"/>
                <w:lang w:eastAsia="zh-CN"/>
              </w:rPr>
              <w:t>〔2002〕1980号</w:t>
            </w:r>
            <w:r>
              <w:rPr>
                <w:rFonts w:hint="eastAsia" w:ascii="宋体" w:hAnsi="宋体" w:eastAsia="宋体" w:cs="宋体"/>
                <w:sz w:val="21"/>
                <w:szCs w:val="21"/>
                <w:highlight w:val="none"/>
              </w:rPr>
              <w:t>）和</w:t>
            </w:r>
            <w:r>
              <w:rPr>
                <w:rFonts w:hint="eastAsia" w:ascii="宋体" w:hAnsi="宋体" w:eastAsia="宋体" w:cs="宋体"/>
                <w:sz w:val="21"/>
                <w:szCs w:val="21"/>
                <w:highlight w:val="none"/>
                <w:lang w:eastAsia="zh-CN"/>
              </w:rPr>
              <w:t>国家发展和改革委员会</w:t>
            </w:r>
            <w:r>
              <w:rPr>
                <w:rFonts w:hint="eastAsia" w:ascii="宋体" w:hAnsi="宋体" w:eastAsia="宋体" w:cs="宋体"/>
                <w:sz w:val="21"/>
                <w:szCs w:val="21"/>
                <w:highlight w:val="none"/>
              </w:rPr>
              <w:t>办公厅颁发的《关于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服务收费有关问题的通知》（发改办价格</w:t>
            </w:r>
            <w:r>
              <w:rPr>
                <w:rFonts w:hint="eastAsia" w:ascii="宋体" w:hAnsi="宋体" w:eastAsia="宋体" w:cs="宋体"/>
                <w:sz w:val="21"/>
                <w:szCs w:val="21"/>
                <w:highlight w:val="none"/>
                <w:lang w:eastAsia="zh-CN"/>
              </w:rPr>
              <w:t>〔2003〕857号</w:t>
            </w:r>
            <w:r>
              <w:rPr>
                <w:rFonts w:hint="eastAsia" w:ascii="宋体" w:hAnsi="宋体" w:eastAsia="宋体" w:cs="宋体"/>
                <w:sz w:val="21"/>
                <w:szCs w:val="21"/>
                <w:highlight w:val="none"/>
              </w:rPr>
              <w:t>）的有关规定标准计取，向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03450B2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47BBC95A">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10584C03">
            <w:pPr>
              <w:adjustRightInd w:val="0"/>
              <w:snapToGrid w:val="0"/>
              <w:spacing w:line="360" w:lineRule="auto"/>
              <w:rPr>
                <w:rFonts w:hint="eastAsia"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17"/>
      <w:bookmarkEnd w:id="18"/>
      <w:bookmarkEnd w:id="19"/>
      <w:bookmarkEnd w:id="20"/>
    </w:tbl>
    <w:p w14:paraId="7869E263">
      <w:pPr>
        <w:adjustRightInd w:val="0"/>
        <w:snapToGrid w:val="0"/>
        <w:spacing w:before="0" w:after="0" w:line="360" w:lineRule="auto"/>
        <w:jc w:val="center"/>
        <w:outlineLvl w:val="9"/>
        <w:rPr>
          <w:rFonts w:hint="eastAsia" w:ascii="宋体" w:hAnsi="宋体"/>
          <w:color w:val="000000"/>
        </w:rPr>
      </w:pPr>
      <w:bookmarkStart w:id="24" w:name="_Toc10563091"/>
      <w:bookmarkStart w:id="25" w:name="_Toc12377617"/>
      <w:bookmarkStart w:id="26" w:name="_Toc10563633"/>
      <w:bookmarkStart w:id="27" w:name="_Toc10621835"/>
      <w:r>
        <w:rPr>
          <w:rFonts w:hint="eastAsia" w:ascii="宋体" w:hAnsi="宋体"/>
          <w:color w:val="000000"/>
        </w:rPr>
        <w:br w:type="page"/>
      </w:r>
      <w:r>
        <w:rPr>
          <w:rFonts w:hint="eastAsia" w:ascii="黑体" w:hAnsi="黑体" w:eastAsia="黑体" w:cs="黑体"/>
          <w:b/>
          <w:bCs/>
          <w:color w:val="auto"/>
          <w:sz w:val="28"/>
          <w:szCs w:val="28"/>
          <w:highlight w:val="none"/>
        </w:rPr>
        <w:t>二、供应商须知</w:t>
      </w:r>
      <w:bookmarkEnd w:id="21"/>
      <w:bookmarkEnd w:id="24"/>
      <w:bookmarkEnd w:id="25"/>
      <w:bookmarkEnd w:id="26"/>
      <w:bookmarkEnd w:id="27"/>
    </w:p>
    <w:bookmarkEnd w:id="22"/>
    <w:bookmarkEnd w:id="23"/>
    <w:p w14:paraId="349D0DA8">
      <w:pPr>
        <w:adjustRightInd w:val="0"/>
        <w:snapToGrid w:val="0"/>
        <w:spacing w:line="360" w:lineRule="auto"/>
        <w:ind w:firstLine="482" w:firstLineChars="200"/>
        <w:rPr>
          <w:rFonts w:hint="eastAsia" w:ascii="宋体" w:hAnsi="宋体" w:cs="宋体"/>
          <w:b/>
          <w:color w:val="000000"/>
          <w:sz w:val="24"/>
          <w:szCs w:val="24"/>
        </w:rPr>
      </w:pPr>
      <w:bookmarkStart w:id="28" w:name="_Toc23014"/>
      <w:bookmarkStart w:id="29" w:name="_Toc10563098"/>
      <w:bookmarkStart w:id="30" w:name="_Toc12377624"/>
      <w:bookmarkStart w:id="31" w:name="_Toc10621842"/>
      <w:bookmarkStart w:id="32" w:name="_Toc10563640"/>
      <w:bookmarkStart w:id="33" w:name="_Toc511316288"/>
      <w:bookmarkStart w:id="34" w:name="_Toc13857"/>
      <w:bookmarkStart w:id="35" w:name="_Toc1459"/>
      <w:bookmarkStart w:id="36" w:name="_Toc504605093"/>
      <w:r>
        <w:rPr>
          <w:rFonts w:hint="eastAsia" w:ascii="宋体" w:hAnsi="宋体" w:cs="宋体"/>
          <w:b/>
          <w:color w:val="000000"/>
          <w:sz w:val="24"/>
          <w:szCs w:val="24"/>
        </w:rPr>
        <w:t>1.总则</w:t>
      </w:r>
    </w:p>
    <w:p w14:paraId="3E5AE478">
      <w:pPr>
        <w:adjustRightInd w:val="0"/>
        <w:snapToGrid w:val="0"/>
        <w:spacing w:line="360" w:lineRule="auto"/>
        <w:ind w:firstLine="480" w:firstLineChars="200"/>
        <w:rPr>
          <w:rFonts w:hint="eastAsia" w:ascii="宋体" w:hAnsi="宋体" w:cs="宋体"/>
          <w:color w:val="000000"/>
          <w:sz w:val="24"/>
          <w:szCs w:val="24"/>
        </w:rPr>
      </w:pPr>
      <w:bookmarkStart w:id="37" w:name="_Toc11972"/>
      <w:bookmarkStart w:id="38" w:name="_Toc144974498"/>
      <w:bookmarkStart w:id="39" w:name="_Toc152042306"/>
      <w:bookmarkStart w:id="40" w:name="_Toc179632547"/>
      <w:bookmarkStart w:id="41" w:name="_Toc152045530"/>
      <w:r>
        <w:rPr>
          <w:rFonts w:hint="eastAsia" w:ascii="宋体" w:hAnsi="宋体" w:cs="宋体"/>
          <w:color w:val="000000"/>
          <w:sz w:val="24"/>
          <w:szCs w:val="24"/>
        </w:rPr>
        <w:t>1.1 项目概况</w:t>
      </w:r>
      <w:bookmarkEnd w:id="37"/>
      <w:bookmarkEnd w:id="38"/>
      <w:bookmarkEnd w:id="39"/>
      <w:bookmarkEnd w:id="40"/>
      <w:bookmarkEnd w:id="41"/>
    </w:p>
    <w:p w14:paraId="75C7B3BF">
      <w:pPr>
        <w:adjustRightInd w:val="0"/>
        <w:snapToGrid w:val="0"/>
        <w:spacing w:line="360" w:lineRule="auto"/>
        <w:ind w:firstLine="480" w:firstLineChars="200"/>
        <w:rPr>
          <w:rFonts w:hint="eastAsia" w:ascii="宋体" w:hAnsi="宋体" w:cs="宋体"/>
          <w:color w:val="000000"/>
          <w:sz w:val="24"/>
          <w:szCs w:val="24"/>
        </w:rPr>
      </w:pPr>
      <w:bookmarkStart w:id="42"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2"/>
    </w:p>
    <w:p w14:paraId="2835A384">
      <w:pPr>
        <w:adjustRightInd w:val="0"/>
        <w:snapToGrid w:val="0"/>
        <w:spacing w:line="360" w:lineRule="auto"/>
        <w:ind w:firstLine="480" w:firstLineChars="200"/>
        <w:rPr>
          <w:rFonts w:hint="eastAsia" w:ascii="宋体" w:hAnsi="宋体" w:cs="宋体"/>
          <w:color w:val="000000"/>
          <w:sz w:val="24"/>
          <w:szCs w:val="24"/>
        </w:rPr>
      </w:pPr>
      <w:bookmarkStart w:id="43" w:name="_Toc14474"/>
      <w:r>
        <w:rPr>
          <w:rFonts w:hint="eastAsia" w:ascii="宋体" w:hAnsi="宋体" w:cs="宋体"/>
          <w:color w:val="000000"/>
          <w:sz w:val="24"/>
          <w:szCs w:val="24"/>
        </w:rPr>
        <w:t>1.1.2 采购人：详见“第一章 竞争性磋商公告”</w:t>
      </w:r>
      <w:bookmarkEnd w:id="43"/>
    </w:p>
    <w:p w14:paraId="6D009F9D">
      <w:pPr>
        <w:adjustRightInd w:val="0"/>
        <w:snapToGrid w:val="0"/>
        <w:spacing w:line="360" w:lineRule="auto"/>
        <w:ind w:firstLine="480" w:firstLineChars="200"/>
        <w:rPr>
          <w:rFonts w:hint="eastAsia" w:ascii="宋体" w:hAnsi="宋体" w:cs="宋体"/>
          <w:color w:val="000000"/>
          <w:sz w:val="24"/>
          <w:szCs w:val="24"/>
        </w:rPr>
      </w:pPr>
      <w:bookmarkStart w:id="44" w:name="_Toc30938"/>
      <w:r>
        <w:rPr>
          <w:rFonts w:hint="eastAsia" w:ascii="宋体" w:hAnsi="宋体" w:cs="宋体"/>
          <w:color w:val="000000"/>
          <w:sz w:val="24"/>
          <w:szCs w:val="24"/>
        </w:rPr>
        <w:t>1.1.3 采购代理机构：详见“第一章 竞争性磋商公告”</w:t>
      </w:r>
      <w:bookmarkEnd w:id="44"/>
    </w:p>
    <w:p w14:paraId="4AD96A61">
      <w:pPr>
        <w:adjustRightInd w:val="0"/>
        <w:snapToGrid w:val="0"/>
        <w:spacing w:line="360" w:lineRule="auto"/>
        <w:ind w:firstLine="480" w:firstLineChars="200"/>
        <w:rPr>
          <w:rFonts w:hint="eastAsia" w:ascii="宋体" w:hAnsi="宋体" w:cs="宋体"/>
          <w:color w:val="000000"/>
          <w:sz w:val="24"/>
          <w:szCs w:val="24"/>
        </w:rPr>
      </w:pPr>
      <w:bookmarkStart w:id="45" w:name="_Toc28187"/>
      <w:r>
        <w:rPr>
          <w:rFonts w:hint="eastAsia" w:ascii="宋体" w:hAnsi="宋体" w:cs="宋体"/>
          <w:color w:val="000000"/>
          <w:sz w:val="24"/>
          <w:szCs w:val="24"/>
        </w:rPr>
        <w:t>1.1.4 项目名称：详见“第一章 竞争性磋商公告”</w:t>
      </w:r>
      <w:bookmarkEnd w:id="45"/>
    </w:p>
    <w:p w14:paraId="681A8EAB">
      <w:pPr>
        <w:adjustRightInd w:val="0"/>
        <w:snapToGrid w:val="0"/>
        <w:spacing w:line="360" w:lineRule="auto"/>
        <w:ind w:firstLine="480" w:firstLineChars="200"/>
        <w:rPr>
          <w:rFonts w:hint="eastAsia" w:ascii="宋体" w:hAnsi="宋体" w:cs="宋体"/>
          <w:color w:val="000000"/>
          <w:sz w:val="24"/>
          <w:szCs w:val="24"/>
        </w:rPr>
      </w:pPr>
      <w:bookmarkStart w:id="46" w:name="_Toc4535"/>
      <w:r>
        <w:rPr>
          <w:rFonts w:hint="eastAsia" w:ascii="宋体" w:hAnsi="宋体" w:cs="宋体"/>
          <w:color w:val="000000"/>
          <w:sz w:val="24"/>
          <w:szCs w:val="24"/>
        </w:rPr>
        <w:t>1.1.5 服务地点：</w:t>
      </w:r>
      <w:bookmarkEnd w:id="46"/>
      <w:r>
        <w:rPr>
          <w:rFonts w:hint="eastAsia" w:ascii="宋体" w:hAnsi="宋体" w:cs="宋体"/>
          <w:color w:val="000000"/>
          <w:sz w:val="24"/>
          <w:szCs w:val="24"/>
        </w:rPr>
        <w:t>详见供应商须知前附表。</w:t>
      </w:r>
    </w:p>
    <w:p w14:paraId="09F1213C">
      <w:pPr>
        <w:adjustRightInd w:val="0"/>
        <w:snapToGrid w:val="0"/>
        <w:spacing w:line="360" w:lineRule="auto"/>
        <w:ind w:firstLine="480" w:firstLineChars="200"/>
        <w:rPr>
          <w:rFonts w:hint="eastAsia" w:ascii="宋体" w:hAnsi="宋体" w:cs="宋体"/>
          <w:color w:val="000000"/>
          <w:sz w:val="24"/>
          <w:szCs w:val="24"/>
        </w:rPr>
      </w:pPr>
      <w:bookmarkStart w:id="47" w:name="_Toc27387"/>
      <w:bookmarkStart w:id="48" w:name="_Toc152042307"/>
      <w:bookmarkStart w:id="49" w:name="_Toc144974499"/>
      <w:bookmarkStart w:id="50" w:name="_Toc152045531"/>
      <w:bookmarkStart w:id="51" w:name="_Toc179632548"/>
      <w:r>
        <w:rPr>
          <w:rFonts w:hint="eastAsia" w:ascii="宋体" w:hAnsi="宋体" w:cs="宋体"/>
          <w:color w:val="000000"/>
          <w:sz w:val="24"/>
          <w:szCs w:val="24"/>
        </w:rPr>
        <w:t>1.2 资金来源和落实情况</w:t>
      </w:r>
      <w:bookmarkEnd w:id="47"/>
      <w:bookmarkEnd w:id="48"/>
      <w:bookmarkEnd w:id="49"/>
      <w:bookmarkEnd w:id="50"/>
      <w:bookmarkEnd w:id="51"/>
    </w:p>
    <w:p w14:paraId="4C7DFC27">
      <w:pPr>
        <w:adjustRightInd w:val="0"/>
        <w:snapToGrid w:val="0"/>
        <w:spacing w:line="360" w:lineRule="auto"/>
        <w:ind w:firstLine="480" w:firstLineChars="200"/>
        <w:rPr>
          <w:rFonts w:hint="eastAsia" w:ascii="宋体" w:hAnsi="宋体" w:cs="宋体"/>
          <w:color w:val="000000"/>
          <w:sz w:val="24"/>
          <w:szCs w:val="24"/>
        </w:rPr>
      </w:pPr>
      <w:bookmarkStart w:id="52" w:name="_Toc26715"/>
      <w:r>
        <w:rPr>
          <w:rFonts w:hint="eastAsia" w:ascii="宋体" w:hAnsi="宋体" w:cs="宋体"/>
          <w:color w:val="000000"/>
          <w:sz w:val="24"/>
          <w:szCs w:val="24"/>
        </w:rPr>
        <w:t>1.2.1 资金来源：财政性资金</w:t>
      </w:r>
      <w:bookmarkEnd w:id="52"/>
      <w:r>
        <w:rPr>
          <w:rFonts w:hint="eastAsia" w:ascii="宋体" w:hAnsi="宋体" w:cs="宋体"/>
          <w:color w:val="000000"/>
          <w:sz w:val="24"/>
          <w:szCs w:val="24"/>
        </w:rPr>
        <w:t>。</w:t>
      </w:r>
    </w:p>
    <w:p w14:paraId="39BEFB35">
      <w:pPr>
        <w:adjustRightInd w:val="0"/>
        <w:snapToGrid w:val="0"/>
        <w:spacing w:line="360" w:lineRule="auto"/>
        <w:ind w:firstLine="480" w:firstLineChars="200"/>
        <w:rPr>
          <w:rFonts w:hint="eastAsia" w:ascii="宋体" w:hAnsi="宋体" w:cs="宋体"/>
          <w:color w:val="000000"/>
          <w:sz w:val="24"/>
          <w:szCs w:val="24"/>
        </w:rPr>
      </w:pPr>
      <w:bookmarkStart w:id="53" w:name="_Toc5223"/>
      <w:r>
        <w:rPr>
          <w:rFonts w:hint="eastAsia" w:ascii="宋体" w:hAnsi="宋体" w:cs="宋体"/>
          <w:color w:val="000000"/>
          <w:sz w:val="24"/>
          <w:szCs w:val="24"/>
        </w:rPr>
        <w:t>1.2.2 资金落实情况：已落实</w:t>
      </w:r>
      <w:bookmarkEnd w:id="53"/>
      <w:r>
        <w:rPr>
          <w:rFonts w:hint="eastAsia" w:ascii="宋体" w:hAnsi="宋体" w:cs="宋体"/>
          <w:color w:val="000000"/>
          <w:sz w:val="24"/>
          <w:szCs w:val="24"/>
        </w:rPr>
        <w:t>。</w:t>
      </w:r>
    </w:p>
    <w:p w14:paraId="4F267B6A">
      <w:pPr>
        <w:adjustRightInd w:val="0"/>
        <w:snapToGrid w:val="0"/>
        <w:spacing w:line="360" w:lineRule="auto"/>
        <w:ind w:firstLine="480" w:firstLineChars="200"/>
        <w:rPr>
          <w:rFonts w:hint="eastAsia" w:ascii="宋体" w:hAnsi="宋体" w:cs="宋体"/>
          <w:color w:val="000000"/>
          <w:sz w:val="24"/>
          <w:szCs w:val="24"/>
        </w:rPr>
      </w:pPr>
      <w:bookmarkStart w:id="54" w:name="_Toc9392"/>
      <w:bookmarkStart w:id="55" w:name="_Toc152045532"/>
      <w:bookmarkStart w:id="56" w:name="_Toc179632549"/>
      <w:bookmarkStart w:id="57" w:name="_Toc144974500"/>
      <w:bookmarkStart w:id="58" w:name="_Toc152042308"/>
      <w:r>
        <w:rPr>
          <w:rFonts w:hint="eastAsia" w:ascii="宋体" w:hAnsi="宋体" w:cs="宋体"/>
          <w:color w:val="000000"/>
          <w:sz w:val="24"/>
          <w:szCs w:val="24"/>
        </w:rPr>
        <w:t>1.3 采购范围、服务期限和质量要求</w:t>
      </w:r>
      <w:bookmarkEnd w:id="54"/>
      <w:bookmarkEnd w:id="55"/>
      <w:bookmarkEnd w:id="56"/>
      <w:bookmarkEnd w:id="57"/>
      <w:bookmarkEnd w:id="58"/>
    </w:p>
    <w:p w14:paraId="1EDFBF04">
      <w:pPr>
        <w:adjustRightInd w:val="0"/>
        <w:snapToGrid w:val="0"/>
        <w:spacing w:line="360" w:lineRule="auto"/>
        <w:ind w:firstLine="480" w:firstLineChars="200"/>
        <w:rPr>
          <w:rFonts w:hint="eastAsia" w:ascii="宋体" w:hAnsi="宋体" w:cs="宋体"/>
          <w:color w:val="000000"/>
          <w:sz w:val="24"/>
          <w:szCs w:val="24"/>
        </w:rPr>
      </w:pPr>
      <w:bookmarkStart w:id="59" w:name="_Toc29629"/>
      <w:r>
        <w:rPr>
          <w:rFonts w:hint="eastAsia" w:ascii="宋体" w:hAnsi="宋体" w:cs="宋体"/>
          <w:color w:val="000000"/>
          <w:sz w:val="24"/>
          <w:szCs w:val="24"/>
        </w:rPr>
        <w:t>1.3.1 采购范围：</w:t>
      </w:r>
      <w:bookmarkEnd w:id="59"/>
      <w:r>
        <w:rPr>
          <w:rFonts w:hint="eastAsia" w:ascii="宋体" w:hAnsi="宋体" w:cs="宋体"/>
          <w:color w:val="000000"/>
          <w:sz w:val="24"/>
          <w:szCs w:val="24"/>
        </w:rPr>
        <w:t>详见供应商须知前附表。</w:t>
      </w:r>
    </w:p>
    <w:p w14:paraId="22B79AAC">
      <w:pPr>
        <w:adjustRightInd w:val="0"/>
        <w:snapToGrid w:val="0"/>
        <w:spacing w:line="360" w:lineRule="auto"/>
        <w:ind w:firstLine="480" w:firstLineChars="200"/>
        <w:rPr>
          <w:rFonts w:hint="eastAsia" w:ascii="宋体" w:hAnsi="宋体" w:cs="宋体"/>
          <w:color w:val="000000"/>
          <w:sz w:val="24"/>
          <w:szCs w:val="24"/>
        </w:rPr>
      </w:pPr>
      <w:bookmarkStart w:id="60" w:name="_Toc3919"/>
      <w:r>
        <w:rPr>
          <w:rFonts w:hint="eastAsia" w:ascii="宋体" w:hAnsi="宋体" w:cs="宋体"/>
          <w:color w:val="000000"/>
          <w:sz w:val="24"/>
          <w:szCs w:val="24"/>
        </w:rPr>
        <w:t>1.3.2 服务期限：</w:t>
      </w:r>
      <w:bookmarkEnd w:id="60"/>
      <w:r>
        <w:rPr>
          <w:rFonts w:hint="eastAsia" w:ascii="宋体" w:hAnsi="宋体" w:cs="宋体"/>
          <w:color w:val="000000"/>
          <w:sz w:val="24"/>
          <w:szCs w:val="24"/>
        </w:rPr>
        <w:t>详见供应商须知前附表。</w:t>
      </w:r>
    </w:p>
    <w:p w14:paraId="7240119C">
      <w:pPr>
        <w:adjustRightInd w:val="0"/>
        <w:snapToGrid w:val="0"/>
        <w:spacing w:line="360" w:lineRule="auto"/>
        <w:ind w:firstLine="480" w:firstLineChars="200"/>
        <w:rPr>
          <w:rFonts w:hint="eastAsia" w:ascii="宋体" w:hAnsi="宋体" w:cs="宋体"/>
          <w:color w:val="000000"/>
          <w:sz w:val="24"/>
          <w:szCs w:val="24"/>
        </w:rPr>
      </w:pPr>
      <w:bookmarkStart w:id="61" w:name="_Toc18714"/>
      <w:r>
        <w:rPr>
          <w:rFonts w:hint="eastAsia" w:ascii="宋体" w:hAnsi="宋体" w:cs="宋体"/>
          <w:color w:val="000000"/>
          <w:sz w:val="24"/>
          <w:szCs w:val="24"/>
        </w:rPr>
        <w:t>1.3.3 质量要求：</w:t>
      </w:r>
      <w:bookmarkEnd w:id="61"/>
      <w:r>
        <w:rPr>
          <w:rFonts w:hint="eastAsia" w:ascii="宋体" w:hAnsi="宋体" w:cs="宋体"/>
          <w:color w:val="000000"/>
          <w:sz w:val="24"/>
          <w:szCs w:val="24"/>
        </w:rPr>
        <w:t>详见供应商须知前附表。</w:t>
      </w:r>
    </w:p>
    <w:p w14:paraId="1F8D71DB">
      <w:pPr>
        <w:adjustRightInd w:val="0"/>
        <w:snapToGrid w:val="0"/>
        <w:spacing w:line="360" w:lineRule="auto"/>
        <w:ind w:firstLine="480" w:firstLineChars="200"/>
        <w:rPr>
          <w:rFonts w:hint="eastAsia" w:ascii="宋体" w:hAnsi="宋体" w:cs="宋体"/>
          <w:color w:val="000000"/>
          <w:sz w:val="24"/>
          <w:szCs w:val="24"/>
        </w:rPr>
      </w:pPr>
      <w:bookmarkStart w:id="62" w:name="_Toc16930"/>
      <w:bookmarkStart w:id="63" w:name="_Toc179632550"/>
      <w:bookmarkStart w:id="64" w:name="_Toc152045533"/>
      <w:bookmarkStart w:id="65" w:name="_Toc144974501"/>
      <w:bookmarkStart w:id="66" w:name="_Toc152042309"/>
      <w:r>
        <w:rPr>
          <w:rFonts w:hint="eastAsia" w:ascii="宋体" w:hAnsi="宋体" w:cs="宋体"/>
          <w:color w:val="000000"/>
          <w:sz w:val="24"/>
          <w:szCs w:val="24"/>
        </w:rPr>
        <w:t>1.4 供应商资格要求</w:t>
      </w:r>
      <w:bookmarkEnd w:id="62"/>
      <w:bookmarkEnd w:id="63"/>
      <w:bookmarkEnd w:id="64"/>
      <w:bookmarkEnd w:id="65"/>
      <w:bookmarkEnd w:id="66"/>
    </w:p>
    <w:p w14:paraId="76E47400">
      <w:pPr>
        <w:adjustRightInd w:val="0"/>
        <w:snapToGrid w:val="0"/>
        <w:spacing w:line="360" w:lineRule="auto"/>
        <w:ind w:firstLine="480" w:firstLineChars="200"/>
        <w:rPr>
          <w:rFonts w:hint="eastAsia" w:ascii="宋体" w:hAnsi="宋体" w:cs="宋体"/>
          <w:color w:val="000000"/>
          <w:sz w:val="24"/>
          <w:szCs w:val="24"/>
        </w:rPr>
      </w:pPr>
      <w:bookmarkStart w:id="67" w:name="_Toc16382"/>
      <w:r>
        <w:rPr>
          <w:rFonts w:hint="eastAsia" w:ascii="宋体" w:hAnsi="宋体" w:cs="宋体"/>
          <w:color w:val="000000"/>
          <w:sz w:val="24"/>
          <w:szCs w:val="24"/>
        </w:rPr>
        <w:t>1.4.1</w:t>
      </w:r>
      <w:bookmarkEnd w:id="67"/>
      <w:r>
        <w:rPr>
          <w:rFonts w:hint="eastAsia" w:ascii="宋体" w:hAnsi="宋体" w:cs="宋体"/>
          <w:color w:val="000000"/>
          <w:sz w:val="24"/>
          <w:szCs w:val="24"/>
        </w:rPr>
        <w:t>供应商资质条件</w:t>
      </w:r>
      <w:bookmarkStart w:id="68" w:name="_Toc14078"/>
      <w:r>
        <w:rPr>
          <w:rFonts w:hint="eastAsia" w:ascii="宋体" w:hAnsi="宋体" w:cs="宋体"/>
          <w:color w:val="000000"/>
          <w:sz w:val="24"/>
          <w:szCs w:val="24"/>
        </w:rPr>
        <w:t>：</w:t>
      </w:r>
      <w:bookmarkEnd w:id="68"/>
      <w:r>
        <w:rPr>
          <w:rFonts w:hint="eastAsia" w:ascii="宋体" w:hAnsi="宋体" w:cs="宋体"/>
          <w:color w:val="000000"/>
          <w:sz w:val="24"/>
          <w:szCs w:val="24"/>
        </w:rPr>
        <w:t>详见“第一章 竞争性磋商公告”</w:t>
      </w:r>
    </w:p>
    <w:p w14:paraId="5D7B6872">
      <w:pPr>
        <w:adjustRightInd w:val="0"/>
        <w:snapToGrid w:val="0"/>
        <w:spacing w:line="360" w:lineRule="auto"/>
        <w:ind w:firstLine="480" w:firstLineChars="200"/>
        <w:rPr>
          <w:rFonts w:hint="eastAsia" w:ascii="宋体" w:hAnsi="宋体" w:cs="宋体"/>
          <w:color w:val="000000"/>
          <w:sz w:val="24"/>
          <w:szCs w:val="24"/>
        </w:rPr>
      </w:pPr>
      <w:bookmarkStart w:id="69" w:name="_Toc15859"/>
      <w:r>
        <w:rPr>
          <w:rFonts w:hint="eastAsia" w:ascii="宋体" w:hAnsi="宋体" w:cs="宋体"/>
          <w:color w:val="000000"/>
          <w:sz w:val="24"/>
          <w:szCs w:val="24"/>
        </w:rPr>
        <w:t>1.4.2 供应商不得存在下列情形之一，否则其磋商无效：</w:t>
      </w:r>
      <w:bookmarkEnd w:id="69"/>
    </w:p>
    <w:p w14:paraId="62F958DD">
      <w:pPr>
        <w:adjustRightInd w:val="0"/>
        <w:snapToGrid w:val="0"/>
        <w:spacing w:line="360" w:lineRule="auto"/>
        <w:ind w:firstLine="480" w:firstLineChars="200"/>
        <w:rPr>
          <w:rFonts w:hint="eastAsia" w:ascii="宋体" w:hAnsi="宋体" w:cs="宋体"/>
          <w:color w:val="000000"/>
          <w:sz w:val="24"/>
          <w:szCs w:val="24"/>
        </w:rPr>
      </w:pPr>
      <w:bookmarkStart w:id="70" w:name="_Toc27686"/>
      <w:r>
        <w:rPr>
          <w:rFonts w:hint="eastAsia" w:ascii="宋体" w:hAnsi="宋体" w:cs="宋体"/>
          <w:color w:val="000000"/>
          <w:sz w:val="24"/>
          <w:szCs w:val="24"/>
        </w:rPr>
        <w:t>（1）为采购人不具有独立法人资格的附属机构；</w:t>
      </w:r>
      <w:bookmarkEnd w:id="70"/>
      <w:r>
        <w:rPr>
          <w:rFonts w:hint="eastAsia" w:ascii="宋体" w:hAnsi="宋体" w:cs="宋体"/>
          <w:color w:val="000000"/>
          <w:sz w:val="24"/>
          <w:szCs w:val="24"/>
        </w:rPr>
        <w:t xml:space="preserve"> </w:t>
      </w:r>
    </w:p>
    <w:p w14:paraId="68031EF6">
      <w:pPr>
        <w:adjustRightInd w:val="0"/>
        <w:snapToGrid w:val="0"/>
        <w:spacing w:line="360" w:lineRule="auto"/>
        <w:ind w:firstLine="480" w:firstLineChars="200"/>
        <w:rPr>
          <w:rFonts w:hint="eastAsia" w:ascii="宋体" w:hAnsi="宋体" w:cs="宋体"/>
          <w:color w:val="000000"/>
          <w:sz w:val="24"/>
          <w:szCs w:val="24"/>
        </w:rPr>
      </w:pPr>
      <w:bookmarkStart w:id="71" w:name="_Toc17289"/>
      <w:r>
        <w:rPr>
          <w:rFonts w:hint="eastAsia" w:ascii="宋体" w:hAnsi="宋体" w:cs="宋体"/>
          <w:color w:val="000000"/>
          <w:sz w:val="24"/>
          <w:szCs w:val="24"/>
        </w:rPr>
        <w:t>（2）</w:t>
      </w:r>
      <w:bookmarkEnd w:id="71"/>
      <w:r>
        <w:rPr>
          <w:rFonts w:hint="eastAsia" w:ascii="宋体" w:hAnsi="宋体" w:cs="宋体"/>
          <w:color w:val="000000"/>
          <w:sz w:val="24"/>
          <w:szCs w:val="24"/>
        </w:rPr>
        <w:t>财产被接管或冻结的；</w:t>
      </w:r>
    </w:p>
    <w:p w14:paraId="0307C331">
      <w:pPr>
        <w:adjustRightInd w:val="0"/>
        <w:snapToGrid w:val="0"/>
        <w:spacing w:line="360" w:lineRule="auto"/>
        <w:ind w:firstLine="480" w:firstLineChars="200"/>
        <w:rPr>
          <w:rFonts w:hint="eastAsia" w:ascii="宋体" w:hAnsi="宋体" w:cs="宋体"/>
          <w:color w:val="000000"/>
          <w:sz w:val="24"/>
          <w:szCs w:val="24"/>
        </w:rPr>
      </w:pPr>
      <w:bookmarkStart w:id="72" w:name="_Toc21977"/>
      <w:r>
        <w:rPr>
          <w:rFonts w:hint="eastAsia" w:ascii="宋体" w:hAnsi="宋体" w:cs="宋体"/>
          <w:color w:val="000000"/>
          <w:sz w:val="24"/>
          <w:szCs w:val="24"/>
        </w:rPr>
        <w:t>（3）为本采购项目提供采购代理服务的；</w:t>
      </w:r>
      <w:bookmarkEnd w:id="72"/>
    </w:p>
    <w:p w14:paraId="74B521E9">
      <w:pPr>
        <w:adjustRightInd w:val="0"/>
        <w:snapToGrid w:val="0"/>
        <w:spacing w:line="360" w:lineRule="auto"/>
        <w:ind w:firstLine="480" w:firstLineChars="200"/>
        <w:rPr>
          <w:rFonts w:hint="eastAsia" w:ascii="宋体" w:hAnsi="宋体" w:cs="宋体"/>
          <w:color w:val="000000"/>
          <w:sz w:val="24"/>
          <w:szCs w:val="24"/>
        </w:rPr>
      </w:pPr>
      <w:bookmarkStart w:id="73" w:name="_Toc23085"/>
      <w:r>
        <w:rPr>
          <w:rFonts w:hint="eastAsia" w:ascii="宋体" w:hAnsi="宋体" w:cs="宋体"/>
          <w:color w:val="000000"/>
          <w:sz w:val="24"/>
          <w:szCs w:val="24"/>
        </w:rPr>
        <w:t>（4）与本采购项目的采购代理机构同为一个法定代表人的；</w:t>
      </w:r>
      <w:bookmarkEnd w:id="73"/>
      <w:r>
        <w:rPr>
          <w:rFonts w:hint="eastAsia" w:ascii="宋体" w:hAnsi="宋体" w:cs="宋体"/>
          <w:color w:val="000000"/>
          <w:sz w:val="24"/>
          <w:szCs w:val="24"/>
        </w:rPr>
        <w:t xml:space="preserve"> </w:t>
      </w:r>
    </w:p>
    <w:p w14:paraId="570E31F6">
      <w:pPr>
        <w:adjustRightInd w:val="0"/>
        <w:snapToGrid w:val="0"/>
        <w:spacing w:line="360" w:lineRule="auto"/>
        <w:ind w:firstLine="480" w:firstLineChars="200"/>
        <w:rPr>
          <w:rFonts w:hint="eastAsia" w:ascii="宋体" w:hAnsi="宋体" w:cs="宋体"/>
          <w:color w:val="000000"/>
          <w:sz w:val="24"/>
          <w:szCs w:val="24"/>
        </w:rPr>
      </w:pPr>
      <w:bookmarkStart w:id="74" w:name="_Toc19800"/>
      <w:r>
        <w:rPr>
          <w:rFonts w:hint="eastAsia" w:ascii="宋体" w:hAnsi="宋体" w:cs="宋体"/>
          <w:color w:val="000000"/>
          <w:sz w:val="24"/>
          <w:szCs w:val="24"/>
        </w:rPr>
        <w:t>（5）与本采购项目的采购代理机构相互控股或参股的；</w:t>
      </w:r>
      <w:bookmarkEnd w:id="74"/>
      <w:r>
        <w:rPr>
          <w:rFonts w:hint="eastAsia" w:ascii="宋体" w:hAnsi="宋体" w:cs="宋体"/>
          <w:color w:val="000000"/>
          <w:sz w:val="24"/>
          <w:szCs w:val="24"/>
        </w:rPr>
        <w:t xml:space="preserve"> </w:t>
      </w:r>
    </w:p>
    <w:p w14:paraId="10310012">
      <w:pPr>
        <w:adjustRightInd w:val="0"/>
        <w:snapToGrid w:val="0"/>
        <w:spacing w:line="360" w:lineRule="auto"/>
        <w:ind w:firstLine="480" w:firstLineChars="200"/>
        <w:rPr>
          <w:rFonts w:hint="eastAsia" w:ascii="宋体" w:hAnsi="宋体" w:cs="宋体"/>
          <w:color w:val="000000"/>
          <w:sz w:val="24"/>
          <w:szCs w:val="24"/>
        </w:rPr>
      </w:pPr>
      <w:bookmarkStart w:id="75" w:name="_Toc7576"/>
      <w:r>
        <w:rPr>
          <w:rFonts w:hint="eastAsia" w:ascii="宋体" w:hAnsi="宋体" w:cs="宋体"/>
          <w:color w:val="000000"/>
          <w:sz w:val="24"/>
          <w:szCs w:val="24"/>
        </w:rPr>
        <w:t>（6）与本采购项目的采购代理机构相互任职或工作的；</w:t>
      </w:r>
      <w:bookmarkEnd w:id="75"/>
    </w:p>
    <w:p w14:paraId="5F511CB8">
      <w:pPr>
        <w:adjustRightInd w:val="0"/>
        <w:snapToGrid w:val="0"/>
        <w:spacing w:line="360" w:lineRule="auto"/>
        <w:ind w:firstLine="480" w:firstLineChars="200"/>
        <w:rPr>
          <w:rFonts w:hint="eastAsia" w:ascii="宋体" w:hAnsi="宋体" w:cs="宋体"/>
          <w:color w:val="000000"/>
          <w:sz w:val="24"/>
          <w:szCs w:val="24"/>
        </w:rPr>
      </w:pPr>
      <w:bookmarkStart w:id="76" w:name="_Toc28929"/>
      <w:r>
        <w:rPr>
          <w:rFonts w:hint="eastAsia" w:ascii="宋体" w:hAnsi="宋体" w:cs="宋体"/>
          <w:color w:val="000000"/>
          <w:sz w:val="24"/>
          <w:szCs w:val="24"/>
        </w:rPr>
        <w:t>（7）供应商之间负责人为同一人或者存在控股、管理关系的不同单位的；</w:t>
      </w:r>
      <w:bookmarkEnd w:id="76"/>
    </w:p>
    <w:p w14:paraId="2BB668CA">
      <w:pPr>
        <w:adjustRightInd w:val="0"/>
        <w:snapToGrid w:val="0"/>
        <w:spacing w:line="360" w:lineRule="auto"/>
        <w:ind w:firstLine="480" w:firstLineChars="200"/>
        <w:rPr>
          <w:rFonts w:hint="eastAsia" w:ascii="宋体" w:hAnsi="宋体" w:cs="宋体"/>
          <w:color w:val="000000"/>
          <w:sz w:val="24"/>
          <w:szCs w:val="24"/>
        </w:rPr>
      </w:pPr>
      <w:bookmarkStart w:id="77" w:name="_Toc9718"/>
      <w:r>
        <w:rPr>
          <w:rFonts w:hint="eastAsia" w:ascii="宋体" w:hAnsi="宋体" w:cs="宋体"/>
          <w:color w:val="000000"/>
          <w:sz w:val="24"/>
          <w:szCs w:val="24"/>
        </w:rPr>
        <w:t>（8）被政府有关部门责令停业的；</w:t>
      </w:r>
      <w:bookmarkEnd w:id="77"/>
    </w:p>
    <w:p w14:paraId="48246B23">
      <w:pPr>
        <w:adjustRightInd w:val="0"/>
        <w:snapToGrid w:val="0"/>
        <w:spacing w:line="360" w:lineRule="auto"/>
        <w:ind w:firstLine="480" w:firstLineChars="200"/>
        <w:rPr>
          <w:rFonts w:hint="eastAsia" w:ascii="宋体" w:hAnsi="宋体" w:cs="宋体"/>
          <w:color w:val="000000"/>
          <w:sz w:val="24"/>
          <w:szCs w:val="24"/>
        </w:rPr>
      </w:pPr>
      <w:bookmarkStart w:id="78" w:name="_Toc18044"/>
      <w:r>
        <w:rPr>
          <w:rFonts w:hint="eastAsia" w:ascii="宋体" w:hAnsi="宋体" w:cs="宋体"/>
          <w:color w:val="000000"/>
          <w:sz w:val="24"/>
          <w:szCs w:val="24"/>
        </w:rPr>
        <w:t>（9）被暂停或取消磋商资格的；</w:t>
      </w:r>
      <w:bookmarkEnd w:id="78"/>
    </w:p>
    <w:p w14:paraId="11046C8F">
      <w:pPr>
        <w:adjustRightInd w:val="0"/>
        <w:snapToGrid w:val="0"/>
        <w:spacing w:line="360" w:lineRule="auto"/>
        <w:ind w:firstLine="480" w:firstLineChars="200"/>
        <w:rPr>
          <w:rFonts w:hint="eastAsia" w:ascii="宋体" w:hAnsi="宋体" w:cs="宋体"/>
          <w:color w:val="000000"/>
          <w:sz w:val="24"/>
          <w:szCs w:val="24"/>
        </w:rPr>
      </w:pPr>
      <w:bookmarkStart w:id="79" w:name="_Toc32746"/>
      <w:r>
        <w:rPr>
          <w:rFonts w:hint="eastAsia" w:ascii="宋体" w:hAnsi="宋体" w:cs="宋体"/>
          <w:color w:val="000000"/>
          <w:sz w:val="24"/>
          <w:szCs w:val="24"/>
        </w:rPr>
        <w:t>（10）</w:t>
      </w:r>
      <w:bookmarkEnd w:id="79"/>
      <w:r>
        <w:rPr>
          <w:rFonts w:hint="eastAsia" w:ascii="宋体" w:hAnsi="宋体" w:cs="宋体"/>
          <w:color w:val="000000"/>
          <w:sz w:val="24"/>
          <w:szCs w:val="24"/>
        </w:rPr>
        <w:t xml:space="preserve">法律法规规定的其他情形； </w:t>
      </w:r>
    </w:p>
    <w:p w14:paraId="44C2C20E">
      <w:pPr>
        <w:adjustRightInd w:val="0"/>
        <w:snapToGrid w:val="0"/>
        <w:spacing w:line="360" w:lineRule="auto"/>
        <w:ind w:firstLine="480" w:firstLineChars="200"/>
        <w:rPr>
          <w:rFonts w:hint="eastAsia" w:ascii="宋体" w:hAnsi="宋体" w:cs="宋体"/>
          <w:color w:val="000000"/>
          <w:sz w:val="24"/>
          <w:szCs w:val="24"/>
        </w:rPr>
      </w:pPr>
      <w:bookmarkStart w:id="80" w:name="_Toc2594"/>
      <w:r>
        <w:rPr>
          <w:rFonts w:hint="eastAsia" w:ascii="宋体" w:hAnsi="宋体" w:cs="宋体"/>
          <w:color w:val="000000"/>
          <w:sz w:val="24"/>
          <w:szCs w:val="24"/>
        </w:rPr>
        <w:t>1.4.3 是否接受联合体磋商：</w:t>
      </w:r>
      <w:bookmarkEnd w:id="80"/>
      <w:bookmarkStart w:id="81" w:name="_Toc179632552"/>
      <w:bookmarkStart w:id="82" w:name="_Toc32616"/>
      <w:bookmarkStart w:id="83" w:name="_Toc152045535"/>
      <w:bookmarkStart w:id="84" w:name="_Toc144974503"/>
      <w:bookmarkStart w:id="85" w:name="_Toc152042311"/>
      <w:r>
        <w:rPr>
          <w:rFonts w:hint="eastAsia" w:ascii="宋体" w:hAnsi="宋体" w:cs="宋体"/>
          <w:color w:val="000000"/>
          <w:sz w:val="24"/>
          <w:szCs w:val="24"/>
        </w:rPr>
        <w:t>详见“第一章 竞争性磋商公告”</w:t>
      </w:r>
    </w:p>
    <w:p w14:paraId="0F4B18E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 费用承担</w:t>
      </w:r>
      <w:bookmarkEnd w:id="81"/>
      <w:bookmarkEnd w:id="82"/>
      <w:bookmarkEnd w:id="83"/>
      <w:bookmarkEnd w:id="84"/>
      <w:bookmarkEnd w:id="85"/>
      <w:r>
        <w:rPr>
          <w:rFonts w:hint="eastAsia" w:ascii="宋体" w:hAnsi="宋体" w:cs="宋体"/>
          <w:color w:val="000000"/>
          <w:sz w:val="24"/>
          <w:szCs w:val="24"/>
        </w:rPr>
        <w:t>：供应商参与本项目所有发生的费用，不论成交与否均由供应商自行承担。</w:t>
      </w:r>
    </w:p>
    <w:p w14:paraId="7653AF28">
      <w:pPr>
        <w:adjustRightInd w:val="0"/>
        <w:snapToGrid w:val="0"/>
        <w:spacing w:line="360" w:lineRule="auto"/>
        <w:ind w:firstLine="480" w:firstLineChars="200"/>
        <w:rPr>
          <w:rFonts w:hint="eastAsia" w:ascii="宋体" w:hAnsi="宋体" w:cs="宋体"/>
          <w:color w:val="000000"/>
          <w:sz w:val="24"/>
          <w:szCs w:val="24"/>
        </w:rPr>
      </w:pPr>
      <w:bookmarkStart w:id="86" w:name="_Toc152045536"/>
      <w:bookmarkStart w:id="87" w:name="_Toc14333"/>
      <w:bookmarkStart w:id="88" w:name="_Toc152042312"/>
      <w:bookmarkStart w:id="89" w:name="_Toc179632553"/>
      <w:bookmarkStart w:id="90" w:name="_Toc144974504"/>
      <w:r>
        <w:rPr>
          <w:rFonts w:hint="eastAsia" w:ascii="宋体" w:hAnsi="宋体" w:cs="宋体"/>
          <w:color w:val="000000"/>
          <w:sz w:val="24"/>
          <w:szCs w:val="24"/>
        </w:rPr>
        <w:t>1.6 保密</w:t>
      </w:r>
      <w:bookmarkEnd w:id="86"/>
      <w:bookmarkEnd w:id="87"/>
      <w:bookmarkEnd w:id="88"/>
      <w:bookmarkEnd w:id="89"/>
      <w:bookmarkEnd w:id="90"/>
      <w:r>
        <w:rPr>
          <w:rFonts w:hint="eastAsia" w:ascii="宋体" w:hAnsi="宋体" w:cs="宋体"/>
          <w:color w:val="000000"/>
          <w:sz w:val="24"/>
          <w:szCs w:val="24"/>
        </w:rPr>
        <w:t>：</w:t>
      </w:r>
      <w:bookmarkStart w:id="91"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91"/>
      <w:r>
        <w:rPr>
          <w:rFonts w:hint="eastAsia" w:ascii="宋体" w:hAnsi="宋体" w:cs="宋体"/>
          <w:color w:val="000000"/>
          <w:sz w:val="24"/>
          <w:szCs w:val="24"/>
        </w:rPr>
        <w:t xml:space="preserve"> </w:t>
      </w:r>
    </w:p>
    <w:p w14:paraId="4626FE28">
      <w:pPr>
        <w:adjustRightInd w:val="0"/>
        <w:snapToGrid w:val="0"/>
        <w:spacing w:line="360" w:lineRule="auto"/>
        <w:ind w:firstLine="480" w:firstLineChars="200"/>
        <w:rPr>
          <w:rFonts w:hint="eastAsia" w:ascii="宋体" w:hAnsi="宋体" w:cs="宋体"/>
          <w:color w:val="000000"/>
          <w:sz w:val="24"/>
          <w:szCs w:val="24"/>
        </w:rPr>
      </w:pPr>
      <w:bookmarkStart w:id="92" w:name="_Toc144974505"/>
      <w:bookmarkStart w:id="93" w:name="_Toc152042313"/>
      <w:bookmarkStart w:id="94" w:name="_Toc179632554"/>
      <w:bookmarkStart w:id="95" w:name="_Toc32542"/>
      <w:bookmarkStart w:id="96" w:name="_Toc152045537"/>
      <w:r>
        <w:rPr>
          <w:rFonts w:hint="eastAsia" w:ascii="宋体" w:hAnsi="宋体" w:cs="宋体"/>
          <w:color w:val="000000"/>
          <w:sz w:val="24"/>
          <w:szCs w:val="24"/>
        </w:rPr>
        <w:t>1.7 语言</w:t>
      </w:r>
      <w:bookmarkEnd w:id="92"/>
      <w:r>
        <w:rPr>
          <w:rFonts w:hint="eastAsia" w:ascii="宋体" w:hAnsi="宋体" w:cs="宋体"/>
          <w:color w:val="000000"/>
          <w:sz w:val="24"/>
          <w:szCs w:val="24"/>
        </w:rPr>
        <w:t>文字</w:t>
      </w:r>
      <w:bookmarkEnd w:id="93"/>
      <w:bookmarkEnd w:id="94"/>
      <w:bookmarkEnd w:id="95"/>
      <w:bookmarkEnd w:id="96"/>
      <w:r>
        <w:rPr>
          <w:rFonts w:hint="eastAsia" w:ascii="宋体" w:hAnsi="宋体" w:cs="宋体"/>
          <w:color w:val="000000"/>
          <w:sz w:val="24"/>
          <w:szCs w:val="24"/>
        </w:rPr>
        <w:t>：</w:t>
      </w:r>
      <w:bookmarkStart w:id="97" w:name="_Toc6943"/>
      <w:r>
        <w:rPr>
          <w:rFonts w:hint="eastAsia" w:ascii="宋体" w:hAnsi="宋体" w:cs="宋体"/>
          <w:color w:val="000000"/>
          <w:sz w:val="24"/>
          <w:szCs w:val="24"/>
        </w:rPr>
        <w:t>除专用术语外，与采购磋商有关的语言均使用中文。必要时专用术语应附有中文注释。</w:t>
      </w:r>
      <w:bookmarkEnd w:id="97"/>
    </w:p>
    <w:p w14:paraId="28A8899D">
      <w:pPr>
        <w:adjustRightInd w:val="0"/>
        <w:snapToGrid w:val="0"/>
        <w:spacing w:line="360" w:lineRule="auto"/>
        <w:ind w:firstLine="480" w:firstLineChars="200"/>
        <w:rPr>
          <w:rFonts w:hint="eastAsia" w:ascii="宋体" w:hAnsi="宋体" w:cs="宋体"/>
          <w:color w:val="000000"/>
          <w:sz w:val="24"/>
          <w:szCs w:val="24"/>
        </w:rPr>
      </w:pPr>
      <w:bookmarkStart w:id="98" w:name="_Toc152045538"/>
      <w:bookmarkStart w:id="99" w:name="_Toc24227"/>
      <w:bookmarkStart w:id="100" w:name="_Toc152042314"/>
      <w:bookmarkStart w:id="101" w:name="_Toc179632555"/>
      <w:bookmarkStart w:id="102" w:name="_Toc144974506"/>
      <w:r>
        <w:rPr>
          <w:rFonts w:hint="eastAsia" w:ascii="宋体" w:hAnsi="宋体" w:cs="宋体"/>
          <w:color w:val="000000"/>
          <w:sz w:val="24"/>
          <w:szCs w:val="24"/>
        </w:rPr>
        <w:t>1.8 计量单位</w:t>
      </w:r>
      <w:bookmarkEnd w:id="98"/>
      <w:bookmarkEnd w:id="99"/>
      <w:bookmarkEnd w:id="100"/>
      <w:bookmarkEnd w:id="101"/>
      <w:bookmarkEnd w:id="102"/>
      <w:r>
        <w:rPr>
          <w:rFonts w:hint="eastAsia" w:ascii="宋体" w:hAnsi="宋体" w:cs="宋体"/>
          <w:color w:val="000000"/>
          <w:sz w:val="24"/>
          <w:szCs w:val="24"/>
        </w:rPr>
        <w:t>：</w:t>
      </w:r>
      <w:bookmarkStart w:id="103" w:name="_Toc20014"/>
      <w:r>
        <w:rPr>
          <w:rFonts w:hint="eastAsia" w:ascii="宋体" w:hAnsi="宋体" w:cs="宋体"/>
          <w:color w:val="000000"/>
          <w:sz w:val="24"/>
          <w:szCs w:val="24"/>
        </w:rPr>
        <w:t>所有计量均采用中华人民共和国法定计量单位。</w:t>
      </w:r>
      <w:bookmarkEnd w:id="103"/>
    </w:p>
    <w:p w14:paraId="5405BCF9">
      <w:pPr>
        <w:adjustRightInd w:val="0"/>
        <w:snapToGrid w:val="0"/>
        <w:spacing w:line="360" w:lineRule="auto"/>
        <w:ind w:firstLine="480" w:firstLineChars="200"/>
        <w:rPr>
          <w:rFonts w:ascii="宋体" w:hAnsi="宋体" w:cs="宋体"/>
          <w:color w:val="000000"/>
          <w:sz w:val="24"/>
          <w:szCs w:val="24"/>
        </w:rPr>
      </w:pPr>
      <w:bookmarkStart w:id="104" w:name="_Toc152042315"/>
      <w:bookmarkStart w:id="105" w:name="_Toc152045539"/>
      <w:bookmarkStart w:id="106" w:name="_Toc3896"/>
      <w:bookmarkStart w:id="107" w:name="_Toc179632556"/>
      <w:bookmarkStart w:id="108" w:name="_Toc144974507"/>
      <w:r>
        <w:rPr>
          <w:rFonts w:hint="eastAsia" w:ascii="宋体" w:hAnsi="宋体" w:cs="宋体"/>
          <w:color w:val="000000"/>
          <w:sz w:val="24"/>
          <w:szCs w:val="24"/>
        </w:rPr>
        <w:t>1.9 踏勘现场</w:t>
      </w:r>
      <w:bookmarkEnd w:id="104"/>
      <w:bookmarkEnd w:id="105"/>
      <w:bookmarkEnd w:id="106"/>
      <w:bookmarkEnd w:id="107"/>
      <w:bookmarkEnd w:id="108"/>
      <w:r>
        <w:rPr>
          <w:rFonts w:hint="eastAsia" w:ascii="宋体" w:hAnsi="宋体" w:cs="宋体"/>
          <w:color w:val="000000"/>
          <w:sz w:val="24"/>
          <w:szCs w:val="24"/>
        </w:rPr>
        <w:t>：</w:t>
      </w:r>
      <w:bookmarkStart w:id="109" w:name="_Toc179632557"/>
      <w:bookmarkStart w:id="110" w:name="_Toc144974508"/>
      <w:bookmarkStart w:id="111" w:name="_Toc152045540"/>
      <w:bookmarkStart w:id="112" w:name="_Toc12330"/>
      <w:bookmarkStart w:id="113" w:name="_Toc152042316"/>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2DB0A24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1.10 答疑</w:t>
      </w:r>
      <w:bookmarkEnd w:id="109"/>
      <w:bookmarkEnd w:id="110"/>
      <w:bookmarkEnd w:id="111"/>
      <w:bookmarkEnd w:id="112"/>
      <w:bookmarkEnd w:id="113"/>
      <w:r>
        <w:rPr>
          <w:rFonts w:hint="eastAsia" w:ascii="宋体" w:hAnsi="宋体" w:cs="宋体"/>
          <w:color w:val="000000"/>
          <w:sz w:val="24"/>
          <w:szCs w:val="24"/>
        </w:rPr>
        <w:t>：详见供应商须知前附表。</w:t>
      </w:r>
    </w:p>
    <w:p w14:paraId="23A27BDF">
      <w:pPr>
        <w:adjustRightInd w:val="0"/>
        <w:snapToGrid w:val="0"/>
        <w:spacing w:line="360" w:lineRule="auto"/>
        <w:ind w:firstLine="480" w:firstLineChars="200"/>
        <w:rPr>
          <w:rFonts w:hint="eastAsia" w:ascii="宋体" w:hAnsi="宋体" w:cs="宋体"/>
          <w:color w:val="000000"/>
          <w:sz w:val="24"/>
          <w:szCs w:val="24"/>
        </w:rPr>
      </w:pPr>
      <w:bookmarkStart w:id="114" w:name="_Toc5889"/>
      <w:bookmarkStart w:id="115" w:name="_Toc152045541"/>
      <w:bookmarkStart w:id="116" w:name="_Toc179632558"/>
      <w:bookmarkStart w:id="117" w:name="_Toc144974509"/>
      <w:bookmarkStart w:id="118" w:name="_Toc152042317"/>
      <w:r>
        <w:rPr>
          <w:rFonts w:hint="eastAsia" w:ascii="宋体" w:hAnsi="宋体" w:cs="宋体"/>
          <w:color w:val="000000"/>
          <w:sz w:val="24"/>
          <w:szCs w:val="24"/>
        </w:rPr>
        <w:t>1.11 转包</w:t>
      </w:r>
      <w:bookmarkEnd w:id="114"/>
      <w:bookmarkEnd w:id="115"/>
      <w:bookmarkEnd w:id="116"/>
      <w:bookmarkEnd w:id="117"/>
      <w:bookmarkEnd w:id="118"/>
      <w:bookmarkStart w:id="119" w:name="_Toc179632559"/>
      <w:r>
        <w:rPr>
          <w:rFonts w:hint="eastAsia" w:ascii="宋体" w:hAnsi="宋体" w:cs="宋体"/>
          <w:color w:val="000000"/>
          <w:sz w:val="24"/>
          <w:szCs w:val="24"/>
        </w:rPr>
        <w:t>：本项目不允许成交后转包。</w:t>
      </w:r>
    </w:p>
    <w:bookmarkEnd w:id="119"/>
    <w:p w14:paraId="0FEDBE79">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2.竞争性磋商文件的组成</w:t>
      </w:r>
    </w:p>
    <w:p w14:paraId="626B1ED2">
      <w:pPr>
        <w:adjustRightInd w:val="0"/>
        <w:snapToGrid w:val="0"/>
        <w:spacing w:line="360" w:lineRule="auto"/>
        <w:ind w:firstLine="480" w:firstLineChars="200"/>
        <w:rPr>
          <w:rFonts w:hint="eastAsia" w:ascii="宋体" w:hAnsi="宋体" w:cs="宋体"/>
          <w:color w:val="000000"/>
          <w:sz w:val="24"/>
          <w:szCs w:val="24"/>
        </w:rPr>
      </w:pPr>
      <w:bookmarkStart w:id="120" w:name="_Toc179632561"/>
      <w:bookmarkStart w:id="121" w:name="_Toc144974511"/>
      <w:bookmarkStart w:id="122" w:name="_Toc152045543"/>
      <w:bookmarkStart w:id="123" w:name="_Toc152042319"/>
      <w:bookmarkStart w:id="124" w:name="_Toc6865"/>
      <w:r>
        <w:rPr>
          <w:rFonts w:hint="eastAsia" w:ascii="宋体" w:hAnsi="宋体" w:cs="宋体"/>
          <w:color w:val="000000"/>
          <w:sz w:val="24"/>
          <w:szCs w:val="24"/>
        </w:rPr>
        <w:t>2.1 竞争性磋商文件的组成</w:t>
      </w:r>
      <w:bookmarkEnd w:id="120"/>
      <w:bookmarkEnd w:id="121"/>
      <w:bookmarkEnd w:id="122"/>
      <w:bookmarkEnd w:id="123"/>
      <w:bookmarkEnd w:id="124"/>
    </w:p>
    <w:p w14:paraId="22C46BAE">
      <w:pPr>
        <w:adjustRightInd w:val="0"/>
        <w:snapToGrid w:val="0"/>
        <w:spacing w:line="360" w:lineRule="auto"/>
        <w:ind w:firstLine="480" w:firstLineChars="200"/>
        <w:rPr>
          <w:rFonts w:hint="eastAsia" w:ascii="宋体" w:hAnsi="宋体" w:cs="宋体"/>
          <w:color w:val="000000"/>
          <w:sz w:val="24"/>
          <w:szCs w:val="24"/>
        </w:rPr>
      </w:pPr>
      <w:bookmarkStart w:id="125" w:name="_Toc8529"/>
      <w:r>
        <w:rPr>
          <w:rFonts w:hint="eastAsia" w:ascii="宋体" w:hAnsi="宋体" w:cs="宋体"/>
          <w:color w:val="000000"/>
          <w:sz w:val="24"/>
          <w:szCs w:val="24"/>
        </w:rPr>
        <w:t>2.1.1本竞争性磋商文件包括：</w:t>
      </w:r>
      <w:bookmarkEnd w:id="125"/>
    </w:p>
    <w:p w14:paraId="616B441C">
      <w:pPr>
        <w:adjustRightInd w:val="0"/>
        <w:snapToGrid w:val="0"/>
        <w:spacing w:line="360" w:lineRule="auto"/>
        <w:ind w:firstLine="480" w:firstLineChars="200"/>
        <w:rPr>
          <w:rFonts w:hint="eastAsia" w:ascii="宋体" w:hAnsi="宋体" w:cs="宋体"/>
          <w:color w:val="000000"/>
          <w:sz w:val="24"/>
          <w:szCs w:val="24"/>
        </w:rPr>
      </w:pPr>
      <w:bookmarkStart w:id="126" w:name="_Toc16680"/>
      <w:r>
        <w:rPr>
          <w:rFonts w:hint="eastAsia" w:ascii="宋体" w:hAnsi="宋体" w:cs="宋体"/>
          <w:color w:val="000000"/>
          <w:sz w:val="24"/>
          <w:szCs w:val="24"/>
        </w:rPr>
        <w:t>（1）竞争性磋商公告；</w:t>
      </w:r>
      <w:bookmarkEnd w:id="126"/>
    </w:p>
    <w:p w14:paraId="4CCBE9C9">
      <w:pPr>
        <w:adjustRightInd w:val="0"/>
        <w:snapToGrid w:val="0"/>
        <w:spacing w:line="360" w:lineRule="auto"/>
        <w:ind w:firstLine="480" w:firstLineChars="200"/>
        <w:rPr>
          <w:rFonts w:hint="eastAsia" w:ascii="宋体" w:hAnsi="宋体" w:cs="宋体"/>
          <w:color w:val="000000"/>
          <w:sz w:val="24"/>
          <w:szCs w:val="24"/>
        </w:rPr>
      </w:pPr>
      <w:bookmarkStart w:id="127" w:name="_Toc17485"/>
      <w:bookmarkStart w:id="128" w:name="_Toc10269"/>
      <w:r>
        <w:rPr>
          <w:rFonts w:hint="eastAsia" w:ascii="宋体" w:hAnsi="宋体" w:cs="宋体"/>
          <w:color w:val="000000"/>
          <w:sz w:val="24"/>
          <w:szCs w:val="24"/>
        </w:rPr>
        <w:t>（2）供应商须知前附表及供应商须知；</w:t>
      </w:r>
      <w:bookmarkEnd w:id="127"/>
    </w:p>
    <w:p w14:paraId="373C7E1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（3）采购需求及商务要求；</w:t>
      </w:r>
    </w:p>
    <w:p w14:paraId="14CFE046">
      <w:pPr>
        <w:adjustRightInd w:val="0"/>
        <w:snapToGrid w:val="0"/>
        <w:spacing w:line="360" w:lineRule="auto"/>
        <w:ind w:firstLine="480" w:firstLineChars="200"/>
        <w:rPr>
          <w:rFonts w:hint="eastAsia" w:ascii="宋体" w:hAnsi="宋体" w:cs="宋体"/>
          <w:color w:val="000000"/>
          <w:sz w:val="24"/>
          <w:szCs w:val="24"/>
        </w:rPr>
      </w:pPr>
      <w:bookmarkStart w:id="129" w:name="_Toc23760"/>
      <w:r>
        <w:rPr>
          <w:rFonts w:hint="eastAsia" w:ascii="宋体" w:hAnsi="宋体" w:cs="宋体"/>
          <w:color w:val="000000"/>
          <w:sz w:val="24"/>
          <w:szCs w:val="24"/>
        </w:rPr>
        <w:t>（4）评审办法；</w:t>
      </w:r>
      <w:bookmarkEnd w:id="129"/>
    </w:p>
    <w:p w14:paraId="43BFDAF6">
      <w:pPr>
        <w:adjustRightInd w:val="0"/>
        <w:snapToGrid w:val="0"/>
        <w:spacing w:line="360" w:lineRule="auto"/>
        <w:ind w:firstLine="480" w:firstLineChars="200"/>
        <w:rPr>
          <w:rFonts w:hint="eastAsia" w:ascii="宋体" w:hAnsi="宋体" w:cs="宋体"/>
          <w:color w:val="000000"/>
          <w:sz w:val="24"/>
          <w:szCs w:val="24"/>
        </w:rPr>
      </w:pPr>
      <w:bookmarkStart w:id="130" w:name="_Toc4000"/>
      <w:r>
        <w:rPr>
          <w:rFonts w:hint="eastAsia" w:ascii="宋体" w:hAnsi="宋体" w:cs="宋体"/>
          <w:color w:val="000000"/>
          <w:sz w:val="24"/>
          <w:szCs w:val="24"/>
        </w:rPr>
        <w:t>（5）拟签订的合同文本；</w:t>
      </w:r>
      <w:bookmarkEnd w:id="130"/>
    </w:p>
    <w:p w14:paraId="2C5A9471">
      <w:pPr>
        <w:adjustRightInd w:val="0"/>
        <w:snapToGrid w:val="0"/>
        <w:spacing w:line="360" w:lineRule="auto"/>
        <w:ind w:firstLine="480" w:firstLineChars="200"/>
        <w:rPr>
          <w:rFonts w:hint="eastAsia" w:ascii="宋体" w:hAnsi="宋体" w:cs="宋体"/>
          <w:color w:val="000000"/>
          <w:sz w:val="24"/>
          <w:szCs w:val="24"/>
        </w:rPr>
      </w:pPr>
      <w:bookmarkStart w:id="131" w:name="_Toc7065"/>
      <w:r>
        <w:rPr>
          <w:rFonts w:hint="eastAsia" w:ascii="宋体" w:hAnsi="宋体" w:cs="宋体"/>
          <w:color w:val="000000"/>
          <w:sz w:val="24"/>
          <w:szCs w:val="24"/>
        </w:rPr>
        <w:t>（6）响应文件格式；</w:t>
      </w:r>
      <w:bookmarkEnd w:id="131"/>
      <w:r>
        <w:rPr>
          <w:rFonts w:hint="eastAsia" w:ascii="宋体" w:hAnsi="宋体" w:cs="宋体"/>
          <w:color w:val="000000"/>
          <w:sz w:val="24"/>
          <w:szCs w:val="24"/>
        </w:rPr>
        <w:t xml:space="preserve"> </w:t>
      </w:r>
    </w:p>
    <w:p w14:paraId="5BCDC1B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28"/>
    </w:p>
    <w:p w14:paraId="172C200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3A390F3D">
      <w:pPr>
        <w:adjustRightInd w:val="0"/>
        <w:snapToGrid w:val="0"/>
        <w:spacing w:line="360" w:lineRule="auto"/>
        <w:ind w:firstLine="480" w:firstLineChars="200"/>
        <w:rPr>
          <w:rFonts w:hint="eastAsia" w:ascii="宋体" w:hAnsi="宋体" w:cs="宋体"/>
          <w:color w:val="000000"/>
          <w:sz w:val="24"/>
          <w:szCs w:val="24"/>
        </w:rPr>
      </w:pPr>
      <w:bookmarkStart w:id="132" w:name="_Toc18080"/>
      <w:bookmarkStart w:id="133" w:name="_Toc144974512"/>
      <w:bookmarkStart w:id="134" w:name="_Toc179632562"/>
      <w:bookmarkStart w:id="135" w:name="_Toc152045544"/>
      <w:bookmarkStart w:id="136" w:name="_Toc152042320"/>
      <w:r>
        <w:rPr>
          <w:rFonts w:hint="eastAsia" w:ascii="宋体" w:hAnsi="宋体" w:cs="宋体"/>
          <w:color w:val="000000"/>
          <w:sz w:val="24"/>
          <w:szCs w:val="24"/>
        </w:rPr>
        <w:t>2.2 竞争性磋商文件的澄清</w:t>
      </w:r>
      <w:bookmarkEnd w:id="132"/>
      <w:bookmarkEnd w:id="133"/>
      <w:bookmarkEnd w:id="134"/>
      <w:bookmarkEnd w:id="135"/>
      <w:bookmarkEnd w:id="136"/>
      <w:r>
        <w:rPr>
          <w:rFonts w:hint="eastAsia" w:ascii="宋体" w:hAnsi="宋体" w:cs="宋体"/>
          <w:color w:val="000000"/>
          <w:sz w:val="24"/>
          <w:szCs w:val="24"/>
        </w:rPr>
        <w:t>与修改</w:t>
      </w:r>
    </w:p>
    <w:p w14:paraId="2CB96FA2">
      <w:pPr>
        <w:adjustRightInd w:val="0"/>
        <w:snapToGrid w:val="0"/>
        <w:spacing w:line="360" w:lineRule="auto"/>
        <w:ind w:firstLine="480" w:firstLineChars="200"/>
        <w:rPr>
          <w:rFonts w:hint="eastAsia" w:ascii="宋体" w:hAnsi="宋体" w:cs="宋体"/>
          <w:color w:val="000000"/>
          <w:sz w:val="24"/>
          <w:szCs w:val="24"/>
        </w:rPr>
      </w:pPr>
      <w:bookmarkStart w:id="137"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7"/>
    </w:p>
    <w:p w14:paraId="00A57B4A">
      <w:pPr>
        <w:adjustRightInd w:val="0"/>
        <w:snapToGrid w:val="0"/>
        <w:spacing w:line="360" w:lineRule="auto"/>
        <w:ind w:firstLine="480" w:firstLineChars="200"/>
        <w:rPr>
          <w:rFonts w:hint="eastAsia" w:ascii="宋体" w:hAnsi="宋体" w:cs="宋体"/>
          <w:color w:val="000000"/>
          <w:sz w:val="24"/>
          <w:szCs w:val="24"/>
        </w:rPr>
      </w:pPr>
      <w:bookmarkStart w:id="138" w:name="_Toc1339"/>
      <w:r>
        <w:rPr>
          <w:rFonts w:hint="eastAsia" w:ascii="宋体" w:hAnsi="宋体" w:cs="宋体"/>
          <w:color w:val="000000"/>
          <w:sz w:val="24"/>
          <w:szCs w:val="24"/>
        </w:rPr>
        <w:t>2.2.2 供应商应及时登陆相应网站查看本项目的采购变更信息并获取澄清和修改后的文件，未按澄清和修改后的竞争性磋商文件编制的响应文件有可能被磋商小组否决。</w:t>
      </w:r>
    </w:p>
    <w:p w14:paraId="63E26CD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95BA7D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2.2.4其它关于澄清与修改的要求以现行相关法律、法规为准。</w:t>
      </w:r>
    </w:p>
    <w:bookmarkEnd w:id="138"/>
    <w:p w14:paraId="094546BC">
      <w:pPr>
        <w:adjustRightInd w:val="0"/>
        <w:snapToGrid w:val="0"/>
        <w:spacing w:line="360" w:lineRule="auto"/>
        <w:ind w:firstLine="482" w:firstLineChars="200"/>
        <w:rPr>
          <w:rFonts w:hint="eastAsia" w:ascii="宋体" w:hAnsi="宋体" w:cs="宋体"/>
          <w:b/>
          <w:bCs/>
          <w:color w:val="000000"/>
          <w:sz w:val="24"/>
          <w:szCs w:val="24"/>
        </w:rPr>
      </w:pPr>
      <w:bookmarkStart w:id="139" w:name="_Toc510859688"/>
      <w:bookmarkStart w:id="140" w:name="_Toc511585902"/>
      <w:bookmarkStart w:id="141" w:name="_Toc11364"/>
      <w:bookmarkStart w:id="142" w:name="_Toc9036"/>
      <w:bookmarkStart w:id="143" w:name="_Toc9377"/>
      <w:bookmarkStart w:id="144" w:name="_Toc4705"/>
      <w:bookmarkStart w:id="145" w:name="_Toc363119280"/>
      <w:bookmarkStart w:id="146" w:name="_Toc510859894"/>
      <w:r>
        <w:rPr>
          <w:rFonts w:hint="eastAsia" w:ascii="宋体" w:hAnsi="宋体" w:cs="宋体"/>
          <w:b/>
          <w:bCs/>
          <w:color w:val="000000"/>
          <w:sz w:val="24"/>
          <w:szCs w:val="24"/>
        </w:rPr>
        <w:t>3.</w:t>
      </w:r>
      <w:bookmarkEnd w:id="139"/>
      <w:bookmarkEnd w:id="140"/>
      <w:bookmarkEnd w:id="141"/>
      <w:bookmarkEnd w:id="142"/>
      <w:bookmarkEnd w:id="143"/>
      <w:bookmarkEnd w:id="144"/>
      <w:bookmarkEnd w:id="145"/>
      <w:bookmarkEnd w:id="146"/>
      <w:r>
        <w:rPr>
          <w:rFonts w:hint="eastAsia" w:ascii="宋体" w:hAnsi="宋体" w:cs="宋体"/>
          <w:b/>
          <w:bCs/>
          <w:color w:val="000000"/>
          <w:sz w:val="24"/>
          <w:szCs w:val="24"/>
        </w:rPr>
        <w:t>响应文件</w:t>
      </w:r>
    </w:p>
    <w:p w14:paraId="09F91005">
      <w:pPr>
        <w:adjustRightInd w:val="0"/>
        <w:snapToGrid w:val="0"/>
        <w:spacing w:line="360" w:lineRule="auto"/>
        <w:ind w:firstLine="480" w:firstLineChars="200"/>
        <w:rPr>
          <w:rFonts w:hint="eastAsia" w:ascii="宋体" w:hAnsi="宋体" w:cs="宋体"/>
          <w:color w:val="000000"/>
          <w:sz w:val="24"/>
          <w:szCs w:val="24"/>
        </w:rPr>
      </w:pPr>
      <w:bookmarkStart w:id="147" w:name="_Toc179632565"/>
      <w:bookmarkStart w:id="148" w:name="_Toc152045547"/>
      <w:bookmarkStart w:id="149" w:name="_Toc20122"/>
      <w:bookmarkStart w:id="150" w:name="_Toc144974515"/>
      <w:bookmarkStart w:id="151" w:name="_Toc152042323"/>
      <w:r>
        <w:rPr>
          <w:rFonts w:hint="eastAsia" w:ascii="宋体" w:hAnsi="宋体" w:cs="宋体"/>
          <w:color w:val="000000"/>
          <w:sz w:val="24"/>
          <w:szCs w:val="24"/>
        </w:rPr>
        <w:t>3.1 响应文件的组成</w:t>
      </w:r>
      <w:bookmarkEnd w:id="147"/>
      <w:bookmarkEnd w:id="148"/>
      <w:bookmarkEnd w:id="149"/>
      <w:bookmarkEnd w:id="150"/>
      <w:bookmarkEnd w:id="151"/>
      <w:r>
        <w:rPr>
          <w:rFonts w:hint="eastAsia" w:ascii="宋体" w:hAnsi="宋体" w:cs="宋体"/>
          <w:color w:val="000000"/>
          <w:sz w:val="24"/>
          <w:szCs w:val="24"/>
        </w:rPr>
        <w:t>：</w:t>
      </w:r>
      <w:bookmarkStart w:id="152" w:name="_Toc19703"/>
    </w:p>
    <w:p w14:paraId="683013A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52"/>
      <w:r>
        <w:rPr>
          <w:rFonts w:hint="eastAsia" w:ascii="宋体" w:hAnsi="宋体" w:cs="宋体"/>
          <w:color w:val="000000"/>
          <w:sz w:val="24"/>
          <w:szCs w:val="24"/>
        </w:rPr>
        <w:t>。</w:t>
      </w:r>
    </w:p>
    <w:p w14:paraId="5420234B">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3CF2D371">
      <w:pPr>
        <w:adjustRightInd w:val="0"/>
        <w:snapToGrid w:val="0"/>
        <w:spacing w:line="360" w:lineRule="auto"/>
        <w:ind w:left="479" w:leftChars="228"/>
        <w:rPr>
          <w:rFonts w:hint="eastAsia" w:ascii="宋体" w:hAnsi="宋体" w:cs="宋体"/>
          <w:color w:val="000000"/>
          <w:sz w:val="24"/>
          <w:szCs w:val="24"/>
        </w:rPr>
      </w:pPr>
      <w:bookmarkStart w:id="153" w:name="_Toc5965"/>
      <w:r>
        <w:rPr>
          <w:rFonts w:hint="eastAsia" w:ascii="宋体" w:hAnsi="宋体" w:cs="宋体"/>
          <w:color w:val="000000"/>
          <w:sz w:val="24"/>
          <w:szCs w:val="24"/>
        </w:rPr>
        <w:t>3.1.2</w:t>
      </w:r>
      <w:bookmarkEnd w:id="153"/>
      <w:bookmarkStart w:id="154" w:name="_Toc16247"/>
      <w:r>
        <w:rPr>
          <w:rFonts w:hint="eastAsia" w:ascii="宋体" w:hAnsi="宋体" w:cs="宋体"/>
          <w:color w:val="000000"/>
          <w:sz w:val="24"/>
          <w:szCs w:val="24"/>
        </w:rPr>
        <w:t>响应文件的份数：详见供应商须知前附表。</w:t>
      </w:r>
    </w:p>
    <w:p w14:paraId="38E18B55">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54B1BE72">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4A9F456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177D336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w:t>
      </w:r>
    </w:p>
    <w:p w14:paraId="637610FB">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728D55D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603A7C2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2283060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9521F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54"/>
    </w:p>
    <w:p w14:paraId="6AA9CD81">
      <w:pPr>
        <w:adjustRightInd w:val="0"/>
        <w:snapToGrid w:val="0"/>
        <w:spacing w:line="360" w:lineRule="auto"/>
        <w:ind w:firstLine="480" w:firstLineChars="200"/>
        <w:rPr>
          <w:rFonts w:hint="eastAsia" w:ascii="宋体" w:hAnsi="宋体" w:cs="宋体"/>
          <w:color w:val="000000"/>
          <w:sz w:val="24"/>
          <w:szCs w:val="24"/>
        </w:rPr>
      </w:pPr>
      <w:bookmarkStart w:id="155" w:name="_Toc152042324"/>
      <w:bookmarkStart w:id="156" w:name="_Toc179632566"/>
      <w:bookmarkStart w:id="157" w:name="_Toc144974516"/>
      <w:bookmarkStart w:id="158" w:name="_Toc152045548"/>
      <w:bookmarkStart w:id="159" w:name="_Toc24516"/>
      <w:r>
        <w:rPr>
          <w:rFonts w:hint="eastAsia" w:ascii="宋体" w:hAnsi="宋体" w:cs="宋体"/>
          <w:color w:val="000000"/>
          <w:sz w:val="24"/>
          <w:szCs w:val="24"/>
        </w:rPr>
        <w:t xml:space="preserve">3.2 </w:t>
      </w:r>
      <w:bookmarkEnd w:id="155"/>
      <w:bookmarkEnd w:id="156"/>
      <w:bookmarkEnd w:id="157"/>
      <w:bookmarkEnd w:id="158"/>
      <w:bookmarkEnd w:id="159"/>
      <w:r>
        <w:rPr>
          <w:rFonts w:hint="eastAsia" w:ascii="宋体" w:hAnsi="宋体" w:cs="宋体"/>
          <w:color w:val="000000"/>
          <w:sz w:val="24"/>
          <w:szCs w:val="24"/>
        </w:rPr>
        <w:t>竞争性磋商报价</w:t>
      </w:r>
    </w:p>
    <w:p w14:paraId="4C2B6998">
      <w:pPr>
        <w:adjustRightInd w:val="0"/>
        <w:snapToGrid w:val="0"/>
        <w:spacing w:line="360" w:lineRule="auto"/>
        <w:ind w:firstLine="480" w:firstLineChars="200"/>
        <w:rPr>
          <w:rFonts w:hint="eastAsia" w:ascii="宋体" w:hAnsi="宋体" w:cs="宋体"/>
          <w:color w:val="000000"/>
          <w:sz w:val="24"/>
          <w:szCs w:val="24"/>
        </w:rPr>
      </w:pPr>
      <w:bookmarkStart w:id="160"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0"/>
    </w:p>
    <w:p w14:paraId="69551260">
      <w:pPr>
        <w:adjustRightInd w:val="0"/>
        <w:snapToGrid w:val="0"/>
        <w:spacing w:line="360" w:lineRule="auto"/>
        <w:ind w:firstLine="480" w:firstLineChars="200"/>
        <w:rPr>
          <w:rFonts w:hint="eastAsia" w:ascii="宋体" w:hAnsi="宋体" w:cs="宋体"/>
          <w:color w:val="000000"/>
          <w:sz w:val="24"/>
          <w:szCs w:val="24"/>
        </w:rPr>
      </w:pPr>
      <w:bookmarkStart w:id="161" w:name="_Toc27614"/>
      <w:r>
        <w:rPr>
          <w:rFonts w:hint="eastAsia" w:ascii="宋体" w:hAnsi="宋体" w:cs="宋体"/>
          <w:color w:val="000000"/>
          <w:sz w:val="24"/>
          <w:szCs w:val="24"/>
        </w:rPr>
        <w:t>3.2.2竞争性磋商报价表中标明的价格应为履行合同的固定价格，不得以任何理由予以变更。任何有选择的报价及可以调整价格的磋商均按照废标处理。</w:t>
      </w:r>
      <w:bookmarkEnd w:id="161"/>
    </w:p>
    <w:p w14:paraId="307F9BBB">
      <w:pPr>
        <w:adjustRightInd w:val="0"/>
        <w:snapToGrid w:val="0"/>
        <w:spacing w:line="360" w:lineRule="auto"/>
        <w:ind w:firstLine="480" w:firstLineChars="200"/>
        <w:rPr>
          <w:rFonts w:hint="eastAsia" w:ascii="宋体" w:hAnsi="宋体" w:cs="宋体"/>
          <w:color w:val="000000"/>
          <w:sz w:val="24"/>
          <w:szCs w:val="24"/>
        </w:rPr>
      </w:pPr>
      <w:bookmarkStart w:id="162" w:name="_Toc13351"/>
      <w:r>
        <w:rPr>
          <w:rFonts w:hint="eastAsia" w:ascii="宋体" w:hAnsi="宋体" w:cs="宋体"/>
          <w:color w:val="000000"/>
          <w:sz w:val="24"/>
          <w:szCs w:val="24"/>
        </w:rPr>
        <w:t>3.2.3竞争性磋商报价其他要求：详见供应商须知前附表。</w:t>
      </w:r>
      <w:bookmarkEnd w:id="162"/>
    </w:p>
    <w:p w14:paraId="79573B47">
      <w:pPr>
        <w:adjustRightInd w:val="0"/>
        <w:snapToGrid w:val="0"/>
        <w:spacing w:line="360" w:lineRule="auto"/>
        <w:ind w:firstLine="480" w:firstLineChars="200"/>
        <w:rPr>
          <w:rFonts w:hint="eastAsia" w:ascii="宋体" w:hAnsi="宋体" w:cs="宋体"/>
          <w:color w:val="000000"/>
          <w:sz w:val="24"/>
          <w:szCs w:val="24"/>
        </w:rPr>
      </w:pPr>
      <w:bookmarkStart w:id="163" w:name="_Toc179632567"/>
      <w:bookmarkStart w:id="164" w:name="_Toc19568"/>
      <w:bookmarkStart w:id="165" w:name="_Toc152045549"/>
      <w:bookmarkStart w:id="166" w:name="_Toc152042325"/>
      <w:bookmarkStart w:id="167" w:name="_Toc144974517"/>
      <w:r>
        <w:rPr>
          <w:rFonts w:hint="eastAsia" w:ascii="宋体" w:hAnsi="宋体" w:cs="宋体"/>
          <w:color w:val="000000"/>
          <w:sz w:val="24"/>
          <w:szCs w:val="24"/>
        </w:rPr>
        <w:t>3.3 磋商有效期</w:t>
      </w:r>
      <w:bookmarkEnd w:id="163"/>
      <w:bookmarkEnd w:id="164"/>
      <w:bookmarkEnd w:id="165"/>
      <w:bookmarkEnd w:id="166"/>
      <w:bookmarkEnd w:id="167"/>
    </w:p>
    <w:p w14:paraId="3FA0D901">
      <w:pPr>
        <w:adjustRightInd w:val="0"/>
        <w:snapToGrid w:val="0"/>
        <w:spacing w:line="360" w:lineRule="auto"/>
        <w:ind w:firstLine="480" w:firstLineChars="200"/>
        <w:rPr>
          <w:rFonts w:hint="eastAsia" w:ascii="宋体" w:hAnsi="宋体" w:cs="宋体"/>
          <w:color w:val="000000"/>
          <w:sz w:val="24"/>
          <w:szCs w:val="24"/>
        </w:rPr>
      </w:pPr>
      <w:bookmarkStart w:id="168"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68"/>
    </w:p>
    <w:p w14:paraId="71A87EEA">
      <w:pPr>
        <w:adjustRightInd w:val="0"/>
        <w:snapToGrid w:val="0"/>
        <w:spacing w:line="360" w:lineRule="auto"/>
        <w:ind w:firstLine="480" w:firstLineChars="200"/>
        <w:rPr>
          <w:rFonts w:hint="eastAsia" w:ascii="宋体" w:hAnsi="宋体" w:cs="宋体"/>
          <w:color w:val="000000"/>
          <w:sz w:val="24"/>
          <w:szCs w:val="24"/>
        </w:rPr>
      </w:pPr>
      <w:bookmarkStart w:id="169"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w:t>
      </w:r>
      <w:r>
        <w:rPr>
          <w:rFonts w:hint="eastAsia" w:ascii="宋体" w:hAnsi="宋体" w:cs="宋体"/>
          <w:color w:val="000000"/>
          <w:sz w:val="24"/>
          <w:szCs w:val="24"/>
          <w:lang w:eastAsia="zh-CN"/>
        </w:rPr>
        <w:t>响应保证金</w:t>
      </w:r>
      <w:r>
        <w:rPr>
          <w:rFonts w:hint="eastAsia" w:ascii="宋体" w:hAnsi="宋体" w:cs="宋体"/>
          <w:color w:val="000000"/>
          <w:sz w:val="24"/>
          <w:szCs w:val="24"/>
        </w:rPr>
        <w:t>。同意延长磋商有效期的供应商既不能要求也不允许修改其响应文件，但需要相应地延长</w:t>
      </w:r>
      <w:r>
        <w:rPr>
          <w:rFonts w:hint="eastAsia" w:ascii="宋体" w:hAnsi="宋体" w:cs="宋体"/>
          <w:color w:val="000000"/>
          <w:sz w:val="24"/>
          <w:szCs w:val="24"/>
          <w:lang w:eastAsia="zh-CN"/>
        </w:rPr>
        <w:t>响应保证金</w:t>
      </w:r>
      <w:r>
        <w:rPr>
          <w:rFonts w:hint="eastAsia" w:ascii="宋体" w:hAnsi="宋体" w:cs="宋体"/>
          <w:color w:val="000000"/>
          <w:sz w:val="24"/>
          <w:szCs w:val="24"/>
        </w:rPr>
        <w:t>的有效期，在延长的磋商有效期内本须知关于磋商担保的退还与没收的规定仍然适用。</w:t>
      </w:r>
      <w:bookmarkEnd w:id="169"/>
    </w:p>
    <w:p w14:paraId="0926EDC8">
      <w:pPr>
        <w:adjustRightInd w:val="0"/>
        <w:snapToGrid w:val="0"/>
        <w:spacing w:line="360" w:lineRule="auto"/>
        <w:ind w:firstLine="480" w:firstLineChars="200"/>
        <w:rPr>
          <w:rFonts w:hint="eastAsia" w:ascii="宋体" w:hAnsi="宋体" w:cs="宋体"/>
          <w:color w:val="000000"/>
          <w:sz w:val="24"/>
          <w:szCs w:val="24"/>
        </w:rPr>
      </w:pPr>
      <w:bookmarkStart w:id="170" w:name="_Toc179632568"/>
      <w:bookmarkStart w:id="171" w:name="_Toc15696"/>
      <w:bookmarkStart w:id="172" w:name="_Toc152045550"/>
      <w:bookmarkStart w:id="173" w:name="_Toc152042326"/>
      <w:bookmarkStart w:id="174" w:name="_Toc144974518"/>
      <w:r>
        <w:rPr>
          <w:rFonts w:hint="eastAsia" w:ascii="宋体" w:hAnsi="宋体" w:cs="宋体"/>
          <w:color w:val="000000"/>
          <w:sz w:val="24"/>
          <w:szCs w:val="24"/>
        </w:rPr>
        <w:t xml:space="preserve">3.4 </w:t>
      </w:r>
      <w:bookmarkEnd w:id="170"/>
      <w:bookmarkEnd w:id="171"/>
      <w:bookmarkEnd w:id="172"/>
      <w:bookmarkEnd w:id="173"/>
      <w:bookmarkEnd w:id="174"/>
      <w:r>
        <w:rPr>
          <w:rFonts w:hint="eastAsia" w:ascii="宋体" w:hAnsi="宋体" w:cs="宋体"/>
          <w:color w:val="000000"/>
          <w:sz w:val="24"/>
          <w:szCs w:val="24"/>
          <w:lang w:eastAsia="zh-CN"/>
        </w:rPr>
        <w:t>响应保证金</w:t>
      </w:r>
      <w:r>
        <w:rPr>
          <w:rFonts w:hint="eastAsia" w:ascii="宋体" w:hAnsi="宋体" w:cs="宋体"/>
          <w:color w:val="000000"/>
          <w:sz w:val="24"/>
          <w:szCs w:val="24"/>
        </w:rPr>
        <w:t>：详见供应商须知前附表。</w:t>
      </w:r>
    </w:p>
    <w:p w14:paraId="28C37338">
      <w:pPr>
        <w:tabs>
          <w:tab w:val="left" w:pos="429"/>
        </w:tabs>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45BC25DF">
      <w:pPr>
        <w:adjustRightInd w:val="0"/>
        <w:snapToGrid w:val="0"/>
        <w:spacing w:line="360" w:lineRule="auto"/>
        <w:ind w:firstLine="480" w:firstLineChars="200"/>
        <w:rPr>
          <w:rFonts w:hint="eastAsia" w:ascii="宋体" w:hAnsi="宋体" w:cs="宋体"/>
          <w:color w:val="000000"/>
          <w:sz w:val="24"/>
          <w:szCs w:val="24"/>
        </w:rPr>
      </w:pPr>
      <w:bookmarkStart w:id="175" w:name="_Toc152042329"/>
      <w:bookmarkStart w:id="176" w:name="_Toc15100"/>
      <w:bookmarkStart w:id="177" w:name="_Toc179632571"/>
      <w:bookmarkStart w:id="178" w:name="_Toc144974521"/>
      <w:bookmarkStart w:id="179" w:name="_Toc152045553"/>
      <w:r>
        <w:rPr>
          <w:rFonts w:hint="eastAsia" w:ascii="宋体" w:hAnsi="宋体" w:cs="宋体"/>
          <w:color w:val="000000"/>
          <w:sz w:val="24"/>
          <w:szCs w:val="24"/>
        </w:rPr>
        <w:t>3.6 是否允许递交备选磋商方案</w:t>
      </w:r>
      <w:bookmarkEnd w:id="175"/>
      <w:bookmarkEnd w:id="176"/>
      <w:bookmarkEnd w:id="177"/>
      <w:bookmarkEnd w:id="178"/>
      <w:bookmarkEnd w:id="179"/>
      <w:bookmarkStart w:id="180" w:name="_Toc16154"/>
      <w:r>
        <w:rPr>
          <w:rFonts w:hint="eastAsia" w:ascii="宋体" w:hAnsi="宋体" w:cs="宋体"/>
          <w:color w:val="000000"/>
          <w:sz w:val="24"/>
          <w:szCs w:val="24"/>
        </w:rPr>
        <w:t>：供应商不得递交备选磋商方案。</w:t>
      </w:r>
      <w:bookmarkEnd w:id="180"/>
    </w:p>
    <w:p w14:paraId="19219057">
      <w:pPr>
        <w:adjustRightInd w:val="0"/>
        <w:snapToGrid w:val="0"/>
        <w:spacing w:line="360" w:lineRule="auto"/>
        <w:ind w:firstLine="480" w:firstLineChars="200"/>
        <w:rPr>
          <w:rFonts w:ascii="宋体" w:hAnsi="宋体" w:cs="宋体"/>
          <w:color w:val="000000"/>
          <w:sz w:val="24"/>
          <w:szCs w:val="24"/>
        </w:rPr>
      </w:pPr>
      <w:bookmarkStart w:id="181" w:name="_Toc12719"/>
      <w:bookmarkStart w:id="182" w:name="_Toc179632572"/>
      <w:bookmarkStart w:id="183" w:name="_Toc152042330"/>
      <w:bookmarkStart w:id="184" w:name="_Toc152045554"/>
      <w:bookmarkStart w:id="185" w:name="_Toc144974522"/>
      <w:r>
        <w:rPr>
          <w:rFonts w:hint="eastAsia" w:ascii="宋体" w:hAnsi="宋体" w:cs="宋体"/>
          <w:color w:val="000000"/>
          <w:sz w:val="24"/>
          <w:szCs w:val="24"/>
        </w:rPr>
        <w:t>3.7 响应文件的编制</w:t>
      </w:r>
      <w:bookmarkEnd w:id="181"/>
      <w:bookmarkEnd w:id="182"/>
      <w:bookmarkEnd w:id="183"/>
      <w:bookmarkEnd w:id="184"/>
      <w:bookmarkEnd w:id="185"/>
      <w:r>
        <w:rPr>
          <w:rFonts w:hint="eastAsia" w:ascii="宋体" w:hAnsi="宋体" w:cs="宋体"/>
          <w:color w:val="000000"/>
          <w:sz w:val="24"/>
          <w:szCs w:val="24"/>
        </w:rPr>
        <w:t>及组成</w:t>
      </w:r>
    </w:p>
    <w:p w14:paraId="588BA5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36045B17">
      <w:pPr>
        <w:adjustRightInd w:val="0"/>
        <w:snapToGrid w:val="0"/>
        <w:spacing w:line="360" w:lineRule="auto"/>
        <w:ind w:firstLine="480" w:firstLineChars="200"/>
        <w:rPr>
          <w:rFonts w:ascii="宋体" w:hAnsi="宋体" w:cs="宋体"/>
          <w:color w:val="000000"/>
          <w:sz w:val="24"/>
          <w:szCs w:val="24"/>
        </w:rPr>
      </w:pPr>
      <w:bookmarkStart w:id="186" w:name="_Toc18131"/>
      <w:r>
        <w:rPr>
          <w:rFonts w:hint="eastAsia" w:ascii="宋体" w:hAnsi="宋体" w:cs="宋体"/>
          <w:color w:val="000000"/>
          <w:sz w:val="24"/>
          <w:szCs w:val="24"/>
        </w:rPr>
        <w:t xml:space="preserve">3.7.2 </w:t>
      </w:r>
      <w:bookmarkEnd w:id="186"/>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2DFBC9E1">
      <w:pPr>
        <w:adjustRightInd w:val="0"/>
        <w:snapToGrid w:val="0"/>
        <w:spacing w:line="360" w:lineRule="auto"/>
        <w:ind w:firstLine="482" w:firstLineChars="200"/>
        <w:rPr>
          <w:rFonts w:hint="eastAsia" w:ascii="宋体" w:hAnsi="宋体" w:cs="宋体"/>
          <w:b/>
          <w:bCs/>
          <w:color w:val="000000"/>
          <w:sz w:val="24"/>
          <w:szCs w:val="24"/>
        </w:rPr>
      </w:pPr>
      <w:bookmarkStart w:id="187" w:name="_Toc152045555"/>
      <w:bookmarkStart w:id="188" w:name="_Toc511585903"/>
      <w:bookmarkStart w:id="189" w:name="_Toc510859895"/>
      <w:bookmarkStart w:id="190" w:name="_Toc363119281"/>
      <w:bookmarkStart w:id="191" w:name="_Toc144974523"/>
      <w:bookmarkStart w:id="192" w:name="_Toc7204"/>
      <w:bookmarkStart w:id="193" w:name="_Toc152042331"/>
      <w:bookmarkStart w:id="194" w:name="_Toc9750"/>
      <w:bookmarkStart w:id="195" w:name="_Toc17210"/>
      <w:bookmarkStart w:id="196" w:name="_Toc5025"/>
      <w:bookmarkStart w:id="197" w:name="_Toc510859689"/>
      <w:bookmarkStart w:id="198" w:name="_Toc179632573"/>
      <w:r>
        <w:rPr>
          <w:rFonts w:hint="eastAsia" w:ascii="宋体" w:hAnsi="宋体" w:cs="宋体"/>
          <w:b/>
          <w:bCs/>
          <w:color w:val="000000"/>
          <w:sz w:val="24"/>
          <w:szCs w:val="24"/>
        </w:rPr>
        <w:t>4.</w:t>
      </w:r>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cs="宋体"/>
          <w:b/>
          <w:bCs/>
          <w:color w:val="000000"/>
          <w:sz w:val="24"/>
          <w:szCs w:val="24"/>
        </w:rPr>
        <w:t>磋商</w:t>
      </w:r>
    </w:p>
    <w:p w14:paraId="536296B5">
      <w:pPr>
        <w:adjustRightInd w:val="0"/>
        <w:snapToGrid w:val="0"/>
        <w:spacing w:line="360" w:lineRule="auto"/>
        <w:ind w:firstLine="480" w:firstLineChars="200"/>
        <w:rPr>
          <w:rFonts w:hint="eastAsia" w:ascii="宋体" w:hAnsi="宋体" w:cs="宋体"/>
          <w:color w:val="000000"/>
          <w:sz w:val="24"/>
          <w:szCs w:val="24"/>
        </w:rPr>
      </w:pPr>
      <w:bookmarkStart w:id="199" w:name="_Toc152042332"/>
      <w:bookmarkStart w:id="200" w:name="_Toc586"/>
      <w:bookmarkStart w:id="201" w:name="_Toc179632574"/>
      <w:bookmarkStart w:id="202" w:name="_Toc144974524"/>
      <w:bookmarkStart w:id="203" w:name="_Toc152045556"/>
      <w:bookmarkStart w:id="204" w:name="_Toc19580"/>
      <w:r>
        <w:rPr>
          <w:rFonts w:hint="eastAsia" w:ascii="宋体" w:hAnsi="宋体" w:cs="宋体"/>
          <w:color w:val="000000"/>
          <w:sz w:val="24"/>
          <w:szCs w:val="24"/>
        </w:rPr>
        <w:t>4.1 响应文件的标记</w:t>
      </w:r>
      <w:bookmarkEnd w:id="199"/>
      <w:bookmarkEnd w:id="200"/>
      <w:bookmarkEnd w:id="201"/>
      <w:bookmarkEnd w:id="202"/>
      <w:bookmarkEnd w:id="203"/>
    </w:p>
    <w:p w14:paraId="2ABB8E98">
      <w:pPr>
        <w:adjustRightInd w:val="0"/>
        <w:snapToGrid w:val="0"/>
        <w:spacing w:line="360" w:lineRule="auto"/>
        <w:ind w:firstLine="480" w:firstLineChars="200"/>
        <w:rPr>
          <w:rFonts w:hint="eastAsia" w:ascii="宋体" w:hAnsi="宋体" w:cs="宋体"/>
          <w:color w:val="000000"/>
          <w:sz w:val="24"/>
          <w:szCs w:val="24"/>
        </w:rPr>
      </w:pPr>
      <w:bookmarkStart w:id="205" w:name="_Toc16808"/>
      <w:r>
        <w:rPr>
          <w:rFonts w:hint="eastAsia" w:ascii="宋体" w:hAnsi="宋体" w:cs="宋体"/>
          <w:color w:val="000000"/>
          <w:sz w:val="24"/>
          <w:szCs w:val="24"/>
        </w:rPr>
        <w:t>4.1.1 响应文件的</w:t>
      </w:r>
      <w:bookmarkEnd w:id="205"/>
      <w:r>
        <w:rPr>
          <w:rFonts w:hint="eastAsia" w:ascii="宋体" w:hAnsi="宋体" w:cs="宋体"/>
          <w:color w:val="000000"/>
          <w:sz w:val="24"/>
          <w:szCs w:val="24"/>
        </w:rPr>
        <w:t>封面上应写明的其他内容：</w:t>
      </w:r>
      <w:bookmarkEnd w:id="204"/>
      <w:r>
        <w:rPr>
          <w:rFonts w:hint="eastAsia" w:ascii="宋体" w:hAnsi="宋体" w:cs="宋体"/>
          <w:color w:val="000000"/>
          <w:sz w:val="24"/>
          <w:szCs w:val="24"/>
        </w:rPr>
        <w:t>按照本文件“第六章 响应文件格式”编制。</w:t>
      </w:r>
    </w:p>
    <w:p w14:paraId="0DF96F44">
      <w:pPr>
        <w:adjustRightInd w:val="0"/>
        <w:snapToGrid w:val="0"/>
        <w:spacing w:line="360" w:lineRule="auto"/>
        <w:ind w:firstLine="480" w:firstLineChars="200"/>
        <w:rPr>
          <w:rFonts w:hint="eastAsia" w:ascii="宋体" w:hAnsi="宋体" w:cs="宋体"/>
          <w:color w:val="000000"/>
          <w:sz w:val="24"/>
          <w:szCs w:val="24"/>
        </w:rPr>
      </w:pPr>
      <w:bookmarkStart w:id="206" w:name="_Toc31766"/>
      <w:r>
        <w:rPr>
          <w:rFonts w:hint="eastAsia" w:ascii="宋体" w:hAnsi="宋体" w:cs="宋体"/>
          <w:color w:val="000000"/>
          <w:sz w:val="24"/>
          <w:szCs w:val="24"/>
        </w:rPr>
        <w:t>4.2</w:t>
      </w:r>
      <w:bookmarkEnd w:id="206"/>
      <w:bookmarkStart w:id="207" w:name="_Toc152045557"/>
      <w:bookmarkStart w:id="208" w:name="_Toc144974525"/>
      <w:bookmarkStart w:id="209" w:name="_Toc152042333"/>
      <w:bookmarkStart w:id="210" w:name="_Toc179632575"/>
      <w:bookmarkStart w:id="211" w:name="_Toc21228"/>
      <w:r>
        <w:rPr>
          <w:rFonts w:hint="eastAsia" w:ascii="宋体" w:hAnsi="宋体" w:cs="宋体"/>
          <w:color w:val="000000"/>
          <w:sz w:val="24"/>
          <w:szCs w:val="24"/>
        </w:rPr>
        <w:t>响应文件的递交</w:t>
      </w:r>
      <w:bookmarkEnd w:id="207"/>
      <w:bookmarkEnd w:id="208"/>
      <w:bookmarkEnd w:id="209"/>
      <w:bookmarkEnd w:id="210"/>
      <w:bookmarkEnd w:id="211"/>
    </w:p>
    <w:p w14:paraId="1F99E862">
      <w:pPr>
        <w:adjustRightInd w:val="0"/>
        <w:snapToGrid w:val="0"/>
        <w:spacing w:line="360" w:lineRule="auto"/>
        <w:ind w:firstLine="480" w:firstLineChars="200"/>
        <w:rPr>
          <w:rFonts w:hint="eastAsia" w:ascii="宋体" w:hAnsi="宋体" w:cs="宋体"/>
          <w:color w:val="000000"/>
          <w:sz w:val="24"/>
          <w:szCs w:val="24"/>
        </w:rPr>
      </w:pPr>
      <w:bookmarkStart w:id="212" w:name="_Toc29162"/>
      <w:r>
        <w:rPr>
          <w:rFonts w:hint="eastAsia" w:ascii="宋体" w:hAnsi="宋体" w:cs="宋体"/>
          <w:color w:val="000000"/>
          <w:sz w:val="24"/>
          <w:szCs w:val="24"/>
        </w:rPr>
        <w:t xml:space="preserve">4.2.1 </w:t>
      </w:r>
      <w:bookmarkStart w:id="213" w:name="_Toc15951"/>
      <w:r>
        <w:rPr>
          <w:rFonts w:hint="eastAsia" w:ascii="宋体" w:hAnsi="宋体" w:cs="宋体"/>
          <w:color w:val="000000"/>
          <w:sz w:val="24"/>
          <w:szCs w:val="24"/>
        </w:rPr>
        <w:t>供应商递交响应文件截止时间：详见供应商须知前附表</w:t>
      </w:r>
      <w:bookmarkEnd w:id="213"/>
      <w:r>
        <w:rPr>
          <w:rFonts w:hint="eastAsia" w:ascii="宋体" w:hAnsi="宋体" w:cs="宋体"/>
          <w:color w:val="000000"/>
          <w:sz w:val="24"/>
          <w:szCs w:val="24"/>
        </w:rPr>
        <w:t>。</w:t>
      </w:r>
    </w:p>
    <w:p w14:paraId="4841939D">
      <w:pPr>
        <w:adjustRightInd w:val="0"/>
        <w:snapToGrid w:val="0"/>
        <w:spacing w:line="360" w:lineRule="auto"/>
        <w:ind w:firstLine="480" w:firstLineChars="200"/>
        <w:rPr>
          <w:rFonts w:hint="eastAsia" w:ascii="宋体" w:hAnsi="宋体" w:cs="宋体"/>
          <w:color w:val="000000"/>
          <w:sz w:val="24"/>
          <w:szCs w:val="24"/>
        </w:rPr>
      </w:pPr>
      <w:bookmarkStart w:id="214" w:name="_Toc13743"/>
      <w:r>
        <w:rPr>
          <w:rFonts w:hint="eastAsia" w:ascii="宋体" w:hAnsi="宋体" w:cs="宋体"/>
          <w:color w:val="000000"/>
          <w:sz w:val="24"/>
          <w:szCs w:val="24"/>
        </w:rPr>
        <w:t>4.2.2 供应商递交响应文件的地点：详见供应商须知前附表</w:t>
      </w:r>
      <w:bookmarkEnd w:id="214"/>
      <w:r>
        <w:rPr>
          <w:rFonts w:hint="eastAsia" w:ascii="宋体" w:hAnsi="宋体" w:cs="宋体"/>
          <w:color w:val="000000"/>
          <w:sz w:val="24"/>
          <w:szCs w:val="24"/>
        </w:rPr>
        <w:t>。</w:t>
      </w:r>
    </w:p>
    <w:p w14:paraId="10C2378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4.2.3是否退还响应文件：</w:t>
      </w:r>
      <w:bookmarkEnd w:id="212"/>
      <w:r>
        <w:rPr>
          <w:rFonts w:hint="eastAsia" w:ascii="宋体" w:hAnsi="宋体" w:cs="宋体"/>
          <w:color w:val="000000"/>
          <w:sz w:val="24"/>
          <w:szCs w:val="24"/>
        </w:rPr>
        <w:t>不予退还。</w:t>
      </w:r>
    </w:p>
    <w:p w14:paraId="02F77CC9">
      <w:pPr>
        <w:adjustRightInd w:val="0"/>
        <w:snapToGrid w:val="0"/>
        <w:spacing w:line="360" w:lineRule="auto"/>
        <w:ind w:firstLine="480" w:firstLineChars="200"/>
        <w:rPr>
          <w:rFonts w:ascii="宋体" w:hAnsi="宋体" w:cs="宋体"/>
          <w:color w:val="000000"/>
          <w:sz w:val="24"/>
          <w:szCs w:val="24"/>
        </w:rPr>
      </w:pPr>
      <w:bookmarkStart w:id="215" w:name="_Toc10583"/>
      <w:r>
        <w:rPr>
          <w:rFonts w:hint="eastAsia" w:ascii="宋体" w:hAnsi="宋体" w:cs="宋体"/>
          <w:color w:val="000000"/>
          <w:sz w:val="24"/>
          <w:szCs w:val="24"/>
        </w:rPr>
        <w:t>4.2.</w:t>
      </w:r>
      <w:bookmarkEnd w:id="215"/>
      <w:bookmarkStart w:id="216" w:name="_Toc1316"/>
      <w:r>
        <w:rPr>
          <w:rFonts w:hint="eastAsia" w:ascii="宋体" w:hAnsi="宋体" w:cs="宋体"/>
          <w:color w:val="000000"/>
          <w:sz w:val="24"/>
          <w:szCs w:val="24"/>
        </w:rPr>
        <w:t>4采购需求及商务要求中明确要求提供磋商样品的，应当按照相关要求在递交响应文件时按要求递交。</w:t>
      </w:r>
    </w:p>
    <w:p w14:paraId="26A50C7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16"/>
    </w:p>
    <w:p w14:paraId="4BDB89BE">
      <w:pPr>
        <w:adjustRightInd w:val="0"/>
        <w:snapToGrid w:val="0"/>
        <w:spacing w:line="360" w:lineRule="auto"/>
        <w:ind w:firstLine="482" w:firstLineChars="200"/>
        <w:rPr>
          <w:rFonts w:hint="eastAsia" w:ascii="宋体" w:hAnsi="宋体" w:cs="宋体"/>
          <w:b/>
          <w:bCs/>
          <w:color w:val="000000"/>
          <w:sz w:val="24"/>
          <w:szCs w:val="24"/>
        </w:rPr>
      </w:pPr>
      <w:bookmarkStart w:id="217" w:name="_Toc152045559"/>
      <w:bookmarkStart w:id="218" w:name="_Toc179632577"/>
      <w:bookmarkStart w:id="219" w:name="_Toc363119282"/>
      <w:bookmarkStart w:id="220" w:name="_Toc29037"/>
      <w:bookmarkStart w:id="221" w:name="_Toc29322"/>
      <w:bookmarkStart w:id="222" w:name="_Toc28351"/>
      <w:bookmarkStart w:id="223" w:name="_Toc510859690"/>
      <w:bookmarkStart w:id="224" w:name="_Toc11122"/>
      <w:bookmarkStart w:id="225" w:name="_Toc152042335"/>
      <w:bookmarkStart w:id="226" w:name="_Toc510859896"/>
      <w:bookmarkStart w:id="227" w:name="_Toc511585904"/>
      <w:bookmarkStart w:id="228" w:name="_Toc144974527"/>
      <w:r>
        <w:rPr>
          <w:rFonts w:hint="eastAsia" w:ascii="宋体" w:hAnsi="宋体" w:cs="宋体"/>
          <w:b/>
          <w:bCs/>
          <w:color w:val="000000"/>
          <w:sz w:val="24"/>
          <w:szCs w:val="24"/>
        </w:rPr>
        <w:t>5.开标</w:t>
      </w:r>
      <w:bookmarkEnd w:id="217"/>
      <w:bookmarkEnd w:id="218"/>
      <w:bookmarkEnd w:id="219"/>
      <w:bookmarkEnd w:id="220"/>
      <w:bookmarkEnd w:id="221"/>
      <w:bookmarkEnd w:id="222"/>
      <w:bookmarkEnd w:id="223"/>
      <w:bookmarkEnd w:id="224"/>
      <w:bookmarkEnd w:id="225"/>
      <w:bookmarkEnd w:id="226"/>
      <w:bookmarkEnd w:id="227"/>
      <w:bookmarkEnd w:id="228"/>
    </w:p>
    <w:p w14:paraId="67CDE278">
      <w:pPr>
        <w:adjustRightInd w:val="0"/>
        <w:snapToGrid w:val="0"/>
        <w:spacing w:line="360" w:lineRule="auto"/>
        <w:ind w:firstLine="480" w:firstLineChars="200"/>
        <w:rPr>
          <w:rFonts w:hint="eastAsia" w:ascii="宋体" w:hAnsi="宋体" w:cs="宋体"/>
          <w:color w:val="000000"/>
          <w:sz w:val="24"/>
          <w:szCs w:val="24"/>
        </w:rPr>
      </w:pPr>
      <w:bookmarkStart w:id="229" w:name="_Toc152045560"/>
      <w:bookmarkStart w:id="230" w:name="_Toc179632578"/>
      <w:bookmarkStart w:id="231" w:name="_Toc2321"/>
      <w:bookmarkStart w:id="232" w:name="_Toc144974528"/>
      <w:bookmarkStart w:id="233" w:name="_Toc152042336"/>
      <w:r>
        <w:rPr>
          <w:rFonts w:hint="eastAsia" w:ascii="宋体" w:hAnsi="宋体" w:cs="宋体"/>
          <w:color w:val="000000"/>
          <w:sz w:val="24"/>
          <w:szCs w:val="24"/>
        </w:rPr>
        <w:t>5.1 竞争性磋商会议时间和地点</w:t>
      </w:r>
      <w:bookmarkEnd w:id="229"/>
      <w:bookmarkEnd w:id="230"/>
      <w:bookmarkEnd w:id="231"/>
      <w:bookmarkEnd w:id="232"/>
      <w:bookmarkEnd w:id="233"/>
      <w:r>
        <w:rPr>
          <w:rFonts w:hint="eastAsia" w:ascii="宋体" w:hAnsi="宋体" w:cs="宋体"/>
          <w:color w:val="000000"/>
          <w:sz w:val="24"/>
          <w:szCs w:val="24"/>
        </w:rPr>
        <w:t>：</w:t>
      </w:r>
      <w:bookmarkStart w:id="234"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4"/>
    </w:p>
    <w:p w14:paraId="0DB3E492">
      <w:pPr>
        <w:adjustRightInd w:val="0"/>
        <w:snapToGrid w:val="0"/>
        <w:spacing w:line="360" w:lineRule="auto"/>
        <w:ind w:firstLine="480" w:firstLineChars="200"/>
        <w:rPr>
          <w:rFonts w:hint="eastAsia" w:ascii="宋体" w:hAnsi="宋体" w:cs="宋体"/>
          <w:b/>
          <w:bCs/>
          <w:color w:val="000000"/>
          <w:sz w:val="24"/>
          <w:szCs w:val="24"/>
        </w:rPr>
      </w:pPr>
      <w:bookmarkStart w:id="235" w:name="_Toc10213"/>
      <w:bookmarkStart w:id="236" w:name="_Toc179632579"/>
      <w:bookmarkStart w:id="237" w:name="_Toc152045561"/>
      <w:bookmarkStart w:id="238" w:name="_Toc144974529"/>
      <w:bookmarkStart w:id="239" w:name="_Toc152042337"/>
      <w:r>
        <w:rPr>
          <w:rFonts w:hint="eastAsia" w:ascii="宋体" w:hAnsi="宋体" w:cs="宋体"/>
          <w:color w:val="000000"/>
          <w:sz w:val="24"/>
          <w:szCs w:val="24"/>
        </w:rPr>
        <w:t>5.2 开标程序</w:t>
      </w:r>
      <w:bookmarkEnd w:id="235"/>
      <w:bookmarkEnd w:id="236"/>
      <w:bookmarkEnd w:id="237"/>
      <w:bookmarkEnd w:id="238"/>
      <w:bookmarkEnd w:id="239"/>
      <w:r>
        <w:rPr>
          <w:rFonts w:hint="eastAsia" w:ascii="宋体" w:hAnsi="宋体" w:cs="宋体"/>
          <w:color w:val="000000"/>
          <w:sz w:val="24"/>
          <w:szCs w:val="24"/>
        </w:rPr>
        <w:t>：详见供应商须知前附表。</w:t>
      </w:r>
    </w:p>
    <w:p w14:paraId="658FEF8E">
      <w:pPr>
        <w:adjustRightInd w:val="0"/>
        <w:snapToGrid w:val="0"/>
        <w:spacing w:line="360" w:lineRule="auto"/>
        <w:ind w:firstLine="482" w:firstLineChars="200"/>
        <w:rPr>
          <w:rFonts w:hint="eastAsia" w:ascii="宋体" w:hAnsi="宋体" w:cs="宋体"/>
          <w:b/>
          <w:bCs/>
          <w:color w:val="000000"/>
          <w:sz w:val="24"/>
          <w:szCs w:val="24"/>
        </w:rPr>
      </w:pPr>
      <w:bookmarkStart w:id="240" w:name="_Toc15910"/>
      <w:bookmarkStart w:id="241" w:name="_Toc510859691"/>
      <w:bookmarkStart w:id="242" w:name="_Toc144974530"/>
      <w:bookmarkStart w:id="243" w:name="_Toc511585905"/>
      <w:bookmarkStart w:id="244" w:name="_Toc363119283"/>
      <w:bookmarkStart w:id="245" w:name="_Toc152045562"/>
      <w:bookmarkStart w:id="246" w:name="_Toc10068"/>
      <w:bookmarkStart w:id="247" w:name="_Toc152042338"/>
      <w:bookmarkStart w:id="248" w:name="_Toc510859897"/>
      <w:bookmarkStart w:id="249" w:name="_Toc20274"/>
      <w:bookmarkStart w:id="250" w:name="_Toc17998"/>
      <w:bookmarkStart w:id="251" w:name="_Toc179632580"/>
      <w:r>
        <w:rPr>
          <w:rFonts w:hint="eastAsia" w:ascii="宋体" w:hAnsi="宋体" w:cs="宋体"/>
          <w:b/>
          <w:bCs/>
          <w:color w:val="000000"/>
          <w:sz w:val="24"/>
          <w:szCs w:val="24"/>
        </w:rPr>
        <w:t>6.</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 w:val="24"/>
          <w:szCs w:val="24"/>
        </w:rPr>
        <w:t>评审</w:t>
      </w:r>
    </w:p>
    <w:p w14:paraId="3F314219">
      <w:pPr>
        <w:adjustRightInd w:val="0"/>
        <w:snapToGrid w:val="0"/>
        <w:spacing w:line="360" w:lineRule="auto"/>
        <w:ind w:firstLine="480" w:firstLineChars="200"/>
        <w:rPr>
          <w:rFonts w:hint="eastAsia" w:ascii="宋体" w:hAnsi="宋体" w:cs="宋体"/>
          <w:color w:val="000000"/>
          <w:sz w:val="24"/>
          <w:szCs w:val="24"/>
        </w:rPr>
      </w:pPr>
      <w:bookmarkStart w:id="252" w:name="_Toc14991"/>
      <w:bookmarkStart w:id="253" w:name="_Toc152042339"/>
      <w:bookmarkStart w:id="254" w:name="_Toc179632581"/>
      <w:bookmarkStart w:id="255" w:name="_Toc152045563"/>
      <w:bookmarkStart w:id="256" w:name="_Toc144974531"/>
      <w:r>
        <w:rPr>
          <w:rFonts w:hint="eastAsia" w:ascii="宋体" w:hAnsi="宋体" w:cs="宋体"/>
          <w:color w:val="000000"/>
          <w:sz w:val="24"/>
          <w:szCs w:val="24"/>
        </w:rPr>
        <w:t xml:space="preserve">6.1 </w:t>
      </w:r>
      <w:bookmarkEnd w:id="252"/>
      <w:bookmarkEnd w:id="253"/>
      <w:bookmarkEnd w:id="254"/>
      <w:bookmarkEnd w:id="255"/>
      <w:bookmarkEnd w:id="256"/>
      <w:bookmarkStart w:id="257"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57"/>
    </w:p>
    <w:p w14:paraId="444E0756">
      <w:pPr>
        <w:adjustRightInd w:val="0"/>
        <w:snapToGrid w:val="0"/>
        <w:spacing w:line="360" w:lineRule="auto"/>
        <w:ind w:firstLine="480" w:firstLineChars="200"/>
        <w:rPr>
          <w:rFonts w:hint="eastAsia" w:ascii="宋体" w:hAnsi="宋体" w:cs="宋体"/>
          <w:color w:val="000000"/>
          <w:sz w:val="24"/>
          <w:szCs w:val="24"/>
        </w:rPr>
      </w:pPr>
      <w:bookmarkStart w:id="258" w:name="_Toc18720"/>
      <w:r>
        <w:rPr>
          <w:rFonts w:hint="eastAsia" w:ascii="宋体" w:hAnsi="宋体" w:cs="宋体"/>
          <w:color w:val="000000"/>
          <w:sz w:val="24"/>
          <w:szCs w:val="24"/>
        </w:rPr>
        <w:t>6.2 磋商小组成员</w:t>
      </w:r>
      <w:bookmarkEnd w:id="258"/>
      <w:bookmarkStart w:id="259" w:name="_Toc152042340"/>
      <w:bookmarkStart w:id="260" w:name="_Toc179632582"/>
      <w:bookmarkStart w:id="261" w:name="_Toc144974532"/>
      <w:bookmarkStart w:id="262" w:name="_Toc13026"/>
      <w:bookmarkStart w:id="263" w:name="_Toc152045564"/>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52E20E4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w:t>
      </w:r>
      <w:bookmarkEnd w:id="259"/>
      <w:bookmarkEnd w:id="260"/>
      <w:bookmarkEnd w:id="261"/>
      <w:bookmarkEnd w:id="262"/>
      <w:bookmarkEnd w:id="263"/>
      <w:bookmarkStart w:id="264" w:name="_Toc23670"/>
      <w:bookmarkStart w:id="265" w:name="_Toc144974533"/>
      <w:bookmarkStart w:id="266" w:name="_Toc179632583"/>
      <w:bookmarkStart w:id="267" w:name="_Toc152045565"/>
      <w:bookmarkStart w:id="268" w:name="_Toc152042341"/>
      <w:r>
        <w:rPr>
          <w:rFonts w:hint="eastAsia" w:ascii="宋体" w:hAnsi="宋体" w:cs="宋体"/>
          <w:color w:val="000000"/>
          <w:sz w:val="24"/>
          <w:szCs w:val="24"/>
        </w:rPr>
        <w:t xml:space="preserve">3 </w:t>
      </w:r>
      <w:bookmarkEnd w:id="264"/>
      <w:bookmarkEnd w:id="265"/>
      <w:bookmarkEnd w:id="266"/>
      <w:bookmarkEnd w:id="267"/>
      <w:bookmarkEnd w:id="268"/>
      <w:bookmarkStart w:id="269"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69"/>
    </w:p>
    <w:p w14:paraId="7B393468">
      <w:pPr>
        <w:adjustRightInd w:val="0"/>
        <w:snapToGrid w:val="0"/>
        <w:spacing w:line="360" w:lineRule="auto"/>
        <w:ind w:firstLine="480" w:firstLineChars="200"/>
        <w:rPr>
          <w:rFonts w:hint="eastAsia" w:ascii="宋体" w:hAnsi="宋体" w:cs="宋体"/>
          <w:color w:val="000000"/>
          <w:sz w:val="24"/>
          <w:szCs w:val="24"/>
        </w:rPr>
      </w:pPr>
      <w:bookmarkStart w:id="270" w:name="_Toc12679"/>
      <w:r>
        <w:rPr>
          <w:rFonts w:hint="eastAsia" w:ascii="宋体" w:hAnsi="宋体" w:cs="宋体"/>
          <w:color w:val="000000"/>
          <w:sz w:val="24"/>
          <w:szCs w:val="24"/>
        </w:rPr>
        <w:t>6.4评审过程的保密</w:t>
      </w:r>
      <w:bookmarkEnd w:id="270"/>
    </w:p>
    <w:p w14:paraId="5544FDAE">
      <w:pPr>
        <w:adjustRightInd w:val="0"/>
        <w:snapToGrid w:val="0"/>
        <w:spacing w:line="360" w:lineRule="auto"/>
        <w:ind w:firstLine="480" w:firstLineChars="200"/>
        <w:rPr>
          <w:rFonts w:hint="eastAsia" w:ascii="宋体" w:hAnsi="宋体" w:cs="宋体"/>
          <w:color w:val="000000"/>
          <w:sz w:val="24"/>
          <w:szCs w:val="24"/>
        </w:rPr>
      </w:pPr>
      <w:bookmarkStart w:id="271"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71"/>
    </w:p>
    <w:p w14:paraId="7339FFA5">
      <w:pPr>
        <w:adjustRightInd w:val="0"/>
        <w:snapToGrid w:val="0"/>
        <w:spacing w:line="360" w:lineRule="auto"/>
        <w:ind w:firstLine="480" w:firstLineChars="200"/>
        <w:rPr>
          <w:rFonts w:hint="eastAsia" w:ascii="宋体" w:hAnsi="宋体" w:cs="宋体"/>
          <w:color w:val="000000"/>
          <w:sz w:val="24"/>
          <w:szCs w:val="24"/>
        </w:rPr>
      </w:pPr>
      <w:bookmarkStart w:id="272"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72"/>
    </w:p>
    <w:p w14:paraId="148A4E71">
      <w:pPr>
        <w:adjustRightInd w:val="0"/>
        <w:snapToGrid w:val="0"/>
        <w:spacing w:line="360" w:lineRule="auto"/>
        <w:ind w:firstLine="480" w:firstLineChars="200"/>
        <w:rPr>
          <w:rFonts w:hint="eastAsia" w:ascii="宋体" w:hAnsi="宋体" w:cs="宋体"/>
          <w:color w:val="000000"/>
          <w:sz w:val="24"/>
          <w:szCs w:val="24"/>
        </w:rPr>
      </w:pPr>
      <w:bookmarkStart w:id="273"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73"/>
      <w:bookmarkStart w:id="274" w:name="_Toc152045566"/>
      <w:bookmarkStart w:id="275" w:name="_Toc152042342"/>
      <w:bookmarkStart w:id="276" w:name="_Toc179632584"/>
      <w:bookmarkStart w:id="277" w:name="_Toc144974534"/>
    </w:p>
    <w:p w14:paraId="4D3B1E8D">
      <w:pPr>
        <w:adjustRightInd w:val="0"/>
        <w:snapToGrid w:val="0"/>
        <w:spacing w:line="360" w:lineRule="auto"/>
        <w:ind w:firstLine="480" w:firstLineChars="200"/>
        <w:rPr>
          <w:rFonts w:hint="eastAsia" w:ascii="宋体" w:hAnsi="宋体" w:cs="宋体"/>
          <w:color w:val="000000"/>
          <w:sz w:val="24"/>
          <w:szCs w:val="24"/>
        </w:rPr>
      </w:pPr>
      <w:bookmarkStart w:id="278" w:name="_Toc15037"/>
      <w:r>
        <w:rPr>
          <w:rFonts w:hint="eastAsia" w:ascii="宋体" w:hAnsi="宋体" w:cs="宋体"/>
          <w:color w:val="000000"/>
          <w:sz w:val="24"/>
          <w:szCs w:val="24"/>
        </w:rPr>
        <w:t>6.5响应文件的澄清</w:t>
      </w:r>
      <w:bookmarkEnd w:id="278"/>
    </w:p>
    <w:p w14:paraId="7C72E560">
      <w:pPr>
        <w:adjustRightInd w:val="0"/>
        <w:snapToGrid w:val="0"/>
        <w:spacing w:line="360" w:lineRule="auto"/>
        <w:ind w:firstLine="480" w:firstLineChars="200"/>
        <w:rPr>
          <w:rFonts w:hint="eastAsia" w:ascii="宋体" w:hAnsi="宋体" w:cs="宋体"/>
          <w:color w:val="000000"/>
          <w:sz w:val="24"/>
          <w:szCs w:val="24"/>
        </w:rPr>
      </w:pPr>
      <w:bookmarkStart w:id="279" w:name="_Toc28665"/>
      <w:r>
        <w:rPr>
          <w:rFonts w:hint="eastAsia" w:ascii="宋体" w:hAnsi="宋体" w:cs="宋体"/>
          <w:color w:val="000000"/>
          <w:sz w:val="24"/>
          <w:szCs w:val="24"/>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79"/>
    </w:p>
    <w:p w14:paraId="4092F760">
      <w:pPr>
        <w:adjustRightInd w:val="0"/>
        <w:snapToGrid w:val="0"/>
        <w:spacing w:line="360" w:lineRule="auto"/>
        <w:ind w:firstLine="480" w:firstLineChars="200"/>
        <w:rPr>
          <w:rFonts w:hint="eastAsia" w:ascii="宋体" w:hAnsi="宋体" w:cs="宋体"/>
          <w:color w:val="000000"/>
          <w:sz w:val="24"/>
          <w:szCs w:val="24"/>
        </w:rPr>
      </w:pPr>
      <w:bookmarkStart w:id="280" w:name="_Toc17164"/>
      <w:r>
        <w:rPr>
          <w:rFonts w:hint="eastAsia" w:ascii="宋体" w:hAnsi="宋体" w:cs="宋体"/>
          <w:color w:val="000000"/>
          <w:sz w:val="24"/>
          <w:szCs w:val="24"/>
        </w:rPr>
        <w:t>（2）磋商小组认为有必要时，可向供应商进行询标。</w:t>
      </w:r>
      <w:bookmarkEnd w:id="280"/>
    </w:p>
    <w:p w14:paraId="325CFA30">
      <w:pPr>
        <w:adjustRightInd w:val="0"/>
        <w:snapToGrid w:val="0"/>
        <w:spacing w:line="360" w:lineRule="auto"/>
        <w:ind w:firstLine="480" w:firstLineChars="200"/>
        <w:rPr>
          <w:rFonts w:hint="eastAsia" w:ascii="宋体" w:hAnsi="宋体" w:cs="宋体"/>
          <w:color w:val="000000"/>
          <w:sz w:val="24"/>
          <w:szCs w:val="24"/>
        </w:rPr>
      </w:pPr>
      <w:bookmarkStart w:id="281" w:name="_Toc2476"/>
      <w:r>
        <w:rPr>
          <w:rFonts w:hint="eastAsia" w:ascii="宋体" w:hAnsi="宋体" w:cs="宋体"/>
          <w:color w:val="000000"/>
          <w:sz w:val="24"/>
          <w:szCs w:val="24"/>
        </w:rPr>
        <w:t>6.</w:t>
      </w:r>
      <w:bookmarkEnd w:id="281"/>
      <w:bookmarkStart w:id="282" w:name="_Toc11239"/>
      <w:r>
        <w:rPr>
          <w:rFonts w:hint="eastAsia" w:ascii="宋体" w:hAnsi="宋体" w:cs="宋体"/>
          <w:color w:val="000000"/>
          <w:sz w:val="24"/>
          <w:szCs w:val="24"/>
        </w:rPr>
        <w:t>6响应文件的评审、比较和否决</w:t>
      </w:r>
      <w:bookmarkEnd w:id="282"/>
    </w:p>
    <w:p w14:paraId="3522E0FE">
      <w:pPr>
        <w:adjustRightInd w:val="0"/>
        <w:snapToGrid w:val="0"/>
        <w:spacing w:line="360" w:lineRule="auto"/>
        <w:ind w:firstLine="480" w:firstLineChars="200"/>
        <w:rPr>
          <w:rFonts w:hint="eastAsia" w:ascii="宋体" w:hAnsi="宋体" w:cs="宋体"/>
          <w:color w:val="000000"/>
          <w:sz w:val="24"/>
          <w:szCs w:val="24"/>
        </w:rPr>
      </w:pPr>
      <w:bookmarkStart w:id="283"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83"/>
    </w:p>
    <w:p w14:paraId="6277486D">
      <w:pPr>
        <w:adjustRightInd w:val="0"/>
        <w:snapToGrid w:val="0"/>
        <w:spacing w:line="360" w:lineRule="auto"/>
        <w:ind w:firstLine="480" w:firstLineChars="200"/>
        <w:rPr>
          <w:rFonts w:hint="eastAsia" w:ascii="宋体" w:hAnsi="宋体" w:cs="宋体"/>
          <w:color w:val="000000"/>
          <w:sz w:val="24"/>
          <w:szCs w:val="24"/>
        </w:rPr>
      </w:pPr>
      <w:bookmarkStart w:id="284"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84"/>
    </w:p>
    <w:p w14:paraId="2275456B">
      <w:pPr>
        <w:adjustRightInd w:val="0"/>
        <w:snapToGrid w:val="0"/>
        <w:spacing w:line="360" w:lineRule="auto"/>
        <w:ind w:firstLine="480" w:firstLineChars="200"/>
        <w:rPr>
          <w:rFonts w:hint="eastAsia" w:ascii="宋体" w:hAnsi="宋体" w:cs="宋体"/>
          <w:color w:val="000000"/>
          <w:sz w:val="24"/>
          <w:szCs w:val="24"/>
        </w:rPr>
      </w:pPr>
      <w:bookmarkStart w:id="285"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85"/>
    </w:p>
    <w:p w14:paraId="1E8377AB">
      <w:pPr>
        <w:adjustRightInd w:val="0"/>
        <w:snapToGrid w:val="0"/>
        <w:spacing w:line="360" w:lineRule="auto"/>
        <w:ind w:firstLine="482" w:firstLineChars="200"/>
        <w:rPr>
          <w:rFonts w:hint="eastAsia" w:ascii="宋体" w:hAnsi="宋体" w:cs="宋体"/>
          <w:b/>
          <w:bCs/>
          <w:color w:val="000000"/>
          <w:sz w:val="24"/>
          <w:szCs w:val="24"/>
        </w:rPr>
      </w:pPr>
      <w:bookmarkStart w:id="286" w:name="_Toc7702"/>
      <w:bookmarkStart w:id="287" w:name="_Toc363119284"/>
      <w:bookmarkStart w:id="288" w:name="_Toc510859692"/>
      <w:bookmarkStart w:id="289" w:name="_Toc12726"/>
      <w:bookmarkStart w:id="290" w:name="_Toc510859898"/>
      <w:bookmarkStart w:id="291" w:name="_Toc511585906"/>
      <w:bookmarkStart w:id="292" w:name="_Toc31723"/>
      <w:bookmarkStart w:id="293" w:name="_Toc29031"/>
      <w:r>
        <w:rPr>
          <w:rFonts w:hint="eastAsia" w:ascii="宋体" w:hAnsi="宋体" w:cs="宋体"/>
          <w:b/>
          <w:bCs/>
          <w:color w:val="000000"/>
          <w:sz w:val="24"/>
          <w:szCs w:val="24"/>
        </w:rPr>
        <w:t>7.合同授予</w:t>
      </w:r>
      <w:bookmarkEnd w:id="274"/>
      <w:bookmarkEnd w:id="275"/>
      <w:bookmarkEnd w:id="276"/>
      <w:bookmarkEnd w:id="277"/>
      <w:bookmarkEnd w:id="286"/>
      <w:bookmarkEnd w:id="287"/>
      <w:bookmarkEnd w:id="288"/>
      <w:bookmarkEnd w:id="289"/>
      <w:bookmarkEnd w:id="290"/>
      <w:bookmarkEnd w:id="291"/>
      <w:bookmarkEnd w:id="292"/>
      <w:bookmarkEnd w:id="293"/>
    </w:p>
    <w:p w14:paraId="498FD2A2">
      <w:pPr>
        <w:adjustRightInd w:val="0"/>
        <w:snapToGrid w:val="0"/>
        <w:spacing w:line="360" w:lineRule="auto"/>
        <w:ind w:firstLine="480" w:firstLineChars="200"/>
        <w:rPr>
          <w:rFonts w:hint="eastAsia" w:ascii="宋体" w:hAnsi="宋体" w:cs="宋体"/>
          <w:color w:val="000000"/>
          <w:sz w:val="24"/>
          <w:szCs w:val="24"/>
        </w:rPr>
      </w:pPr>
      <w:bookmarkStart w:id="294" w:name="_Toc152042343"/>
      <w:bookmarkStart w:id="295" w:name="_Toc179632585"/>
      <w:bookmarkStart w:id="296" w:name="_Toc152045567"/>
      <w:bookmarkStart w:id="297" w:name="_Toc18545"/>
      <w:bookmarkStart w:id="298" w:name="_Toc144974535"/>
      <w:r>
        <w:rPr>
          <w:rFonts w:hint="eastAsia" w:ascii="宋体" w:hAnsi="宋体" w:cs="宋体"/>
          <w:color w:val="000000"/>
          <w:sz w:val="24"/>
          <w:szCs w:val="24"/>
        </w:rPr>
        <w:t>7.1 定标方式</w:t>
      </w:r>
      <w:bookmarkEnd w:id="294"/>
      <w:bookmarkEnd w:id="295"/>
      <w:bookmarkEnd w:id="296"/>
      <w:bookmarkEnd w:id="297"/>
      <w:bookmarkEnd w:id="298"/>
      <w:r>
        <w:rPr>
          <w:rFonts w:hint="eastAsia" w:ascii="宋体" w:hAnsi="宋体" w:cs="宋体"/>
          <w:color w:val="000000"/>
          <w:sz w:val="24"/>
          <w:szCs w:val="24"/>
        </w:rPr>
        <w:t>：</w:t>
      </w:r>
      <w:bookmarkStart w:id="299" w:name="_Toc152045568"/>
      <w:bookmarkStart w:id="300" w:name="_Toc179632586"/>
      <w:bookmarkStart w:id="301" w:name="_Toc152042344"/>
      <w:bookmarkStart w:id="302" w:name="_Toc144974536"/>
      <w:bookmarkStart w:id="303" w:name="_Toc24719"/>
      <w:r>
        <w:rPr>
          <w:rFonts w:hint="eastAsia" w:ascii="宋体" w:hAnsi="宋体" w:cs="宋体"/>
          <w:color w:val="000000"/>
          <w:sz w:val="24"/>
          <w:szCs w:val="24"/>
        </w:rPr>
        <w:t>详见供应商须知前附表，采购人依据磋商小组推荐的成交候选人确定成交供应商。</w:t>
      </w:r>
    </w:p>
    <w:p w14:paraId="22B7A3E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7.2 </w:t>
      </w:r>
      <w:bookmarkEnd w:id="299"/>
      <w:bookmarkEnd w:id="300"/>
      <w:bookmarkEnd w:id="301"/>
      <w:bookmarkEnd w:id="302"/>
      <w:bookmarkEnd w:id="303"/>
      <w:r>
        <w:rPr>
          <w:rFonts w:hint="eastAsia" w:ascii="宋体" w:hAnsi="宋体" w:cs="宋体"/>
          <w:color w:val="000000"/>
          <w:sz w:val="24"/>
          <w:szCs w:val="24"/>
        </w:rPr>
        <w:t>成交通知</w:t>
      </w:r>
    </w:p>
    <w:p w14:paraId="5C4B58CA">
      <w:pPr>
        <w:adjustRightInd w:val="0"/>
        <w:snapToGrid w:val="0"/>
        <w:spacing w:line="360" w:lineRule="auto"/>
        <w:ind w:firstLine="480" w:firstLineChars="200"/>
        <w:rPr>
          <w:rFonts w:hint="eastAsia" w:ascii="宋体" w:hAnsi="宋体" w:cs="宋体"/>
          <w:color w:val="000000"/>
          <w:sz w:val="24"/>
          <w:szCs w:val="24"/>
        </w:rPr>
      </w:pPr>
      <w:bookmarkStart w:id="304"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04"/>
    </w:p>
    <w:p w14:paraId="1A30389F">
      <w:pPr>
        <w:adjustRightInd w:val="0"/>
        <w:snapToGrid w:val="0"/>
        <w:spacing w:line="360" w:lineRule="auto"/>
        <w:ind w:firstLine="480" w:firstLineChars="200"/>
        <w:rPr>
          <w:rFonts w:hint="eastAsia" w:ascii="宋体" w:hAnsi="宋体" w:cs="宋体"/>
          <w:color w:val="000000"/>
          <w:sz w:val="24"/>
          <w:szCs w:val="24"/>
        </w:rPr>
      </w:pPr>
      <w:bookmarkStart w:id="305" w:name="_Toc11786"/>
      <w:bookmarkStart w:id="306" w:name="_Toc179632587"/>
      <w:bookmarkStart w:id="307" w:name="_Toc152042345"/>
      <w:bookmarkStart w:id="308" w:name="_Toc152045569"/>
      <w:bookmarkStart w:id="309" w:name="_Toc144974537"/>
      <w:r>
        <w:rPr>
          <w:rFonts w:hint="eastAsia" w:ascii="宋体" w:hAnsi="宋体" w:cs="宋体"/>
          <w:color w:val="000000"/>
          <w:sz w:val="24"/>
          <w:szCs w:val="24"/>
        </w:rPr>
        <w:t>7.3 履约担保</w:t>
      </w:r>
      <w:bookmarkEnd w:id="305"/>
      <w:bookmarkEnd w:id="306"/>
      <w:bookmarkEnd w:id="307"/>
      <w:bookmarkEnd w:id="308"/>
      <w:bookmarkEnd w:id="309"/>
    </w:p>
    <w:p w14:paraId="02D3B94D">
      <w:pPr>
        <w:adjustRightInd w:val="0"/>
        <w:snapToGrid w:val="0"/>
        <w:spacing w:line="360" w:lineRule="auto"/>
        <w:ind w:firstLine="480" w:firstLineChars="200"/>
        <w:rPr>
          <w:rFonts w:hint="eastAsia" w:ascii="宋体" w:hAnsi="宋体" w:cs="宋体"/>
          <w:color w:val="000000"/>
          <w:sz w:val="24"/>
          <w:szCs w:val="24"/>
        </w:rPr>
      </w:pPr>
      <w:bookmarkStart w:id="310"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0"/>
    </w:p>
    <w:p w14:paraId="4C8B98E5">
      <w:pPr>
        <w:adjustRightInd w:val="0"/>
        <w:snapToGrid w:val="0"/>
        <w:spacing w:line="360" w:lineRule="auto"/>
        <w:ind w:firstLine="480" w:firstLineChars="200"/>
        <w:rPr>
          <w:rFonts w:hint="eastAsia" w:ascii="宋体" w:hAnsi="宋体" w:cs="宋体"/>
          <w:color w:val="000000"/>
          <w:sz w:val="24"/>
          <w:szCs w:val="24"/>
        </w:rPr>
      </w:pPr>
      <w:bookmarkStart w:id="311" w:name="_Toc18356"/>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1"/>
    </w:p>
    <w:p w14:paraId="77802561">
      <w:pPr>
        <w:adjustRightInd w:val="0"/>
        <w:snapToGrid w:val="0"/>
        <w:spacing w:line="360" w:lineRule="auto"/>
        <w:ind w:firstLine="480" w:firstLineChars="200"/>
        <w:rPr>
          <w:rFonts w:hint="eastAsia" w:ascii="宋体" w:hAnsi="宋体" w:cs="宋体"/>
          <w:color w:val="000000"/>
          <w:sz w:val="24"/>
          <w:szCs w:val="24"/>
        </w:rPr>
      </w:pPr>
      <w:bookmarkStart w:id="312" w:name="_Toc152045570"/>
      <w:bookmarkStart w:id="313" w:name="_Toc179632588"/>
      <w:bookmarkStart w:id="314" w:name="_Toc144974538"/>
      <w:bookmarkStart w:id="315" w:name="_Toc152042346"/>
      <w:bookmarkStart w:id="316" w:name="_Toc28306"/>
      <w:r>
        <w:rPr>
          <w:rFonts w:hint="eastAsia" w:ascii="宋体" w:hAnsi="宋体" w:cs="宋体"/>
          <w:color w:val="000000"/>
          <w:sz w:val="24"/>
          <w:szCs w:val="24"/>
        </w:rPr>
        <w:t>7.4签订合同</w:t>
      </w:r>
      <w:bookmarkEnd w:id="312"/>
      <w:bookmarkEnd w:id="313"/>
      <w:bookmarkEnd w:id="314"/>
      <w:bookmarkEnd w:id="315"/>
      <w:bookmarkEnd w:id="316"/>
    </w:p>
    <w:p w14:paraId="73216119">
      <w:pPr>
        <w:adjustRightInd w:val="0"/>
        <w:snapToGrid w:val="0"/>
        <w:spacing w:line="360" w:lineRule="auto"/>
        <w:ind w:firstLine="480" w:firstLineChars="200"/>
        <w:rPr>
          <w:rFonts w:hint="eastAsia" w:ascii="宋体" w:hAnsi="宋体" w:cs="宋体"/>
          <w:color w:val="000000"/>
          <w:sz w:val="24"/>
          <w:szCs w:val="24"/>
        </w:rPr>
      </w:pPr>
      <w:bookmarkStart w:id="317"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7"/>
      <w:r>
        <w:rPr>
          <w:rFonts w:hint="eastAsia" w:ascii="宋体" w:hAnsi="宋体" w:cs="宋体"/>
          <w:color w:val="000000"/>
          <w:sz w:val="24"/>
          <w:szCs w:val="24"/>
        </w:rPr>
        <w:t xml:space="preserve"> </w:t>
      </w:r>
    </w:p>
    <w:p w14:paraId="079BA418">
      <w:pPr>
        <w:adjustRightInd w:val="0"/>
        <w:snapToGrid w:val="0"/>
        <w:spacing w:line="360" w:lineRule="auto"/>
        <w:ind w:firstLine="482" w:firstLineChars="200"/>
        <w:rPr>
          <w:rFonts w:hint="eastAsia" w:ascii="宋体" w:hAnsi="宋体" w:cs="宋体"/>
          <w:color w:val="000000"/>
          <w:sz w:val="24"/>
          <w:szCs w:val="24"/>
        </w:rPr>
      </w:pPr>
      <w:bookmarkStart w:id="318" w:name="_Toc363119285"/>
      <w:bookmarkStart w:id="319" w:name="_Toc510859693"/>
      <w:bookmarkStart w:id="320" w:name="_Toc29932"/>
      <w:bookmarkStart w:id="321" w:name="_Toc510859899"/>
      <w:bookmarkStart w:id="322" w:name="_Toc11948"/>
      <w:bookmarkStart w:id="323" w:name="_Toc152045571"/>
      <w:bookmarkStart w:id="324" w:name="_Toc14936"/>
      <w:bookmarkStart w:id="325" w:name="_Toc5371"/>
      <w:bookmarkStart w:id="326" w:name="_Toc179632589"/>
      <w:bookmarkStart w:id="327" w:name="_Toc152042347"/>
      <w:bookmarkStart w:id="328" w:name="_Toc144974539"/>
      <w:bookmarkStart w:id="329" w:name="_Toc511585907"/>
      <w:r>
        <w:rPr>
          <w:rFonts w:hint="eastAsia" w:ascii="宋体" w:hAnsi="宋体" w:cs="宋体"/>
          <w:b/>
          <w:bCs/>
          <w:color w:val="000000"/>
          <w:sz w:val="24"/>
          <w:szCs w:val="24"/>
        </w:rPr>
        <w:t>8.重新</w:t>
      </w:r>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b/>
          <w:bCs/>
          <w:color w:val="000000"/>
          <w:sz w:val="24"/>
          <w:szCs w:val="24"/>
        </w:rPr>
        <w:t>采购：</w:t>
      </w:r>
      <w:bookmarkStart w:id="330" w:name="_Toc2309"/>
      <w:bookmarkStart w:id="331" w:name="_Toc511585908"/>
      <w:bookmarkStart w:id="332" w:name="_Toc152042350"/>
      <w:bookmarkStart w:id="333" w:name="_Toc527"/>
      <w:bookmarkStart w:id="334" w:name="_Toc179632592"/>
      <w:bookmarkStart w:id="335" w:name="_Toc2698"/>
      <w:bookmarkStart w:id="336" w:name="_Toc152045574"/>
      <w:bookmarkStart w:id="337" w:name="_Toc144974542"/>
      <w:bookmarkStart w:id="338" w:name="_Toc510859900"/>
      <w:bookmarkStart w:id="339" w:name="_Toc4006"/>
      <w:bookmarkStart w:id="340" w:name="_Toc363119286"/>
      <w:bookmarkStart w:id="341" w:name="_Toc510859694"/>
      <w:r>
        <w:rPr>
          <w:rFonts w:hint="eastAsia" w:ascii="宋体" w:hAnsi="宋体" w:cs="宋体"/>
          <w:color w:val="000000"/>
          <w:sz w:val="24"/>
          <w:szCs w:val="24"/>
        </w:rPr>
        <w:t>执行现行相关法律法规。</w:t>
      </w:r>
    </w:p>
    <w:p w14:paraId="099FC96C">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bookmarkEnd w:id="330"/>
      <w:bookmarkEnd w:id="331"/>
      <w:bookmarkEnd w:id="332"/>
      <w:bookmarkEnd w:id="333"/>
      <w:bookmarkEnd w:id="334"/>
      <w:bookmarkEnd w:id="335"/>
      <w:bookmarkEnd w:id="336"/>
      <w:bookmarkEnd w:id="337"/>
      <w:bookmarkEnd w:id="338"/>
      <w:bookmarkEnd w:id="339"/>
      <w:bookmarkEnd w:id="340"/>
      <w:bookmarkEnd w:id="341"/>
    </w:p>
    <w:p w14:paraId="2DD00BEC">
      <w:pPr>
        <w:adjustRightInd w:val="0"/>
        <w:snapToGrid w:val="0"/>
        <w:spacing w:line="360" w:lineRule="auto"/>
        <w:ind w:firstLine="480" w:firstLineChars="200"/>
        <w:rPr>
          <w:rFonts w:hint="eastAsia" w:ascii="宋体" w:hAnsi="宋体" w:cs="宋体"/>
          <w:color w:val="000000"/>
          <w:sz w:val="24"/>
          <w:szCs w:val="24"/>
        </w:rPr>
      </w:pPr>
      <w:bookmarkStart w:id="342" w:name="_Toc152045575"/>
      <w:bookmarkStart w:id="343" w:name="_Toc179632593"/>
      <w:bookmarkStart w:id="344" w:name="_Toc144974543"/>
      <w:bookmarkStart w:id="345" w:name="_Toc152042351"/>
      <w:bookmarkStart w:id="346" w:name="_Toc10934"/>
      <w:r>
        <w:rPr>
          <w:rFonts w:hint="eastAsia" w:ascii="宋体" w:hAnsi="宋体" w:cs="宋体"/>
          <w:color w:val="000000"/>
          <w:sz w:val="24"/>
          <w:szCs w:val="24"/>
        </w:rPr>
        <w:t>9.1 对采购人的纪律要求</w:t>
      </w:r>
      <w:bookmarkEnd w:id="342"/>
      <w:bookmarkEnd w:id="343"/>
      <w:bookmarkEnd w:id="344"/>
      <w:bookmarkEnd w:id="345"/>
      <w:bookmarkEnd w:id="346"/>
    </w:p>
    <w:p w14:paraId="76AE2A6F">
      <w:pPr>
        <w:adjustRightInd w:val="0"/>
        <w:snapToGrid w:val="0"/>
        <w:spacing w:line="360" w:lineRule="auto"/>
        <w:ind w:firstLine="480" w:firstLineChars="200"/>
        <w:rPr>
          <w:rFonts w:hint="eastAsia" w:ascii="宋体" w:hAnsi="宋体" w:cs="宋体"/>
          <w:color w:val="000000"/>
          <w:sz w:val="24"/>
          <w:szCs w:val="24"/>
        </w:rPr>
      </w:pPr>
      <w:bookmarkStart w:id="347"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47"/>
    </w:p>
    <w:p w14:paraId="3845D291">
      <w:pPr>
        <w:adjustRightInd w:val="0"/>
        <w:snapToGrid w:val="0"/>
        <w:spacing w:line="360" w:lineRule="auto"/>
        <w:ind w:firstLine="480" w:firstLineChars="200"/>
        <w:rPr>
          <w:rFonts w:hint="eastAsia" w:ascii="宋体" w:hAnsi="宋体" w:cs="宋体"/>
          <w:color w:val="000000"/>
          <w:sz w:val="24"/>
          <w:szCs w:val="24"/>
        </w:rPr>
      </w:pPr>
      <w:bookmarkStart w:id="348" w:name="_Toc152042352"/>
      <w:bookmarkStart w:id="349" w:name="_Toc144974544"/>
      <w:bookmarkStart w:id="350" w:name="_Toc152045576"/>
      <w:bookmarkStart w:id="351" w:name="_Toc179632594"/>
      <w:bookmarkStart w:id="352" w:name="_Toc4911"/>
      <w:r>
        <w:rPr>
          <w:rFonts w:hint="eastAsia" w:ascii="宋体" w:hAnsi="宋体" w:cs="宋体"/>
          <w:color w:val="000000"/>
          <w:sz w:val="24"/>
          <w:szCs w:val="24"/>
        </w:rPr>
        <w:t>9.2 对供应商的纪律要求</w:t>
      </w:r>
      <w:bookmarkEnd w:id="348"/>
      <w:bookmarkEnd w:id="349"/>
      <w:bookmarkEnd w:id="350"/>
      <w:bookmarkEnd w:id="351"/>
      <w:bookmarkEnd w:id="352"/>
    </w:p>
    <w:p w14:paraId="6DAEE60C">
      <w:pPr>
        <w:adjustRightInd w:val="0"/>
        <w:snapToGrid w:val="0"/>
        <w:spacing w:line="360" w:lineRule="auto"/>
        <w:ind w:firstLine="480" w:firstLineChars="200"/>
        <w:rPr>
          <w:rFonts w:hint="eastAsia" w:ascii="宋体" w:hAnsi="宋体" w:cs="宋体"/>
          <w:color w:val="000000"/>
          <w:sz w:val="24"/>
          <w:szCs w:val="24"/>
        </w:rPr>
      </w:pPr>
      <w:bookmarkStart w:id="353"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3"/>
    </w:p>
    <w:p w14:paraId="7838DBD7">
      <w:pPr>
        <w:adjustRightInd w:val="0"/>
        <w:snapToGrid w:val="0"/>
        <w:spacing w:line="360" w:lineRule="auto"/>
        <w:ind w:firstLine="480" w:firstLineChars="200"/>
        <w:rPr>
          <w:rFonts w:hint="eastAsia" w:ascii="宋体" w:hAnsi="宋体" w:cs="宋体"/>
          <w:color w:val="000000"/>
          <w:sz w:val="24"/>
          <w:szCs w:val="24"/>
        </w:rPr>
      </w:pPr>
      <w:bookmarkStart w:id="354" w:name="_Toc152045577"/>
      <w:bookmarkStart w:id="355" w:name="_Toc152042353"/>
      <w:bookmarkStart w:id="356" w:name="_Toc179632595"/>
      <w:bookmarkStart w:id="357" w:name="_Toc7382"/>
      <w:bookmarkStart w:id="358" w:name="_Toc144974545"/>
      <w:r>
        <w:rPr>
          <w:rFonts w:hint="eastAsia" w:ascii="宋体" w:hAnsi="宋体" w:cs="宋体"/>
          <w:color w:val="000000"/>
          <w:sz w:val="24"/>
          <w:szCs w:val="24"/>
        </w:rPr>
        <w:t>9.3 对磋商小组成员的纪律要求</w:t>
      </w:r>
      <w:bookmarkEnd w:id="354"/>
      <w:bookmarkEnd w:id="355"/>
      <w:bookmarkEnd w:id="356"/>
      <w:bookmarkEnd w:id="357"/>
      <w:bookmarkEnd w:id="358"/>
    </w:p>
    <w:p w14:paraId="208691DA">
      <w:pPr>
        <w:adjustRightInd w:val="0"/>
        <w:snapToGrid w:val="0"/>
        <w:spacing w:line="360" w:lineRule="auto"/>
        <w:ind w:firstLine="480" w:firstLineChars="200"/>
        <w:rPr>
          <w:rFonts w:hint="eastAsia" w:ascii="宋体" w:hAnsi="宋体" w:cs="宋体"/>
          <w:color w:val="000000"/>
          <w:sz w:val="24"/>
          <w:szCs w:val="24"/>
        </w:rPr>
      </w:pPr>
      <w:bookmarkStart w:id="359"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59"/>
    </w:p>
    <w:p w14:paraId="4AA5CB15">
      <w:pPr>
        <w:adjustRightInd w:val="0"/>
        <w:snapToGrid w:val="0"/>
        <w:spacing w:line="360" w:lineRule="auto"/>
        <w:ind w:firstLine="480" w:firstLineChars="200"/>
        <w:rPr>
          <w:rFonts w:hint="eastAsia" w:ascii="宋体" w:hAnsi="宋体" w:cs="宋体"/>
          <w:color w:val="000000"/>
          <w:sz w:val="24"/>
          <w:szCs w:val="24"/>
        </w:rPr>
      </w:pPr>
      <w:bookmarkStart w:id="360" w:name="_Toc17124"/>
      <w:bookmarkStart w:id="361" w:name="_Toc152042354"/>
      <w:bookmarkStart w:id="362" w:name="_Toc179632596"/>
      <w:bookmarkStart w:id="363" w:name="_Toc152045578"/>
      <w:bookmarkStart w:id="364" w:name="_Toc144974546"/>
      <w:r>
        <w:rPr>
          <w:rFonts w:hint="eastAsia" w:ascii="宋体" w:hAnsi="宋体" w:cs="宋体"/>
          <w:color w:val="000000"/>
          <w:sz w:val="24"/>
          <w:szCs w:val="24"/>
        </w:rPr>
        <w:t>9.4 对与评审活动有关的工作人员的纪律要求</w:t>
      </w:r>
      <w:bookmarkEnd w:id="360"/>
      <w:bookmarkEnd w:id="361"/>
      <w:bookmarkEnd w:id="362"/>
      <w:bookmarkEnd w:id="363"/>
    </w:p>
    <w:p w14:paraId="3C173D6F">
      <w:pPr>
        <w:adjustRightInd w:val="0"/>
        <w:snapToGrid w:val="0"/>
        <w:spacing w:line="360" w:lineRule="auto"/>
        <w:ind w:firstLine="480" w:firstLineChars="200"/>
        <w:rPr>
          <w:rFonts w:hint="eastAsia" w:ascii="宋体" w:hAnsi="宋体" w:cs="宋体"/>
          <w:color w:val="000000"/>
          <w:sz w:val="24"/>
          <w:szCs w:val="24"/>
        </w:rPr>
      </w:pPr>
      <w:bookmarkStart w:id="365" w:name="_Toc3914"/>
      <w:bookmarkStart w:id="366" w:name="_Toc152042355"/>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5"/>
      <w:bookmarkEnd w:id="366"/>
    </w:p>
    <w:bookmarkEnd w:id="364"/>
    <w:p w14:paraId="61655F1F">
      <w:pPr>
        <w:adjustRightInd w:val="0"/>
        <w:snapToGrid w:val="0"/>
        <w:spacing w:line="360" w:lineRule="auto"/>
        <w:ind w:firstLine="480" w:firstLineChars="200"/>
        <w:rPr>
          <w:rFonts w:hint="eastAsia" w:ascii="宋体" w:hAnsi="宋体" w:cs="宋体"/>
          <w:color w:val="000000"/>
          <w:sz w:val="24"/>
          <w:szCs w:val="24"/>
        </w:rPr>
      </w:pPr>
      <w:bookmarkStart w:id="367" w:name="_Toc14321"/>
      <w:bookmarkStart w:id="368" w:name="_Toc510859695"/>
      <w:bookmarkStart w:id="369" w:name="_Toc6198"/>
      <w:bookmarkStart w:id="370" w:name="_Toc27051"/>
      <w:bookmarkStart w:id="371" w:name="_Toc144974547"/>
      <w:bookmarkStart w:id="372" w:name="_Toc510859901"/>
      <w:bookmarkStart w:id="373" w:name="_Toc363119287"/>
      <w:bookmarkStart w:id="374" w:name="_Toc18818"/>
      <w:bookmarkStart w:id="375" w:name="_Toc152045580"/>
      <w:bookmarkStart w:id="376" w:name="_Toc179632598"/>
      <w:bookmarkStart w:id="377" w:name="_Toc511585909"/>
      <w:bookmarkStart w:id="378" w:name="_Toc152042357"/>
      <w:r>
        <w:rPr>
          <w:rFonts w:hint="eastAsia" w:ascii="宋体" w:hAnsi="宋体" w:cs="宋体"/>
          <w:color w:val="000000"/>
          <w:sz w:val="24"/>
          <w:szCs w:val="24"/>
        </w:rPr>
        <w:t>9.5 质疑与投诉</w:t>
      </w:r>
    </w:p>
    <w:bookmarkEnd w:id="367"/>
    <w:bookmarkEnd w:id="368"/>
    <w:bookmarkEnd w:id="369"/>
    <w:bookmarkEnd w:id="370"/>
    <w:bookmarkEnd w:id="371"/>
    <w:bookmarkEnd w:id="372"/>
    <w:bookmarkEnd w:id="373"/>
    <w:bookmarkEnd w:id="374"/>
    <w:bookmarkEnd w:id="375"/>
    <w:bookmarkEnd w:id="376"/>
    <w:bookmarkEnd w:id="377"/>
    <w:bookmarkEnd w:id="378"/>
    <w:p w14:paraId="3539598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供应商</w:t>
      </w:r>
      <w:r>
        <w:rPr>
          <w:rFonts w:hint="eastAsia" w:ascii="宋体" w:hAnsi="宋体" w:cs="宋体"/>
          <w:color w:val="000000"/>
          <w:sz w:val="24"/>
          <w:szCs w:val="24"/>
          <w:shd w:val="clear" w:color="auto" w:fill="FFFFFF"/>
        </w:rPr>
        <w:t>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73D5E35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3F8FE1C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bookmarkStart w:id="379" w:name="_Toc18224"/>
    </w:p>
    <w:bookmarkEnd w:id="379"/>
    <w:p w14:paraId="276BFBB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10.1详见供应商须知前附表。</w:t>
      </w:r>
    </w:p>
    <w:p w14:paraId="757DC449">
      <w:pPr>
        <w:pStyle w:val="2"/>
        <w:jc w:val="center"/>
        <w:rPr>
          <w:rFonts w:hint="eastAsia" w:ascii="宋体" w:hAnsi="宋体" w:cs="宋体"/>
          <w:b/>
          <w:color w:val="000000"/>
          <w:sz w:val="36"/>
          <w:szCs w:val="36"/>
        </w:rPr>
      </w:pPr>
      <w:bookmarkStart w:id="380" w:name="_Toc10405"/>
      <w:r>
        <w:rPr>
          <w:rFonts w:hint="eastAsia" w:ascii="宋体" w:hAnsi="宋体" w:cs="宋体"/>
          <w:color w:val="000000"/>
          <w:sz w:val="24"/>
          <w:szCs w:val="24"/>
        </w:rPr>
        <w:br w:type="page"/>
      </w:r>
      <w:bookmarkStart w:id="381" w:name="_Toc797"/>
      <w:bookmarkStart w:id="382" w:name="_Toc9308"/>
      <w:r>
        <w:rPr>
          <w:rFonts w:hint="eastAsia" w:ascii="黑体" w:hAnsi="黑体" w:cs="黑体"/>
          <w:b/>
          <w:bCs/>
          <w:color w:val="000000"/>
          <w:szCs w:val="32"/>
          <w:highlight w:val="none"/>
          <w:lang w:val="en-US" w:eastAsia="zh-CN"/>
        </w:rPr>
        <w:t>第三章</w:t>
      </w:r>
      <w:bookmarkEnd w:id="28"/>
      <w:bookmarkEnd w:id="29"/>
      <w:bookmarkEnd w:id="30"/>
      <w:bookmarkEnd w:id="31"/>
      <w:bookmarkEnd w:id="32"/>
      <w:bookmarkEnd w:id="33"/>
      <w:bookmarkEnd w:id="34"/>
      <w:r>
        <w:rPr>
          <w:rFonts w:hint="eastAsia" w:ascii="黑体" w:hAnsi="黑体" w:cs="黑体"/>
          <w:b/>
          <w:bCs/>
          <w:color w:val="000000"/>
          <w:szCs w:val="32"/>
          <w:highlight w:val="none"/>
          <w:lang w:val="en-US" w:eastAsia="zh-CN"/>
        </w:rPr>
        <w:t xml:space="preserve">  采购需求及商务要求</w:t>
      </w:r>
      <w:bookmarkEnd w:id="35"/>
      <w:bookmarkEnd w:id="380"/>
      <w:bookmarkEnd w:id="381"/>
      <w:bookmarkEnd w:id="382"/>
      <w:bookmarkStart w:id="383" w:name="_Toc24998"/>
      <w:bookmarkStart w:id="384" w:name="_Toc529809669"/>
      <w:bookmarkStart w:id="385" w:name="_Toc529368446"/>
    </w:p>
    <w:bookmarkEnd w:id="383"/>
    <w:bookmarkEnd w:id="384"/>
    <w:bookmarkEnd w:id="385"/>
    <w:p w14:paraId="11BA7D7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rPr>
      </w:pPr>
      <w:bookmarkStart w:id="386" w:name="_Toc10621843"/>
      <w:bookmarkStart w:id="387" w:name="_Toc25228"/>
      <w:bookmarkStart w:id="388" w:name="_Toc10563641"/>
      <w:bookmarkStart w:id="389" w:name="_Toc511316289"/>
      <w:bookmarkStart w:id="390" w:name="_Toc12377625"/>
      <w:bookmarkStart w:id="391" w:name="_Toc10563099"/>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服务内容及要求</w:t>
      </w:r>
    </w:p>
    <w:p w14:paraId="4737B16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rPr>
      </w:pPr>
    </w:p>
    <w:tbl>
      <w:tblPr>
        <w:tblStyle w:val="39"/>
        <w:tblW w:w="47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96" w:type="dxa"/>
          <w:bottom w:w="56" w:type="dxa"/>
          <w:right w:w="96" w:type="dxa"/>
        </w:tblCellMar>
      </w:tblPr>
      <w:tblGrid>
        <w:gridCol w:w="731"/>
        <w:gridCol w:w="1345"/>
        <w:gridCol w:w="5968"/>
      </w:tblGrid>
      <w:tr w14:paraId="390E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479" w:hRule="atLeast"/>
          <w:tblHeader/>
          <w:jc w:val="center"/>
        </w:trPr>
        <w:tc>
          <w:tcPr>
            <w:tcW w:w="454" w:type="pct"/>
            <w:noWrap w:val="0"/>
            <w:vAlign w:val="center"/>
          </w:tcPr>
          <w:p w14:paraId="52402A44">
            <w:pPr>
              <w:snapToGrid w:val="0"/>
              <w:spacing w:line="360" w:lineRule="auto"/>
              <w:jc w:val="center"/>
              <w:rPr>
                <w:b/>
                <w:color w:val="auto"/>
              </w:rPr>
            </w:pPr>
            <w:bookmarkStart w:id="392" w:name="heading_2"/>
            <w:r>
              <w:rPr>
                <w:rFonts w:hint="eastAsia"/>
                <w:b/>
                <w:color w:val="auto"/>
              </w:rPr>
              <w:t>序号</w:t>
            </w:r>
          </w:p>
        </w:tc>
        <w:tc>
          <w:tcPr>
            <w:tcW w:w="836" w:type="pct"/>
            <w:noWrap w:val="0"/>
            <w:vAlign w:val="center"/>
          </w:tcPr>
          <w:p w14:paraId="69004FF2">
            <w:pPr>
              <w:snapToGrid w:val="0"/>
              <w:spacing w:line="360" w:lineRule="auto"/>
              <w:jc w:val="center"/>
              <w:rPr>
                <w:b/>
                <w:color w:val="auto"/>
              </w:rPr>
            </w:pPr>
            <w:r>
              <w:rPr>
                <w:rFonts w:hint="eastAsia"/>
                <w:b/>
                <w:color w:val="auto"/>
              </w:rPr>
              <w:t>项目名称</w:t>
            </w:r>
          </w:p>
        </w:tc>
        <w:tc>
          <w:tcPr>
            <w:tcW w:w="3708" w:type="pct"/>
            <w:noWrap w:val="0"/>
            <w:vAlign w:val="center"/>
          </w:tcPr>
          <w:p w14:paraId="62EDA9FA">
            <w:pPr>
              <w:snapToGrid w:val="0"/>
              <w:spacing w:line="360" w:lineRule="auto"/>
              <w:jc w:val="center"/>
              <w:rPr>
                <w:b/>
                <w:color w:val="auto"/>
              </w:rPr>
            </w:pPr>
            <w:r>
              <w:rPr>
                <w:rFonts w:hint="eastAsia"/>
                <w:b/>
                <w:color w:val="auto"/>
              </w:rPr>
              <w:t>具体内容</w:t>
            </w:r>
          </w:p>
        </w:tc>
      </w:tr>
      <w:tr w14:paraId="0F3A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6839716A">
            <w:pPr>
              <w:snapToGrid w:val="0"/>
              <w:spacing w:line="360" w:lineRule="auto"/>
              <w:jc w:val="center"/>
              <w:rPr>
                <w:color w:val="auto"/>
              </w:rPr>
            </w:pPr>
            <w:r>
              <w:rPr>
                <w:rFonts w:hint="eastAsia"/>
                <w:color w:val="auto"/>
              </w:rPr>
              <w:t>1</w:t>
            </w:r>
          </w:p>
        </w:tc>
        <w:tc>
          <w:tcPr>
            <w:tcW w:w="836" w:type="pct"/>
            <w:noWrap w:val="0"/>
            <w:vAlign w:val="center"/>
          </w:tcPr>
          <w:p w14:paraId="621AFC2E">
            <w:pPr>
              <w:snapToGrid w:val="0"/>
              <w:spacing w:line="360" w:lineRule="auto"/>
              <w:jc w:val="center"/>
              <w:rPr>
                <w:rFonts w:hint="eastAsia" w:eastAsia="宋体"/>
                <w:color w:val="auto"/>
                <w:lang w:val="en-US" w:eastAsia="zh-CN"/>
              </w:rPr>
            </w:pPr>
            <w:r>
              <w:rPr>
                <w:rFonts w:hint="eastAsia"/>
                <w:color w:val="auto"/>
                <w:lang w:val="en-US" w:eastAsia="zh-CN"/>
              </w:rPr>
              <w:t>交互平台</w:t>
            </w:r>
          </w:p>
        </w:tc>
        <w:tc>
          <w:tcPr>
            <w:tcW w:w="3708" w:type="pct"/>
            <w:noWrap w:val="0"/>
            <w:vAlign w:val="center"/>
          </w:tcPr>
          <w:p w14:paraId="3FB854ED">
            <w:pPr>
              <w:bidi w:val="0"/>
              <w:spacing w:line="360" w:lineRule="auto"/>
              <w:ind w:firstLine="420" w:firstLineChars="200"/>
              <w:rPr>
                <w:color w:val="auto"/>
              </w:rPr>
            </w:pPr>
            <w:r>
              <w:rPr>
                <w:color w:val="auto"/>
                <w:lang w:val="en-US" w:eastAsia="zh-CN"/>
              </w:rPr>
              <w:t>性能层面要求主流硬件配置下画面帧率不低于60fps，系统适配1920×1080及更高分辨率且界面UI支持自适应缩放，兼容Windows10、Windows11 64位操作系统以及Chrome、Firefox、Edge主流浏览器，所有数据采用加密存储方式且文件可通过常规杀毒软件安全检测，几何模型管控为单个模型面数不超过15000面，整套井下场景总面数控制在30万面以内</w:t>
            </w:r>
            <w:r>
              <w:rPr>
                <w:rFonts w:hint="eastAsia"/>
                <w:color w:val="auto"/>
                <w:lang w:val="en-US" w:eastAsia="zh-CN"/>
              </w:rPr>
              <w:t>。</w:t>
            </w:r>
          </w:p>
        </w:tc>
      </w:tr>
      <w:tr w14:paraId="7331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130662EF">
            <w:pPr>
              <w:snapToGrid w:val="0"/>
              <w:spacing w:line="360" w:lineRule="auto"/>
              <w:jc w:val="center"/>
              <w:rPr>
                <w:rFonts w:hint="eastAsia" w:eastAsia="宋体"/>
                <w:color w:val="auto"/>
                <w:lang w:val="en-US" w:eastAsia="zh-CN"/>
              </w:rPr>
            </w:pPr>
            <w:r>
              <w:rPr>
                <w:rFonts w:hint="eastAsia"/>
                <w:color w:val="auto"/>
                <w:lang w:val="en-US" w:eastAsia="zh-CN"/>
              </w:rPr>
              <w:t>2</w:t>
            </w:r>
          </w:p>
        </w:tc>
        <w:tc>
          <w:tcPr>
            <w:tcW w:w="836" w:type="pct"/>
            <w:noWrap w:val="0"/>
            <w:vAlign w:val="center"/>
          </w:tcPr>
          <w:p w14:paraId="000FFC7E">
            <w:pPr>
              <w:snapToGrid w:val="0"/>
              <w:spacing w:line="360" w:lineRule="auto"/>
              <w:jc w:val="center"/>
              <w:rPr>
                <w:rFonts w:hint="eastAsia"/>
                <w:color w:val="auto"/>
                <w:lang w:val="en-US" w:eastAsia="zh-CN"/>
              </w:rPr>
            </w:pPr>
            <w:r>
              <w:rPr>
                <w:rFonts w:hint="eastAsia"/>
                <w:color w:val="auto"/>
                <w:lang w:val="en-US" w:eastAsia="zh-CN"/>
              </w:rPr>
              <w:t>实验室环境建模</w:t>
            </w:r>
          </w:p>
        </w:tc>
        <w:tc>
          <w:tcPr>
            <w:tcW w:w="3708" w:type="pct"/>
            <w:noWrap w:val="0"/>
            <w:vAlign w:val="center"/>
          </w:tcPr>
          <w:p w14:paraId="5EE9F6EF">
            <w:pPr>
              <w:bidi w:val="0"/>
              <w:spacing w:line="360" w:lineRule="auto"/>
              <w:ind w:firstLine="420" w:firstLineChars="200"/>
              <w:rPr>
                <w:color w:val="auto"/>
                <w:lang w:val="en-US" w:eastAsia="zh-CN"/>
              </w:rPr>
            </w:pPr>
            <w:r>
              <w:rPr>
                <w:rFonts w:hint="eastAsia"/>
                <w:color w:val="auto"/>
                <w:lang w:val="en-US" w:eastAsia="zh-CN"/>
              </w:rPr>
              <w:t>实训室整体场景搭建，包含光照、材质、空间布局。</w:t>
            </w:r>
          </w:p>
        </w:tc>
      </w:tr>
      <w:tr w14:paraId="4CA7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4CE7059B">
            <w:pPr>
              <w:snapToGrid w:val="0"/>
              <w:spacing w:line="360" w:lineRule="auto"/>
              <w:jc w:val="center"/>
              <w:rPr>
                <w:rFonts w:hint="default" w:eastAsia="宋体"/>
                <w:color w:val="auto"/>
                <w:lang w:val="en-US" w:eastAsia="zh-CN"/>
              </w:rPr>
            </w:pPr>
            <w:r>
              <w:rPr>
                <w:rFonts w:hint="eastAsia" w:eastAsia="宋体"/>
                <w:color w:val="auto"/>
                <w:lang w:val="en-US" w:eastAsia="zh-CN"/>
              </w:rPr>
              <w:t>3</w:t>
            </w:r>
          </w:p>
        </w:tc>
        <w:tc>
          <w:tcPr>
            <w:tcW w:w="836" w:type="pct"/>
            <w:noWrap w:val="0"/>
            <w:vAlign w:val="center"/>
          </w:tcPr>
          <w:p w14:paraId="239FE447">
            <w:pPr>
              <w:snapToGrid w:val="0"/>
              <w:spacing w:line="360" w:lineRule="auto"/>
              <w:jc w:val="center"/>
              <w:rPr>
                <w:color w:val="auto"/>
              </w:rPr>
            </w:pPr>
            <w:r>
              <w:rPr>
                <w:rFonts w:hint="eastAsia"/>
                <w:color w:val="auto"/>
                <w:lang w:val="en-US" w:eastAsia="zh-CN"/>
              </w:rPr>
              <w:t>虚拟仿真</w:t>
            </w:r>
            <w:r>
              <w:rPr>
                <w:rFonts w:hint="eastAsia"/>
                <w:color w:val="auto"/>
              </w:rPr>
              <w:t>资源</w:t>
            </w:r>
          </w:p>
        </w:tc>
        <w:tc>
          <w:tcPr>
            <w:tcW w:w="3708" w:type="pct"/>
            <w:noWrap w:val="0"/>
            <w:vAlign w:val="center"/>
          </w:tcPr>
          <w:p w14:paraId="536E8E63">
            <w:pPr>
              <w:bidi w:val="0"/>
              <w:spacing w:line="360" w:lineRule="auto"/>
              <w:ind w:firstLine="420" w:firstLineChars="200"/>
              <w:rPr>
                <w:color w:val="auto"/>
              </w:rPr>
            </w:pPr>
            <w:r>
              <w:rPr>
                <w:color w:val="auto"/>
                <w:lang w:val="en-US" w:eastAsia="zh-CN"/>
              </w:rPr>
              <w:t>交付阶段统一交付WebGL系统程序包、全套项目源代码、正式版用户使用手册、系统全流程操作录屏文件</w:t>
            </w:r>
            <w:r>
              <w:rPr>
                <w:rFonts w:hint="eastAsia"/>
                <w:color w:val="auto"/>
                <w:lang w:val="en-US" w:eastAsia="zh-CN"/>
              </w:rPr>
              <w:t>（后期可扩展至智慧课程的知识图谱内）</w:t>
            </w:r>
            <w:r>
              <w:rPr>
                <w:color w:val="auto"/>
                <w:lang w:val="en-US" w:eastAsia="zh-CN"/>
              </w:rPr>
              <w:t>以及项目验收报告五项完整交付资料。</w:t>
            </w:r>
          </w:p>
        </w:tc>
      </w:tr>
      <w:tr w14:paraId="4EAF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558366A3">
            <w:pPr>
              <w:snapToGrid w:val="0"/>
              <w:spacing w:line="360" w:lineRule="auto"/>
              <w:jc w:val="center"/>
              <w:rPr>
                <w:rFonts w:hint="default" w:eastAsia="宋体"/>
                <w:color w:val="auto"/>
                <w:lang w:val="en-US" w:eastAsia="zh-CN"/>
              </w:rPr>
            </w:pPr>
            <w:r>
              <w:rPr>
                <w:rFonts w:hint="eastAsia" w:eastAsia="宋体"/>
                <w:color w:val="auto"/>
                <w:lang w:val="en-US" w:eastAsia="zh-CN"/>
              </w:rPr>
              <w:t>4</w:t>
            </w:r>
          </w:p>
        </w:tc>
        <w:tc>
          <w:tcPr>
            <w:tcW w:w="836" w:type="pct"/>
            <w:noWrap w:val="0"/>
            <w:vAlign w:val="center"/>
          </w:tcPr>
          <w:p w14:paraId="6C59DCBD">
            <w:pPr>
              <w:snapToGrid w:val="0"/>
              <w:spacing w:line="360" w:lineRule="auto"/>
              <w:jc w:val="center"/>
              <w:rPr>
                <w:rFonts w:hint="default"/>
                <w:color w:val="auto"/>
                <w:lang w:val="en-US" w:eastAsia="zh-CN"/>
              </w:rPr>
            </w:pPr>
            <w:r>
              <w:rPr>
                <w:rFonts w:hint="eastAsia"/>
                <w:color w:val="auto"/>
                <w:lang w:val="en-US" w:eastAsia="zh-CN"/>
              </w:rPr>
              <w:t>AI助教</w:t>
            </w:r>
          </w:p>
        </w:tc>
        <w:tc>
          <w:tcPr>
            <w:tcW w:w="3708" w:type="pct"/>
            <w:noWrap w:val="0"/>
            <w:vAlign w:val="center"/>
          </w:tcPr>
          <w:p w14:paraId="5A54372A">
            <w:pPr>
              <w:bidi w:val="0"/>
              <w:spacing w:line="360" w:lineRule="auto"/>
              <w:ind w:firstLine="420" w:firstLineChars="200"/>
              <w:rPr>
                <w:rFonts w:hint="eastAsia"/>
                <w:color w:val="auto"/>
                <w:lang w:val="en-US" w:eastAsia="zh-CN"/>
              </w:rPr>
            </w:pPr>
            <w:r>
              <w:rPr>
                <w:rFonts w:hint="eastAsia"/>
                <w:color w:val="auto"/>
                <w:lang w:val="en-US" w:eastAsia="zh-CN"/>
              </w:rPr>
              <w:t>1.webGL网页版系统内置拟人化AI工程师，常驻场景，可随时呼出。学习模式下提供分步语音引导、原理动画自动播放、参数范围高亮提示。</w:t>
            </w:r>
          </w:p>
          <w:p w14:paraId="314CE075">
            <w:pPr>
              <w:bidi w:val="0"/>
              <w:spacing w:line="360" w:lineRule="auto"/>
              <w:ind w:firstLine="420" w:firstLineChars="200"/>
              <w:rPr>
                <w:rFonts w:hint="eastAsia"/>
                <w:color w:val="auto"/>
                <w:lang w:val="en-US" w:eastAsia="zh-CN"/>
              </w:rPr>
            </w:pPr>
            <w:r>
              <w:rPr>
                <w:rFonts w:hint="eastAsia"/>
                <w:color w:val="auto"/>
                <w:lang w:val="en-US" w:eastAsia="zh-CN"/>
              </w:rPr>
              <w:t>2.webGL网页版每次实训结束后自动生成虚拟实训报告，包含操作得分、耗时、规范性扣分点、优化建议等。</w:t>
            </w:r>
          </w:p>
          <w:p w14:paraId="7EF9FF53">
            <w:pPr>
              <w:bidi w:val="0"/>
              <w:spacing w:line="360" w:lineRule="auto"/>
              <w:ind w:firstLine="420" w:firstLineChars="200"/>
              <w:rPr>
                <w:color w:val="auto"/>
                <w:lang w:val="en-US" w:eastAsia="zh-CN"/>
              </w:rPr>
            </w:pPr>
            <w:r>
              <w:rPr>
                <w:rFonts w:hint="eastAsia"/>
                <w:color w:val="auto"/>
                <w:lang w:val="en-US" w:eastAsia="zh-CN"/>
              </w:rPr>
              <w:t>3.系统能够实时捕捉学生的实验操作步骤，与标准流程进行比对，若出现错误操作，AI会即时提示并提供纠错指导，通过智能纠错，学生能够在操作过程中及时修正错误,提升学习的即时反馈与自我纠偏能力。</w:t>
            </w:r>
          </w:p>
        </w:tc>
      </w:tr>
      <w:tr w14:paraId="11B5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146586F4">
            <w:pPr>
              <w:snapToGrid w:val="0"/>
              <w:spacing w:line="360" w:lineRule="auto"/>
              <w:jc w:val="center"/>
              <w:rPr>
                <w:rFonts w:hint="default" w:eastAsia="宋体"/>
                <w:color w:val="auto"/>
                <w:lang w:val="en-US" w:eastAsia="zh-CN"/>
              </w:rPr>
            </w:pPr>
            <w:r>
              <w:rPr>
                <w:rFonts w:hint="eastAsia"/>
                <w:color w:val="auto"/>
                <w:lang w:val="en-US" w:eastAsia="zh-CN"/>
              </w:rPr>
              <w:t>5</w:t>
            </w:r>
          </w:p>
        </w:tc>
        <w:tc>
          <w:tcPr>
            <w:tcW w:w="836" w:type="pct"/>
            <w:noWrap w:val="0"/>
            <w:vAlign w:val="center"/>
          </w:tcPr>
          <w:p w14:paraId="5EB26D55">
            <w:pPr>
              <w:snapToGrid w:val="0"/>
              <w:spacing w:line="360" w:lineRule="auto"/>
              <w:jc w:val="center"/>
              <w:rPr>
                <w:rFonts w:hint="eastAsia"/>
                <w:color w:val="auto"/>
                <w:lang w:val="en-US" w:eastAsia="zh-CN"/>
              </w:rPr>
            </w:pPr>
            <w:r>
              <w:rPr>
                <w:rFonts w:hint="eastAsia"/>
                <w:color w:val="auto"/>
                <w:highlight w:val="none"/>
                <w:lang w:val="en-US" w:eastAsia="zh-CN"/>
              </w:rPr>
              <w:t>在线开放课程专属AI环境搭建</w:t>
            </w:r>
          </w:p>
        </w:tc>
        <w:tc>
          <w:tcPr>
            <w:tcW w:w="3708" w:type="pct"/>
            <w:noWrap w:val="0"/>
            <w:vAlign w:val="center"/>
          </w:tcPr>
          <w:p w14:paraId="313A2E3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1.通用大语言模型对接</w:t>
            </w:r>
          </w:p>
          <w:p w14:paraId="7122813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根据学校配置，完成指定通用大语言模型或多个通用大模型对接。</w:t>
            </w:r>
          </w:p>
          <w:p w14:paraId="5769C62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2.课程专属AI知识库训练</w:t>
            </w:r>
          </w:p>
          <w:p w14:paraId="5EBA520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2.1在线课程自我训练</w:t>
            </w:r>
          </w:p>
          <w:p w14:paraId="6066CD8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支持对已有资源进行智能化训练；支持增量同步在线课程，保持与课程内容的一致。</w:t>
            </w:r>
          </w:p>
          <w:p w14:paraId="7D5BE68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2.2资源上传与训练</w:t>
            </w:r>
          </w:p>
          <w:p w14:paraId="2CAE12C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2.2.1课程单元内容建设，可编辑视频、文档、图片、音频、图书、公式、符号、附件、网页、动画等。</w:t>
            </w:r>
          </w:p>
          <w:p w14:paraId="71D0DE7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2.2.2支持导入并编辑内容。</w:t>
            </w:r>
          </w:p>
          <w:p w14:paraId="5ED0726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2.2.3视频上传与播放支持rmvb、3gp、mpg、mpeg、mov、wmv、avi、mkv、mp4、flv、vob、f4v等高清和网络格式。</w:t>
            </w:r>
          </w:p>
          <w:p w14:paraId="5DBB777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2.2.4支持2G以上文件上传。支持查看资源上传与训练状态，支持查看训练资源来源。支持按时间范围查看资源上传情况。</w:t>
            </w:r>
          </w:p>
          <w:p w14:paraId="0D271D0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 AI 知识库管理功能</w:t>
            </w:r>
          </w:p>
          <w:p w14:paraId="1D38286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2.3.1支持 “单位 AI 知识库” 与 “公共 AI 知识库” 双维度管理，可按创建人、创建时间、知识库名称等条件进行精准检索与筛选。</w:t>
            </w:r>
          </w:p>
          <w:p w14:paraId="1C6133C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2.3.2系统支持新增知识库、知识库管理及召回参数设置等核心操作，可实时统计并展示总文件数、总字符数等关键数据。</w:t>
            </w:r>
          </w:p>
          <w:p w14:paraId="3C036FB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2.4.3支持在公共AI知识库订阅相关学科、专业、领域的知识库，为保证资源适配，公共知识库建设数量不低于1500个。</w:t>
            </w:r>
          </w:p>
          <w:p w14:paraId="17172D6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3.AI问答库建设</w:t>
            </w:r>
          </w:p>
          <w:p w14:paraId="2B37B9D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供应商建设课程问答库，涵盖常见问题、重点难点问题与拓展性问题，为教师与学生提供即时问题解决支持。同时，问答库应支持智能检索与语义理解，提升答疑效率与精准度。</w:t>
            </w:r>
          </w:p>
          <w:p w14:paraId="09A752C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3.1需求调研与主题确定</w:t>
            </w:r>
          </w:p>
          <w:p w14:paraId="5409B8A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3.1.1合作沟通：供应商与课程教学团队进行深入沟通，了解各学科的教学需求、痛点及期望。</w:t>
            </w:r>
          </w:p>
          <w:p w14:paraId="49DF6FD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3.1.2主题界定：根据课程设计和师生需求，明确问答库的主题范围。</w:t>
            </w:r>
          </w:p>
          <w:p w14:paraId="039BAFF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3.1.3目标设定：确立问答库的使用目标，如辅助教学、自学辅导、考试复习等。</w:t>
            </w:r>
          </w:p>
          <w:p w14:paraId="166EC56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3.2问答库数据结构设计</w:t>
            </w:r>
          </w:p>
          <w:p w14:paraId="09A20B8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3.2.1数据结构规划：设计高效的数据存储与检索结构，确保问答对的快速响应与准确匹配。</w:t>
            </w:r>
          </w:p>
          <w:p w14:paraId="02136B0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3.2.2技术选型：选择适合的人工智能技术框架，以支持问答对的智能匹配与语义理解。</w:t>
            </w:r>
          </w:p>
          <w:p w14:paraId="28E3B54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3.3问答对收集与验证</w:t>
            </w:r>
          </w:p>
          <w:p w14:paraId="679066E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3.3.1内容收集：通过多渠道收集问答素材，包括课程现有资源、电子书、论文、网络资源等。</w:t>
            </w:r>
          </w:p>
          <w:p w14:paraId="248A15D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3.3.2质量审核：由课程负责人对问答对进行逐条审核，确保内容的准确性、适用性和教育性。</w:t>
            </w:r>
          </w:p>
          <w:p w14:paraId="47BBB46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3.3.3标准化处理：对问答对进行标准化处理，统一格式与表述风格，提高问答库的整体质量。</w:t>
            </w:r>
          </w:p>
          <w:p w14:paraId="5BB40B8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3.4实施与测试优化</w:t>
            </w:r>
          </w:p>
          <w:p w14:paraId="35D0527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3.4.1功能测试：进行全面的功能测试，包括问答匹配准确性、响应速度、用户界面友好性等。</w:t>
            </w:r>
          </w:p>
          <w:p w14:paraId="5324F8A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3.4.2优化调整：根据测试结果及用户反馈，对系统进行必要的优化调整，提升系统性能与用户体验。</w:t>
            </w:r>
          </w:p>
          <w:p w14:paraId="603A1BC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3.5技术支持与更新维护</w:t>
            </w:r>
          </w:p>
          <w:p w14:paraId="58A4E2F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3.5.1业务问答支持关联微应用，支持关联本单位的已有应用与自建应用；</w:t>
            </w:r>
          </w:p>
          <w:p w14:paraId="10F0031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3.5.2支持用户手动上传文档至知识库，上传后系统可对上传的文档进行解析，解析后可智能回答文档相关问题；</w:t>
            </w:r>
          </w:p>
          <w:p w14:paraId="192CC02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3.5.3支持同步校本网络教学平台已建设的网络课程资料进行智能解析，解析后可围绕课程内容进行人机问答；支持根据用户输入问题进行匹配提示；支持问答无匹配时，提供语义相似度最高的热门问题；支持未知问题回复语自定义设置。</w:t>
            </w:r>
          </w:p>
          <w:p w14:paraId="0F4ED2F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3.5.4支持根据学科发展及用户需求，定期更新问答库内容，保持问答库的时效性与准确性，跟踪周期至少一学期。支持对系统进行定期维护与升级，修复潜在漏洞，提升系统安全性与稳定性。</w:t>
            </w:r>
          </w:p>
          <w:p w14:paraId="32300EF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4.AI助教问答与资源推荐</w:t>
            </w:r>
          </w:p>
          <w:p w14:paraId="1D30A96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供应商提供训练后的AI助教，可提供问答与资源推荐。</w:t>
            </w:r>
          </w:p>
          <w:p w14:paraId="68B34C4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4.1支持多轮对话，可基于上一个问题的回答继续进行后续问答；提问时支持通过语音输入问题；</w:t>
            </w:r>
          </w:p>
          <w:p w14:paraId="6D974FF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4.2提问时支持上传图片通过读取图片内的问题进行提问；</w:t>
            </w:r>
          </w:p>
          <w:p w14:paraId="50A54CF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4.3提问时支持用户上传文档，让大模型围绕此份文档智能回答相关问题；</w:t>
            </w:r>
          </w:p>
          <w:p w14:paraId="4BE8799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4.4支持用户自主选择是否需要大模型回复；</w:t>
            </w:r>
          </w:p>
          <w:p w14:paraId="35E8338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4.5助教输出的答案支持显示来源，可截取显示与答案有关的原文内容，也可通过来源跳转回原文全文展开学习。</w:t>
            </w:r>
          </w:p>
          <w:p w14:paraId="4A9FEA1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4.6支持针对用户网络课程学习进度和掌握情况，个性化推荐学习资源；</w:t>
            </w:r>
          </w:p>
          <w:p w14:paraId="1896D45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4.7支持移动端、PC端多种使用渠道。</w:t>
            </w:r>
          </w:p>
          <w:p w14:paraId="3883FA6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4.8 AI助教可自动对没有答案的问题描述进行关键词识别并统计聚类，按照关键词问答频率由高到低排序，同时可以批量导出未知问题；支持统计历史会话，可按照时间范围、使用渠道等维度进行筛选，并可查看、导出会话具体内容。</w:t>
            </w:r>
          </w:p>
          <w:p w14:paraId="7E6F7D3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5.课程学习助手开通</w:t>
            </w:r>
          </w:p>
          <w:p w14:paraId="00B75F8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主动为学生推荐待办任务，帮助学生分析薄弱知识点针对学生提出的概念性问题，解读针对学生上传的文档进行文档理解。</w:t>
            </w:r>
          </w:p>
        </w:tc>
      </w:tr>
      <w:tr w14:paraId="41AE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05EA03F6">
            <w:pPr>
              <w:snapToGrid w:val="0"/>
              <w:spacing w:line="360" w:lineRule="auto"/>
              <w:jc w:val="center"/>
              <w:rPr>
                <w:rFonts w:hint="default"/>
                <w:color w:val="auto"/>
                <w:lang w:val="en-US" w:eastAsia="zh-CN"/>
              </w:rPr>
            </w:pPr>
            <w:r>
              <w:rPr>
                <w:rFonts w:hint="eastAsia"/>
                <w:color w:val="auto"/>
                <w:lang w:val="en-US" w:eastAsia="zh-CN"/>
              </w:rPr>
              <w:t>6</w:t>
            </w:r>
          </w:p>
        </w:tc>
        <w:tc>
          <w:tcPr>
            <w:tcW w:w="836" w:type="pct"/>
            <w:noWrap w:val="0"/>
            <w:vAlign w:val="center"/>
          </w:tcPr>
          <w:p w14:paraId="0CADE729">
            <w:pPr>
              <w:snapToGrid w:val="0"/>
              <w:spacing w:line="360" w:lineRule="auto"/>
              <w:jc w:val="center"/>
              <w:rPr>
                <w:rFonts w:hint="eastAsia"/>
                <w:color w:val="auto"/>
                <w:lang w:val="en-US" w:eastAsia="zh-CN"/>
              </w:rPr>
            </w:pPr>
            <w:r>
              <w:rPr>
                <w:rFonts w:hint="eastAsia"/>
                <w:color w:val="auto"/>
                <w:lang w:val="en-US" w:eastAsia="zh-CN"/>
              </w:rPr>
              <w:t>在线开放课程图谱建设服务</w:t>
            </w:r>
          </w:p>
        </w:tc>
        <w:tc>
          <w:tcPr>
            <w:tcW w:w="3708" w:type="pct"/>
            <w:noWrap w:val="0"/>
            <w:vAlign w:val="center"/>
          </w:tcPr>
          <w:p w14:paraId="592BD32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1.课程图谱设计</w:t>
            </w:r>
          </w:p>
          <w:p w14:paraId="712C5EE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供应商根据课程教学团队需求，完成课程知识图谱设计。通过图谱可视化工具展示课程内容的逻辑结构和知识点之间的关联，帮助学生更直观地理解课程体系，为学生构建更完整的知识网络，培养学生的系统思维能力。</w:t>
            </w:r>
          </w:p>
          <w:p w14:paraId="17BA420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1.2供应商根据课程教学团队需求，完成目标图谱设计。通过分解课程目标、关联知识点、提供融入教学活动与评估建议，实现课程设计、教学实施与学习评价的一致性，保障教学成效，助力课程目标有效达成。</w:t>
            </w:r>
          </w:p>
          <w:p w14:paraId="76076A2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1.3供应商根据课程教学团队需求，完成问题图谱设计，帮助学生梳理问题逻辑，逐步引导学生解决复杂问题。</w:t>
            </w:r>
          </w:p>
          <w:p w14:paraId="5288BB0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1.4供应商根据课程教学团队需求，完成课程思政图谱设计。通过标记思政标签，融入课程思政元素，构建课程思政图谱，明确课程中思想政治教育的切入点与实施路径，实现价值引领与知识传授的有机结合。</w:t>
            </w:r>
          </w:p>
          <w:p w14:paraId="7FD7DE1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2.知识图谱建设与应用</w:t>
            </w:r>
          </w:p>
          <w:p w14:paraId="14E0759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2.1支持知识点多层级架构建立，生成分类－知识点关系。</w:t>
            </w:r>
          </w:p>
          <w:p w14:paraId="03D8B48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支持手动添加、批量导入等方式构建知识图谱。批量导入需支持填写知识点名称、标签信息、认知维度、分类属性、教学目标、知识点说明等信息数据。手动编辑需支持单个修改知识点属性编辑，可批量或单独对当前知识点进行移动。</w:t>
            </w:r>
          </w:p>
          <w:p w14:paraId="5A1CF60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2.3支持智能导入，用户上传课程大纲、教材或PPT文件等，系统智能识别构建生成知识图谱。</w:t>
            </w:r>
          </w:p>
          <w:p w14:paraId="6DDCE67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2.4支持本地导入xmind格式的思维导图文件，自动读取文件数据，生成课程知识图谱，并能够导出excel格式文件。</w:t>
            </w:r>
          </w:p>
          <w:p w14:paraId="791A1C7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2.5知识图谱知识点支持说明添加，可添加富文本编辑框、公式编辑等富媒体文本。支持AI生成知识点说明。</w:t>
            </w:r>
          </w:p>
          <w:p w14:paraId="34BE7EB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2.6支持知识图谱自定义编辑功能，系统提供多种图谱形态，用户可根据课程性质选择合适的图谱形态进行编辑。</w:t>
            </w:r>
          </w:p>
          <w:p w14:paraId="18DC9DF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2.7具备批量编辑图谱知识点功能，可实现批量对知识图谱知识点进行删除或移动。大纲模式下可实现对知识点进行批量全选设置。</w:t>
            </w:r>
          </w:p>
          <w:p w14:paraId="6B879A4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2.8支持知识点之间进行前置关系、后置关系、关联关系的设置；支持额外新增其他自定义关系。</w:t>
            </w:r>
          </w:p>
          <w:p w14:paraId="7CB820A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2.9支持给知识点打标签，自定义标签内容，支持同一个支持点标记多个标签。具备附加标签功能，能够实现知识点的分类和标识，支持知识点设定重点、难点以及考点等标签，同时支持用户自定义标签名称。</w:t>
            </w:r>
          </w:p>
          <w:p w14:paraId="03606BC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2.10支持知识点被赋予某一分类属性，包括事实性、概念性、程序性、元认知等。</w:t>
            </w:r>
          </w:p>
          <w:p w14:paraId="69957C6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2.11支持进行跨课知识点关联，实现不同课程之间知识的聚合联动，关联后可以实现跨课学习并进行专业下多门课程的知识点关联展示应用。</w:t>
            </w:r>
          </w:p>
          <w:p w14:paraId="180EBE4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2.12知识图谱显示支持2D和3D展示效果，用户可自主地进行模式切换。</w:t>
            </w:r>
          </w:p>
          <w:p w14:paraId="58F3940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2.13创建图谱支持同步其他课程图谱，支持全量同步或者部分选择同步。支持教学平台所教的课程导入及从教务课程导入功能支持导入知识点之间的关系。</w:t>
            </w:r>
          </w:p>
          <w:p w14:paraId="3B1E300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3.问题图谱建设与应用</w:t>
            </w:r>
          </w:p>
          <w:p w14:paraId="6554E85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3.1基于课程知识图谱，建设不少于三层的问题体系，系统提供对每层级问题的定义能力，允许用户添加问题详情及其与知识点的关联。</w:t>
            </w:r>
          </w:p>
          <w:p w14:paraId="3CD8E2B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3.2支持用户可根据教学需求，自定义栏目标题和描述，以适应多样化的教学情境。支持用户对栏目中节点的名称、描述、标签和知识点进行修改，保持内容的时效性和准确性。</w:t>
            </w:r>
          </w:p>
          <w:p w14:paraId="2068CE2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3.3支持通过图谱形式展现问题与知识点的关联，使用户能够直观理解知识间的联系。</w:t>
            </w:r>
          </w:p>
          <w:p w14:paraId="2B00328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3.4提供两种子级问题关联方式，包括层级连线和板块关联功能，以展示问题间的层级结构。</w:t>
            </w:r>
          </w:p>
          <w:p w14:paraId="0A664D0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3.5支持开启探索模式，模拟学生学习路径，通过问题选择和知识点关联，促进学生的深入思考。在探索模式中，用户被引导将核心问题与子问题连接，形成知识网络，并通过提交与标准答案对比，实现自我评估。</w:t>
            </w:r>
            <w:r>
              <w:rPr>
                <w:rFonts w:hint="eastAsia" w:ascii="宋体" w:hAnsi="宋体" w:cs="宋体"/>
                <w:color w:val="auto"/>
                <w:sz w:val="21"/>
                <w:szCs w:val="21"/>
                <w:lang w:val="en-US" w:eastAsia="zh-CN" w:bidi="ar-SA"/>
              </w:rPr>
              <w:t>（需提供演示）</w:t>
            </w:r>
          </w:p>
          <w:p w14:paraId="39B47C2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3.6支持在探索过程中查看相关知识点并进行相关知识点的知识内容学习，有效提高在探索过程中思考解决问题的能力和获取信息的能力。</w:t>
            </w:r>
          </w:p>
          <w:p w14:paraId="229EAFF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4.课程思政图谱建设与应用</w:t>
            </w:r>
          </w:p>
          <w:p w14:paraId="4D38EAC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4.1支持展示课程思政图谱的功能。支持“课程思政”元素以合适的形式呈现，以视觉突出其在课程中的核心地位。</w:t>
            </w:r>
          </w:p>
          <w:p w14:paraId="1036D89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4.2支持搜索功能覆盖知识点、分类和标签，实现全面性，满足用户不同维度的搜索需求。</w:t>
            </w:r>
          </w:p>
          <w:p w14:paraId="774F2D9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4.3支持通过点击操作，可深入分类卡片获取详细信息，知识点用户也可以选择开启卡片，直接跳转至微课进行学习，实现知识获取的快速通道。</w:t>
            </w:r>
          </w:p>
          <w:p w14:paraId="5F03DBE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5.目标图谱建设</w:t>
            </w:r>
          </w:p>
          <w:p w14:paraId="781E2CE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5.1系统允许根据不同班级特点定制课程目标，以满足特定教学需求。支持课程目标模板导入/一键导出功能，便于教师对于课程目标可以直观浏览和整理，同时也能有效地和其他工具同时使用。</w:t>
            </w:r>
          </w:p>
          <w:p w14:paraId="2643C66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5.2支持课程目标与知识点进行关联，以展示目标与教学内容的直接联系。</w:t>
            </w:r>
          </w:p>
          <w:p w14:paraId="719244F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5.3支持以柱状图展示课程目标关联知识点的个数，提供直观的统计信息；</w:t>
            </w:r>
          </w:p>
          <w:p w14:paraId="6591CE4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5.4支持以列表形式展示课程目标总数、课程目标名称、课程目标说明、课程目标标签以及所关联的知识点个数，方便用户快速浏览和了解。</w:t>
            </w:r>
          </w:p>
          <w:p w14:paraId="3856102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5.5支持以图谱形式展示每个课程目标所关联的知识点情况，增强信息的可视化效果。</w:t>
            </w:r>
          </w:p>
          <w:p w14:paraId="179B825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6.自定义图谱建设</w:t>
            </w:r>
          </w:p>
          <w:p w14:paraId="1026BAC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6.1具备自定义或编辑图谱功能，可根据个性化的图谱展示进行自定义图谱建设。</w:t>
            </w:r>
            <w:r>
              <w:rPr>
                <w:rFonts w:hint="eastAsia" w:ascii="宋体" w:hAnsi="宋体" w:cs="宋体"/>
                <w:color w:val="auto"/>
                <w:sz w:val="21"/>
                <w:szCs w:val="21"/>
                <w:lang w:val="en-US" w:eastAsia="zh-CN" w:bidi="ar-SA"/>
              </w:rPr>
              <w:t>（需提供演示）</w:t>
            </w:r>
          </w:p>
          <w:p w14:paraId="737A084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6.2提供多种图谱样式，满足教师不同教学场景，供自由选择。</w:t>
            </w:r>
          </w:p>
          <w:p w14:paraId="093D1A1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7.知识点微课建设与应用</w:t>
            </w:r>
          </w:p>
          <w:p w14:paraId="5D2AF92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7.1支持教师对课程章节内容，包括——视频、音频、文档、图书、章节测验等进行知识点标记，作为知识点教学任务进行设置，方便学生按知识点进行任务学习。</w:t>
            </w:r>
          </w:p>
          <w:p w14:paraId="7EF438D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7.2支持按知识点上传资源，并查看知识点关联资源数量，方便教师按知识点管理资源。</w:t>
            </w:r>
          </w:p>
          <w:p w14:paraId="6352591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7.3知识点卡片须具备资料添加功能，可通过添加资料关联建设知识点下相关课程资料及其他相关资源。</w:t>
            </w:r>
          </w:p>
          <w:p w14:paraId="143F4E8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7.4支持多种题型的创建管理，包括单选、多选、填空、判断、简答、名词解析、论述、计算、分录、连线、排序、完形填空、阅读理解、口语、听力等常见题型。</w:t>
            </w:r>
          </w:p>
          <w:p w14:paraId="7963E47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7.5支持在创建或编辑题目时标记每道题对应的知识点标签，并支持按知识点筛选管理题目。支持按模板批量导入题目时导入题目知识点，支持批量编辑题目关联知识点。</w:t>
            </w:r>
          </w:p>
          <w:p w14:paraId="2300216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7.6题目关联知识点操作时系统支持智能推荐知识点，便于教师快速进行关联操作。</w:t>
            </w:r>
          </w:p>
          <w:p w14:paraId="2A90ED6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7.7支持AI生成学习内容，系统结合AI可根据教师网络课程内容自动生成知识点学习内容，生成的内容可一键加入微课中。</w:t>
            </w:r>
          </w:p>
          <w:p w14:paraId="0914845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7.8支持错题显示解析以及相关知识点。图谱知识点学习界面支持错题集功能，可将学生学习过程中产生的错题归类到知识点下的错题集中。</w:t>
            </w:r>
          </w:p>
          <w:p w14:paraId="724E9A3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7.9支持学生查看课程知识图谱，并查看每个知识点的学习进度情况。</w:t>
            </w:r>
          </w:p>
          <w:p w14:paraId="2B7D03C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7.10支持学生按知识点进行课程任务学习，观看课程视频，阅读课程资料等。</w:t>
            </w:r>
          </w:p>
          <w:p w14:paraId="36D117A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7.11支持学生按知识点从题库或错题本抽题，逐题自测。支持学生自测时可以设置抽题范围，仅抽当前知识点以及前置知识点的题，避免抽到未开始学习的知识点试题。</w:t>
            </w:r>
          </w:p>
          <w:p w14:paraId="48C0D66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7.12学生端可以查看</w:t>
            </w: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"javascript:void(0);" \o "推荐资源"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1"/>
                <w:szCs w:val="21"/>
                <w:lang w:val="en-US" w:eastAsia="zh-CN" w:bidi="ar-SA"/>
              </w:rPr>
              <w:t>推荐资源</w: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，进行拓展学习。推荐资源应基于知识点智能推荐课程、资源、课程思政资源、题目、论文、期刊、图书、互联网资源等。</w:t>
            </w:r>
          </w:p>
          <w:p w14:paraId="49A07B8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7.13支持精准教学设计功能，可以自定义建设事件，可设置知识点的掌握率及完成率的设置，支持自定义学习路径或者微课资料，支持设置对应的动作。</w:t>
            </w:r>
          </w:p>
          <w:p w14:paraId="1B752BB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8.基于知识图谱的数智驱动数据分析与统计</w:t>
            </w:r>
          </w:p>
          <w:p w14:paraId="61FA7D8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8.1支持教师查看知识图谱的知识点建设情况，包括知识点建设率、图谱知识点总数、图谱关联资源知识点数、已设置标签的知识点数、图谱未关联资源知识点数等；</w:t>
            </w:r>
            <w:r>
              <w:rPr>
                <w:rFonts w:hint="eastAsia" w:ascii="宋体" w:hAnsi="宋体" w:cs="宋体"/>
                <w:color w:val="auto"/>
                <w:sz w:val="21"/>
                <w:szCs w:val="21"/>
                <w:lang w:val="en-US" w:eastAsia="zh-CN" w:bidi="ar-SA"/>
              </w:rPr>
              <w:t>（需提供演示）</w:t>
            </w:r>
          </w:p>
          <w:p w14:paraId="648B755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8.2支持查看不同知识点属性概况数据；支持查看图谱资源总数，关联视频、音频、文档、题目及其他类型资源数等；支持查看知识点关联资源数量排行榜。</w:t>
            </w:r>
          </w:p>
          <w:p w14:paraId="37E4F78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8.3支持教师查看不同班级的学情数据，包括每个知识点的完成率与掌握率、知识点热度、完成率与掌握率的学情分段人数、学生完成率与掌握率排行情况等数据。</w:t>
            </w:r>
          </w:p>
          <w:p w14:paraId="5F6670E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8.4支持教师选择多个不同班级进行学情数据对比，对比内容包括班级掌握率、班级完成率、完成率区间对比与掌握率区间对比等数据。通过班级对比分析，便于教师更好地了解不同班级间的学习差异。</w:t>
            </w:r>
          </w:p>
          <w:p w14:paraId="4202FA7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8.5支持教师依据知识点的属性或分类层级，灵活选取多样的评价维度，进而生成学生或班级画像。</w:t>
            </w:r>
          </w:p>
          <w:p w14:paraId="4DECF23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8.6通过统计各维度知识点的完成率与掌握率，精准了解和分析班级或学生的学习状况。</w:t>
            </w:r>
          </w:p>
          <w:p w14:paraId="2EA646E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9.移动端知识图谱应用</w:t>
            </w:r>
          </w:p>
          <w:p w14:paraId="4D75FCC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9.1支持用户通过移动端设备访问知识图谱，实现随时随地的个性化学习。移动端提供图谱模式、大纲模式和学习地图模式，以适应不同用户的学习偏好和场景需求。</w:t>
            </w:r>
          </w:p>
          <w:p w14:paraId="55DBE2D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9.2移动端图谱模式下，用户可以选择导航模式或全局模式，分别深入探索或宏观把握知识结构。移动端图谱模式下左侧导航区域以列表形式展示分类和知识点，支持快速定位和子级展开。</w:t>
            </w:r>
          </w:p>
          <w:p w14:paraId="652E8D7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9.3支持基于关键字的搜索和模糊匹配，帮助用户迅速找到目标知识点及相关全面信息。</w:t>
            </w:r>
          </w:p>
          <w:p w14:paraId="62CB5E1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9.4移动端导航模式下，图谱以一种集中的形态展示最高层级的分类或知识点，允许用户通过交互进一步探索其子级和它们之间的联系。</w:t>
            </w:r>
          </w:p>
          <w:p w14:paraId="765178C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9.5移动端直观展示知识点掌握率和完成率，反映用户个人学习情况。</w:t>
            </w:r>
          </w:p>
          <w:p w14:paraId="5392A15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9.6支持查看和该知识点相关的错题集，帮助用户更有针对性地进行复习。</w:t>
            </w:r>
          </w:p>
          <w:p w14:paraId="2DECED1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9.7支持点击知识点跳转至微课进行深入学习。移动端微课提供分析、学习内容、自测、资料、错题集、讨论等多功能模块。</w:t>
            </w:r>
          </w:p>
          <w:p w14:paraId="3E7638A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9.8用户可以根据个人需求在移动端微课选择自测模式，包括时间限制和题目选择，以创建专属的自测体验。自测功能支持仅从未尝试过的题目中抽取，确保每次自测的新鲜感和有效性。</w:t>
            </w:r>
          </w:p>
          <w:p w14:paraId="488C9B9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p>
        </w:tc>
      </w:tr>
      <w:tr w14:paraId="4B125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2CDB0D5D">
            <w:pPr>
              <w:snapToGrid w:val="0"/>
              <w:spacing w:line="360" w:lineRule="auto"/>
              <w:jc w:val="center"/>
              <w:rPr>
                <w:rFonts w:hint="default"/>
                <w:color w:val="auto"/>
                <w:lang w:val="en-US" w:eastAsia="zh-CN"/>
              </w:rPr>
            </w:pPr>
            <w:r>
              <w:rPr>
                <w:rFonts w:hint="eastAsia"/>
                <w:color w:val="auto"/>
                <w:lang w:val="en-US" w:eastAsia="zh-CN"/>
              </w:rPr>
              <w:t>7</w:t>
            </w:r>
          </w:p>
        </w:tc>
        <w:tc>
          <w:tcPr>
            <w:tcW w:w="836" w:type="pct"/>
            <w:noWrap w:val="0"/>
            <w:vAlign w:val="center"/>
          </w:tcPr>
          <w:p w14:paraId="58FF8709">
            <w:pPr>
              <w:snapToGrid w:val="0"/>
              <w:spacing w:line="360" w:lineRule="auto"/>
              <w:jc w:val="center"/>
              <w:rPr>
                <w:rFonts w:hint="eastAsia"/>
                <w:color w:val="auto"/>
                <w:lang w:val="en-US" w:eastAsia="zh-CN"/>
              </w:rPr>
            </w:pPr>
            <w:r>
              <w:rPr>
                <w:rFonts w:hint="eastAsia"/>
                <w:color w:val="auto"/>
                <w:lang w:val="en-US" w:eastAsia="zh-CN"/>
              </w:rPr>
              <w:t>在线开放课程AI工作台智慧教学应用</w:t>
            </w:r>
          </w:p>
        </w:tc>
        <w:tc>
          <w:tcPr>
            <w:tcW w:w="3708" w:type="pct"/>
            <w:noWrap w:val="0"/>
            <w:vAlign w:val="center"/>
          </w:tcPr>
          <w:p w14:paraId="7FDF033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指导老师应用AI工具，在备课、教学、学习、教研、科研、评价等全流程深度融合，实现数字素养提升，并实现AI赋能的“师/生/机”深度交互教学模式改革。具有AI教案、AI生成PPT、AI智能写作与校正、章节视频与文档AI解析、AI智能出题、公式识别、作业智能查重、AIGC检测、文献阅读、视频理解、智能翻译、资料查询助手等AI工具应用于教学。</w:t>
            </w:r>
          </w:p>
          <w:p w14:paraId="6210E0B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1.AI教案</w:t>
            </w:r>
          </w:p>
          <w:p w14:paraId="740B4D3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1.1教师输入教学材料或关键词，AI自动生成教案，并支持教师借助写作助手进行再次编辑。</w:t>
            </w:r>
          </w:p>
          <w:p w14:paraId="5C97569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1.2支持教师补充所教层次、适合的教学风格，形成更加具有个性化的教案。</w:t>
            </w:r>
          </w:p>
          <w:p w14:paraId="241A97B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1.3支持一键导出教案，并且支持按学校教案模板导出。</w:t>
            </w:r>
          </w:p>
          <w:p w14:paraId="428D7FC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2.AI课件</w:t>
            </w:r>
          </w:p>
          <w:p w14:paraId="18F4A7C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2.1通过输入PPT内容要求，AI智能生成PPT大纲</w:t>
            </w:r>
          </w:p>
          <w:p w14:paraId="40010EC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2.2支持教师在线直接编辑生成的大纲内容</w:t>
            </w:r>
          </w:p>
          <w:p w14:paraId="723CE0C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2.3支持AI自动根据大纲生成PPT，教师可以进行在线编辑或下载</w:t>
            </w:r>
          </w:p>
          <w:p w14:paraId="73834AE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2.4支持选择PPT模板场景、设计风格、主题颜色，生成个性化PPT</w:t>
            </w:r>
          </w:p>
          <w:p w14:paraId="356A9FC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3.AI写作</w:t>
            </w:r>
          </w:p>
          <w:p w14:paraId="7C2476E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3.1老师可以向AI写作助手提出需求，点击“生成”，写作助手会根据要求智能生成相应的内容，老师点击保存可以将内容输出到章节编辑页面上</w:t>
            </w:r>
          </w:p>
          <w:p w14:paraId="6A7AD48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3.2老师可进行文本修改、删减或排版</w:t>
            </w:r>
          </w:p>
          <w:p w14:paraId="23F5D59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3.3在章节编辑页面，选中内容可进行AI改写、扩写、续写、简写、翻译等操作</w:t>
            </w:r>
          </w:p>
          <w:p w14:paraId="582BD15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4.AI出题</w:t>
            </w:r>
          </w:p>
          <w:p w14:paraId="2B83EDE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4.1支持教师通过知识点、输入文本、上传附件文档和视频、选定章节等多种方式，搭配补充出题要求说明，由AI自动生成相应试题。AI系统可以自动生成对应的题目并且不限制教师使用次数。</w:t>
            </w:r>
          </w:p>
          <w:p w14:paraId="4C66B87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4.2支持多种题型，题型包括选择题、填空题、简答题等，以便满足不同类型考题的需求</w:t>
            </w:r>
          </w:p>
          <w:p w14:paraId="3A8E327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4.3教师可以根据课程内容和学生水平，将生成的题目添加到题库。并随时使用这些题目进行测验、考试或者课堂练习。</w:t>
            </w:r>
          </w:p>
          <w:p w14:paraId="021454C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4.4支持设置出题要求，比如：适用年级、难易度、题目偏向等。</w:t>
            </w:r>
          </w:p>
          <w:p w14:paraId="2898F26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4.5支持教师在线编辑调整AI生成的试题，也可以一键加入题库，组成作业考试发布给学生，并且支持跨课程使用生成的题目。</w:t>
            </w:r>
            <w:r>
              <w:rPr>
                <w:rFonts w:hint="eastAsia" w:ascii="宋体" w:hAnsi="宋体" w:cs="宋体"/>
                <w:color w:val="auto"/>
                <w:sz w:val="21"/>
                <w:szCs w:val="21"/>
                <w:lang w:val="en-US" w:eastAsia="zh-CN" w:bidi="ar-SA"/>
              </w:rPr>
              <w:t>（需提供演示）</w:t>
            </w:r>
          </w:p>
          <w:p w14:paraId="55C48F4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4.6支持AI口语测评题出题、听力题AI语音生成。教师可以输入需要学生跟读的文本，学生通过系统录制跟读的音频，系统将对录音进行语音分析评估其完整度、准确度和流利度，并给出针对性的评分和反馈意见。</w:t>
            </w:r>
          </w:p>
          <w:p w14:paraId="5959E43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4.7AI程序题出题，支持AI自动对学生提交的代码进行评分和反馈。AI会根据预先设定的评分标准和规则，对学生提交的代码进行自动评分，包括代码质量、逻辑正确性、语法规范等方面，AI可以分析代码的复杂度，指出可能存在的改进空间，帮助学生提高代码的效率和可读性，程序题提供可支持代码运行环境支持学生提交代码在线运行。</w:t>
            </w:r>
          </w:p>
          <w:p w14:paraId="5BF5CFD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4.8支持根据出题结果生成配套图片，结合题目信息选择图片类型，生成图片后可直接插入题干，至少支持2种图片类型选择。</w:t>
            </w:r>
            <w:r>
              <w:rPr>
                <w:rFonts w:hint="eastAsia" w:ascii="宋体" w:hAnsi="宋体" w:cs="宋体"/>
                <w:color w:val="auto"/>
                <w:sz w:val="21"/>
                <w:szCs w:val="21"/>
                <w:lang w:val="en-US" w:eastAsia="zh-CN" w:bidi="ar-SA"/>
              </w:rPr>
              <w:t>（需提供演示）</w:t>
            </w:r>
          </w:p>
          <w:p w14:paraId="4634B4B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5.AI批阅</w:t>
            </w:r>
          </w:p>
          <w:p w14:paraId="7507ECA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5.1使用先进的AI技术，能够批阅学生的主观题、论述题、小论文等。</w:t>
            </w:r>
          </w:p>
          <w:p w14:paraId="5A7DC26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5.2对参考答案和学生答案进行分词处理和语法分析，以便计算词语和语句的相似度，从而量化学生答案与标准答案的匹配程度</w:t>
            </w:r>
          </w:p>
          <w:p w14:paraId="10B1802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5.3支持利用语义相似度计算结果给出学生相应的得分，通过深度学习等技术来模拟人类对语义相似度的判断，从而更准确地评估学生的答案质量。</w:t>
            </w:r>
          </w:p>
          <w:p w14:paraId="30E1A34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5.4系统可以根据教师设置的得分点来匹配得分，确保评分符合标准化要求，同时满足教学目标和评价体系。</w:t>
            </w:r>
          </w:p>
          <w:p w14:paraId="7AA9E62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5.5支持智能批阅程序题。</w:t>
            </w:r>
          </w:p>
          <w:p w14:paraId="7BF75D6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5.6支持智能批阅口语题。</w:t>
            </w:r>
          </w:p>
          <w:p w14:paraId="5FEBBC8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5.7支持从结构、内容、语言等6个大维度，12～16个细分维度进行打分，并给出推荐总分。</w:t>
            </w:r>
          </w:p>
          <w:p w14:paraId="29444B2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5.8AI批阅系统不仅提供整体评价，还支持对精彩句子进行点评，并给出提升建议。</w:t>
            </w:r>
          </w:p>
          <w:p w14:paraId="34808CF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5.9支持揪出学生作文中的错别字，提供修改建议，帮助学生提高写作水平。</w:t>
            </w:r>
          </w:p>
          <w:p w14:paraId="297A828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6.AI学情分析</w:t>
            </w:r>
          </w:p>
          <w:p w14:paraId="43BE999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6.1支持智能呈现班级整体知识点分析数据，提供个性化学习路径。</w:t>
            </w:r>
          </w:p>
          <w:p w14:paraId="129F2F2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6.2可查看知识点平均完成率、平均掌握率、完成率分布和掌握率分布等。支持按知识点查看每个知识点的关联学习资源数、平均完成率、平均掌握率、课程资料数、课程资料人均阅读情况等。</w:t>
            </w:r>
          </w:p>
          <w:p w14:paraId="1E478FA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6.3基于AI学情分析，可由AI生成学情分析画像，减轻教师学情分析压力，提升效率。</w:t>
            </w:r>
          </w:p>
          <w:p w14:paraId="5ED212F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6.4针对班级学情数据进行分析，将班级学生分布自动划分为全优层、提升层、勤奋层、学霸层，并给出具体的教学建议，帮助教师开展精准教学。</w:t>
            </w:r>
          </w:p>
          <w:p w14:paraId="34C5A7A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6.5支持根据平台学生整体学习数据及专项数据，或者上传excel文档，教师可自定义分析维度，AI自动进行学生学情分析并提供建议提醒。</w:t>
            </w:r>
          </w:p>
          <w:p w14:paraId="15DA786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6.6支持多班对比分析：对多个班级的数据进行深度分析，洞察每个班级的独特学情，为教育决策提供科学依据。</w:t>
            </w:r>
          </w:p>
          <w:p w14:paraId="7871044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6.7支持内置常见问题：智能解答，即刻响应。精准识别并预测用户常见问题，提供即时、精准的智能回复。</w:t>
            </w:r>
          </w:p>
          <w:p w14:paraId="75CB303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6.8支持图表产出：引入多种统计图表，包括饼图、散点图、面积图、箱线图等，提供丰富的数据可视化选项，帮助教师把握数据背后的趋势与洞见。</w:t>
            </w:r>
          </w:p>
          <w:p w14:paraId="2A5FEAA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w:t>
            </w:r>
            <w:bookmarkStart w:id="393" w:name="_Toc177679160"/>
            <w:r>
              <w:rPr>
                <w:rFonts w:hint="eastAsia" w:ascii="宋体" w:hAnsi="宋体" w:eastAsia="宋体" w:cs="宋体"/>
                <w:color w:val="auto"/>
                <w:sz w:val="21"/>
                <w:szCs w:val="21"/>
                <w:lang w:val="en-US" w:eastAsia="zh-CN" w:bidi="ar-SA"/>
              </w:rPr>
              <w:t>个性化学习路径推荐</w:t>
            </w:r>
            <w:bookmarkEnd w:id="393"/>
          </w:p>
          <w:p w14:paraId="19F9E84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7.1为学生智能化推荐个性化学习路径，呈现路径中各知识点掌握率</w:t>
            </w:r>
          </w:p>
          <w:p w14:paraId="1F953AE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7.2基于知识点的学习，智能化分析学生学习进度与掌握情况，掌握率高于90%的知识点在学习路径上不再显示</w:t>
            </w:r>
          </w:p>
          <w:p w14:paraId="1CDB678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7.3基于错题智能推荐薄弱知识点</w:t>
            </w:r>
          </w:p>
          <w:p w14:paraId="7EF63F1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8.智能推荐资源</w:t>
            </w:r>
          </w:p>
          <w:p w14:paraId="7931633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根据需求，可通过问答方式由AI助教提供智能化资源推荐，通过关键词识别，智能化挖掘呈现相关联学术资源，包含期刊、图书等内容，助力学生复习相关知识、扩展学习的深度与广度。</w:t>
            </w:r>
          </w:p>
          <w:p w14:paraId="4248F60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9.文献阅读</w:t>
            </w:r>
          </w:p>
          <w:p w14:paraId="1696FE1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9.1根据原文内容支持随机生成并显示默认问题，可通过点击默认问题或自定义输入问题查看回复，平台通过匹配向量之间的相似性，支持文字、表格等多种输出格式；</w:t>
            </w:r>
          </w:p>
          <w:p w14:paraId="628C947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9.2支持点击词云查看人物、机构、地名在原文出现次数、页码以及原文信息，快速了解原文的重点和主题；</w:t>
            </w:r>
          </w:p>
          <w:p w14:paraId="2F95B8A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9.3通过对原文的分析，支持按照章节提取关键信息，生成摘要列表；</w:t>
            </w:r>
          </w:p>
          <w:p w14:paraId="11DD28B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9.4通过对原文的分析将复杂的概念和关系可视化，支持按照脑图或markdown格式切换查看，帮助知识整理和信息归纳；</w:t>
            </w:r>
          </w:p>
          <w:p w14:paraId="4E07E8E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9.5通过对原文的分析，支持按照章节查看系统生成的相关试题，试题可以章节为维度进行筛选，生成的试题均为本章节相关内容试题；</w:t>
            </w:r>
          </w:p>
          <w:p w14:paraId="196F202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9.6支持原文在线预览，支持目录检索、全文检索。</w:t>
            </w:r>
          </w:p>
          <w:p w14:paraId="4B730A2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10.视频理解</w:t>
            </w:r>
          </w:p>
          <w:p w14:paraId="561A748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10.1支持自定义上传视频，AI智能分析生成“智能速览”，总结视频摘要、片段摘要。</w:t>
            </w:r>
          </w:p>
          <w:p w14:paraId="46C8962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10.2智能分析视频中的发言人，按发言人统计发言百分比、发言段落，以时间轴形式展示。</w:t>
            </w:r>
          </w:p>
          <w:p w14:paraId="16DCE0F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10.3根据视频随机生成问题，可通过点击默认问题或自定义输入问题开展机器问答，平台通过匹配向量之间的相似性；</w:t>
            </w:r>
          </w:p>
          <w:p w14:paraId="36A433F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10.4支持点击词云查看实体出现次数、时间段以及视频文本信息，快速了解视频的重点和主题；</w:t>
            </w:r>
          </w:p>
          <w:p w14:paraId="05B302D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10.5通过对视频的片段分析将复杂的概念和关系可视化，支持按照脑图或markdown格式切换查看，帮助知识整理和信息归纳；</w:t>
            </w:r>
          </w:p>
          <w:p w14:paraId="5072415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10.6通过对视频片段的分析，支持按照片段查看系统生成的相关试题，生成的试题均为本视频相关内容试题。</w:t>
            </w:r>
          </w:p>
          <w:p w14:paraId="5FF3E31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11.章节内容智能审查与文本纠错</w:t>
            </w:r>
          </w:p>
          <w:p w14:paraId="2156A5E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支持文字校对，包括错字、漏字、缺字、多字、语法、错误、语义错误等。</w:t>
            </w:r>
          </w:p>
          <w:p w14:paraId="64FE4BE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12.作业智能查重</w:t>
            </w:r>
          </w:p>
          <w:p w14:paraId="739D180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12.1比对基础库中的数据包含图书、报纸、期刊、网络文档等多种文献类型；支持选择不同的比对库，包含全部全文比对库、图书全文比对库、非图书全文比对库、法律法规比对库、自建库选择进行检测。</w:t>
            </w:r>
          </w:p>
          <w:p w14:paraId="579A346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12.2每万字的检测需在数秒内完成，并在10分钟内提供检测报告；</w:t>
            </w:r>
          </w:p>
          <w:p w14:paraId="22D5EAB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12.3支持30M以上的TXT、DOC、PDF、DOCX、ZIP、RAR多种格式以及非加密文档的上传检测；支持ZIP、RAR压缩包形式上传（大小需在50M以内）；</w:t>
            </w:r>
          </w:p>
          <w:p w14:paraId="26CBE05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12.4支持点击选择文件上传文档或者将50字以上、1万字以下的文本直接粘贴到文本框中进行检测；</w:t>
            </w:r>
          </w:p>
          <w:p w14:paraId="60A6F92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12.5支持根据上传的检测文献生成检测报告，支持查看在线报告，也支持批量下载全部检测报告、批量下载PDF报告；</w:t>
            </w:r>
          </w:p>
          <w:p w14:paraId="1A13D9A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12.6用户可下载PDF报告（简洁报告、全文检测报告）和HTML报告（综合评估、相似片段、全文对比）进行查看和打印，（PDF报告和HTML报告均提供相似度检测专用印章）；</w:t>
            </w:r>
          </w:p>
          <w:p w14:paraId="0429481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12.7支持查看最密集相似段、密集相似段、非密集相似段；</w:t>
            </w:r>
          </w:p>
          <w:p w14:paraId="421ABF8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12.8支持按文献类型查看典型相似图书列表、典型相似报纸列表、典型相似期刊列表、典型相似网络文档列表，支持在检测结果中，单独查看两两文献的比对结果。</w:t>
            </w:r>
          </w:p>
          <w:p w14:paraId="10EDE06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13.视频智能分析</w:t>
            </w:r>
          </w:p>
          <w:p w14:paraId="1A71ECE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13.1对课程建设系统中的视频进行智能分析，自动匹配课程中的知识点，并在视频对应的时间点进行自动打点</w:t>
            </w:r>
          </w:p>
          <w:p w14:paraId="6EF7B74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13.2基于人工智能技术生成知识点词云分析并展示</w:t>
            </w:r>
          </w:p>
          <w:p w14:paraId="793D96A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13.3支持视频播放时学生可以定位到时间点观看对应知识点的视频讲解。</w:t>
            </w:r>
          </w:p>
          <w:p w14:paraId="36B66D7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14.智能翻译</w:t>
            </w:r>
          </w:p>
          <w:p w14:paraId="319F070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14.1支持用户自行上传文件进行双语翻译。</w:t>
            </w:r>
          </w:p>
          <w:p w14:paraId="078A9B1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14.2支持单语切换：一键切换阅读模式。在开启“同步滑动”的情况下，实现页面同步跳转，方便阅读；</w:t>
            </w:r>
          </w:p>
          <w:p w14:paraId="5599FDC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14.3支持查词定位：原文、译文阅读界面均支持文章内容的精准查找定位，支持高亮显示和大小写区分，方便用户通过关键词快速检索文章内容；</w:t>
            </w:r>
          </w:p>
          <w:p w14:paraId="00A393C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14.4支持页码定位：支持用户通过上下滑动进行定位，同时支持输入页码调试定位；</w:t>
            </w:r>
          </w:p>
          <w:p w14:paraId="30ABB69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14.5支持调整阅读比例：支持自动缩放、实际大小、适合页宽以及100%、125%、150%的页面调整；</w:t>
            </w:r>
          </w:p>
          <w:p w14:paraId="06BFD88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14.6支持开启划词翻译功能，选中原文、译文文本并翻译；</w:t>
            </w:r>
          </w:p>
          <w:p w14:paraId="6634538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14.7支持演示（全屏）模式。</w:t>
            </w:r>
          </w:p>
          <w:p w14:paraId="5987A3A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15.智能推送薄弱点及资源</w:t>
            </w:r>
          </w:p>
          <w:p w14:paraId="0F02C1F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15.1根据每个学生的错题和知识点掌握率，自动为学生进行薄弱知识点的辅导，可以根据学生错题和知识点掌握率优先推送薄弱知识点相关的题目。</w:t>
            </w:r>
          </w:p>
          <w:p w14:paraId="069EA39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15.2支持生成相似题、变式题的个性化练习，帮助学生加强知识点理解。</w:t>
            </w:r>
          </w:p>
          <w:p w14:paraId="79F98C9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 AI科研智能问答</w:t>
            </w:r>
          </w:p>
          <w:p w14:paraId="3A631F9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16.1支持自定义切换多个学科智能体，每个智能体可绑定多个AI知识库与大模型；支持自定义智能体名称、图标、角色定位与使用场景描述。</w:t>
            </w:r>
          </w:p>
          <w:p w14:paraId="2C5279A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16.2智能体回答内容支持溯源引用来源，确保回答可信；支持灵活选择多种大模型；支持设置提示词，定义智能体角色行为和问答风格。</w:t>
            </w:r>
          </w:p>
          <w:p w14:paraId="3DA1E8B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16.3支持问答式检索，直接以问题形式获取文献推荐或答案摘要；支持检索结果加入阅读清单与AI解读功能。</w:t>
            </w:r>
          </w:p>
          <w:p w14:paraId="0642CA2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16.4AI学术追踪</w:t>
            </w:r>
          </w:p>
          <w:p w14:paraId="6040686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16.4.1支持用户自定义研究兴趣、学术期刊、学者、学术顶会等信息进行AI追踪，系统自动筛选并推送相关的最新优质文献。支持用户通过自然语言输入具体兴趣追踪最新学术文献。支持对推荐文献快捷引用，支持APA、MLA、GB/T7714等引用格式；支持勾选多篇推荐文献进行多文献对话，支持对多篇文献提供观点对比、研究方法对比、结论对比、摘要总结。</w:t>
            </w:r>
          </w:p>
          <w:p w14:paraId="6DA8A19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16.4.2系统自动构建用户画像，基于用户兴趣偏好与历史行为进行内容推荐；推荐内容支持加入阅读清单、课题知识库。</w:t>
            </w:r>
          </w:p>
          <w:p w14:paraId="67B7381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16.4.3支持冷启动机制，帮助新用户快速匹配感兴趣内容。</w:t>
            </w:r>
          </w:p>
          <w:p w14:paraId="716E645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16.5AI学术对话</w:t>
            </w:r>
          </w:p>
          <w:p w14:paraId="203077A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16.5.1支持对学术追踪的内容进行AI总结；支持AI快速解读关注领域的最新科研动态，便于用户快速及时了解最新文献、大批量文献；AI速读支持提取文章结构（研究方法、结论、贡献等）并生成摘要，支持一键生成关键要点，支持生成脑图。</w:t>
            </w:r>
          </w:p>
          <w:p w14:paraId="30FE782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16.5.2支持对单个AI知识库进行AI对话；支持对期刊、学者进行AI对话，以交互方式使用户快捷了解期刊或学者某方面研究内容。</w:t>
            </w:r>
          </w:p>
          <w:p w14:paraId="3461674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17.AI试卷质量分析</w:t>
            </w:r>
          </w:p>
          <w:p w14:paraId="3056E17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17.1支持从题型题量、难易度、知识点覆盖以及题目质量等多个关键维度，对试卷质量进行深入、细致地评估，提供相应建议。</w:t>
            </w:r>
          </w:p>
          <w:p w14:paraId="351951C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17.2支持根据AI推荐知识点，给题目一键关联知识点，健全知识图谱建设；老师可以进行AI【一键换题】操作，快速获取更优质、更合适的题目，提高试卷编撰效率和质量。</w:t>
            </w:r>
          </w:p>
          <w:p w14:paraId="2065670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18.公式识别</w:t>
            </w:r>
          </w:p>
          <w:p w14:paraId="405B689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18.1教师录入公式后，系统自动将图片公式分析出来并可转换为latex公式。</w:t>
            </w:r>
          </w:p>
          <w:p w14:paraId="439F3E6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19.课程内容不懂智能驱动</w:t>
            </w:r>
          </w:p>
          <w:p w14:paraId="173D749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19.1学生观看视频或课件时，点击屏幕右侧“不懂”按钮，智能触发AI助教，并将不懂的页面自动截屏，由AI答疑解惑。</w:t>
            </w:r>
          </w:p>
          <w:p w14:paraId="7BBF113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20.AI实践</w:t>
            </w:r>
          </w:p>
          <w:p w14:paraId="1B56D1F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学科教学体系中，实践教学是培养应用型人才的核心模块，尤其在医学、心理学等强实操性领域具有不可替代性。AI实践是一种融合智能技术与教学场景的任务型学习方式，支持教师根据教学目标配置不同类型的实践任务。</w:t>
            </w:r>
          </w:p>
          <w:p w14:paraId="261FEF5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20.1支持预设任务内容、评分标准与评估视角等多项任务信息</w:t>
            </w:r>
          </w:p>
          <w:p w14:paraId="699B29B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20.2支持学生在系统引导下完成练习、提交作品或多轮互动</w:t>
            </w:r>
          </w:p>
          <w:p w14:paraId="009D02E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20.3系统可记录学生过程、提供智能评分反馈，帮助教师高效开展教学管理</w:t>
            </w:r>
          </w:p>
          <w:p w14:paraId="14CC9D1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20.4支持情景对话型任务</w:t>
            </w:r>
          </w:p>
          <w:p w14:paraId="3F475FA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以“情景驱动”为核心的AI互动练习形式，支持教师设置具体情境、任务要求与交互目标，引导学生在设定情境中与AI展开多轮对话，逐步推进任务完成。</w:t>
            </w:r>
          </w:p>
          <w:p w14:paraId="593B9D5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20.5支持上传作品型任务</w:t>
            </w:r>
          </w:p>
          <w:p w14:paraId="3B48A6D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上传作品任务适用于学生提交作品型成果，如实验图片、图文混排文档等。支持教师在任务中明确作品要求，设置评估角色与评分标准，结合实际教学目标和评分标准，对学生提交内容进行评阅与打分反馈。</w:t>
            </w:r>
          </w:p>
          <w:p w14:paraId="37A7A73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20.6支持学习阶梯型任务</w:t>
            </w:r>
          </w:p>
          <w:p w14:paraId="13CBF5D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学习阶梯是一种层层递进的任务设计方式，围绕一个核心问题，支持教师预设多个认知维度。学生需逐步作答、逐层推进，答对当前层级的问题后，才能解锁下一层，实现“按维推进、层层深入”的学习过程，帮助学生在实践中锻炼逻辑、分析与综合能力。</w:t>
            </w:r>
          </w:p>
          <w:p w14:paraId="692A679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1</w:t>
            </w:r>
            <w:r>
              <w:rPr>
                <w:rFonts w:hint="eastAsia" w:ascii="宋体" w:hAnsi="宋体" w:eastAsia="宋体" w:cs="宋体"/>
                <w:color w:val="auto"/>
                <w:sz w:val="21"/>
                <w:szCs w:val="21"/>
                <w:lang w:val="en-US" w:eastAsia="zh-CN" w:bidi="ar-SA"/>
              </w:rPr>
              <w:t>支持知识设置一个简明、明确的标题，便于学生理解任务内容</w:t>
            </w:r>
          </w:p>
          <w:p w14:paraId="15438E8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2</w:t>
            </w:r>
            <w:r>
              <w:rPr>
                <w:rFonts w:hint="eastAsia" w:ascii="宋体" w:hAnsi="宋体" w:eastAsia="宋体" w:cs="宋体"/>
                <w:color w:val="auto"/>
                <w:sz w:val="21"/>
                <w:szCs w:val="21"/>
                <w:lang w:val="en-US" w:eastAsia="zh-CN" w:bidi="ar-SA"/>
              </w:rPr>
              <w:t>支持选择“阶梯闯关”和“主干生长”任务类型（主干生长任务类型正在开发中）</w:t>
            </w:r>
          </w:p>
          <w:p w14:paraId="4E38CD3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3</w:t>
            </w:r>
            <w:r>
              <w:rPr>
                <w:rFonts w:hint="eastAsia" w:ascii="宋体" w:hAnsi="宋体" w:eastAsia="宋体" w:cs="宋体"/>
                <w:color w:val="auto"/>
                <w:sz w:val="21"/>
                <w:szCs w:val="21"/>
                <w:lang w:val="en-US" w:eastAsia="zh-CN" w:bidi="ar-SA"/>
              </w:rPr>
              <w:t>支持设置阶梯闯关（客观题主导）实践，适用场景：聚焦知识点分层拆解、基础概念逐个突破的考核场景。以单选题/多选题/填空题拆分维度知识点，要求学生逐维攻克，确保基础概念掌握扎实，适配阶段基础检测、知识点梯度巩固。</w:t>
            </w:r>
          </w:p>
          <w:p w14:paraId="1C38C8E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4</w:t>
            </w:r>
            <w:r>
              <w:rPr>
                <w:rFonts w:hint="eastAsia" w:ascii="宋体" w:hAnsi="宋体" w:eastAsia="宋体" w:cs="宋体"/>
                <w:color w:val="auto"/>
                <w:sz w:val="21"/>
                <w:szCs w:val="21"/>
                <w:lang w:val="en-US" w:eastAsia="zh-CN" w:bidi="ar-SA"/>
              </w:rPr>
              <w:t>支持设置主干生长（主观题主导）实践，适用场景：面向多维度知识整合、复杂问题综合解决的考核场景。学生以主观推导作答后，系统检测等维度覆盖度，对缺失维度知识点生成定向追问，推动知识补漏，适配综合应用题训练、思维漏洞精准修复。</w:t>
            </w:r>
          </w:p>
          <w:p w14:paraId="356C1A6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5</w:t>
            </w:r>
            <w:r>
              <w:rPr>
                <w:rFonts w:hint="eastAsia" w:ascii="宋体" w:hAnsi="宋体" w:eastAsia="宋体" w:cs="宋体"/>
                <w:color w:val="auto"/>
                <w:sz w:val="21"/>
                <w:szCs w:val="21"/>
                <w:lang w:val="en-US" w:eastAsia="zh-CN" w:bidi="ar-SA"/>
              </w:rPr>
              <w:t>支持设置一个任务中最核心的探究疑问，明确学生需聚焦解决的本质问题，指引思考与探究的关键方向</w:t>
            </w:r>
          </w:p>
          <w:p w14:paraId="6931E7B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6</w:t>
            </w:r>
            <w:r>
              <w:rPr>
                <w:rFonts w:hint="eastAsia" w:ascii="宋体" w:hAnsi="宋体" w:eastAsia="宋体" w:cs="宋体"/>
                <w:color w:val="auto"/>
                <w:sz w:val="21"/>
                <w:szCs w:val="21"/>
                <w:lang w:val="en-US" w:eastAsia="zh-CN" w:bidi="ar-SA"/>
              </w:rPr>
              <w:t>支持围绕核心问题，拆解出的具体考核角度（如知识认知、原理推导、操作实践等层面），明确从哪些维度评估学生对核心问题的掌握深度与广度（一个任务至少设置一个考核维度；至多设置五个考核维度）</w:t>
            </w:r>
          </w:p>
          <w:p w14:paraId="08A3B27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7</w:t>
            </w:r>
            <w:r>
              <w:rPr>
                <w:rFonts w:hint="eastAsia" w:ascii="宋体" w:hAnsi="宋体" w:eastAsia="宋体" w:cs="宋体"/>
                <w:color w:val="auto"/>
                <w:sz w:val="21"/>
                <w:szCs w:val="21"/>
                <w:lang w:val="en-US" w:eastAsia="zh-CN" w:bidi="ar-SA"/>
              </w:rPr>
              <w:t>支持在每个考核维度下，需添加具体知识点，支持从课程知识点中勾选，或按需自定义填写添加，精准定位该考核维度涉及的知识范畴（一个维度至少添加一个知识点；至多添加五个知识点）。</w:t>
            </w:r>
          </w:p>
          <w:p w14:paraId="5D1C325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8</w:t>
            </w:r>
            <w:r>
              <w:rPr>
                <w:rFonts w:hint="eastAsia" w:ascii="宋体" w:hAnsi="宋体" w:eastAsia="宋体" w:cs="宋体"/>
                <w:color w:val="auto"/>
                <w:sz w:val="21"/>
                <w:szCs w:val="21"/>
                <w:lang w:val="en-US" w:eastAsia="zh-CN" w:bidi="ar-SA"/>
              </w:rPr>
              <w:t>支持用于界定题目难度的层级划分，提供“简单、较为简单、适中、较为困难、困难”五个等级选项，可根据考核需求及对应知识点的掌握要求选择，以匹配出题难度</w:t>
            </w:r>
          </w:p>
          <w:p w14:paraId="694C575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w:t>
            </w:r>
            <w:r>
              <w:rPr>
                <w:rFonts w:hint="eastAsia" w:ascii="宋体" w:hAnsi="宋体" w:cs="宋体"/>
                <w:color w:val="auto"/>
                <w:sz w:val="21"/>
                <w:szCs w:val="21"/>
                <w:lang w:val="en-US" w:eastAsia="zh-CN" w:bidi="ar-SA"/>
              </w:rPr>
              <w:t>9</w:t>
            </w:r>
            <w:r>
              <w:rPr>
                <w:rFonts w:hint="eastAsia" w:ascii="宋体" w:hAnsi="宋体" w:eastAsia="宋体" w:cs="宋体"/>
                <w:color w:val="auto"/>
                <w:sz w:val="21"/>
                <w:szCs w:val="21"/>
                <w:lang w:val="en-US" w:eastAsia="zh-CN" w:bidi="ar-SA"/>
              </w:rPr>
              <w:t>支持选定知识库后，AI大模型将从该知识库中匹配相关内容并结合核心问题、考核维度、知识点作为出题依据。</w:t>
            </w:r>
          </w:p>
          <w:p w14:paraId="4E990BB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20.6.1</w:t>
            </w:r>
            <w:r>
              <w:rPr>
                <w:rFonts w:hint="eastAsia" w:ascii="宋体" w:hAnsi="宋体" w:cs="宋体"/>
                <w:color w:val="auto"/>
                <w:sz w:val="21"/>
                <w:szCs w:val="21"/>
                <w:lang w:val="en-US" w:eastAsia="zh-CN" w:bidi="ar-SA"/>
              </w:rPr>
              <w:t>0</w:t>
            </w:r>
            <w:r>
              <w:rPr>
                <w:rFonts w:hint="eastAsia" w:ascii="宋体" w:hAnsi="宋体" w:eastAsia="宋体" w:cs="宋体"/>
                <w:color w:val="auto"/>
                <w:sz w:val="21"/>
                <w:szCs w:val="21"/>
                <w:lang w:val="en-US" w:eastAsia="zh-CN" w:bidi="ar-SA"/>
              </w:rPr>
              <w:t>任务结束后，可生成学习质量评估报告，报告包含本次任务得分、各维度学习情况、高频错误知识点、学习建议及相关资源</w:t>
            </w:r>
          </w:p>
          <w:p w14:paraId="2655126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20.7支持口语通练</w:t>
            </w:r>
          </w:p>
          <w:p w14:paraId="4BD9A43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口语通练是一种基于AI对话的实践任务，支持教师指定测评语言，构建任务目标与对话要求，学生以交互式的对话，模拟真实的口语对话情景。结合大模型功能，是对学生理解、表达、听力、发音能力全方位的锻炼。</w:t>
            </w:r>
          </w:p>
        </w:tc>
      </w:tr>
      <w:tr w14:paraId="714CD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42F1310C">
            <w:pPr>
              <w:snapToGrid w:val="0"/>
              <w:spacing w:line="360" w:lineRule="auto"/>
              <w:jc w:val="center"/>
              <w:rPr>
                <w:rFonts w:hint="default"/>
                <w:color w:val="auto"/>
                <w:lang w:val="en-US" w:eastAsia="zh-CN"/>
              </w:rPr>
            </w:pPr>
            <w:r>
              <w:rPr>
                <w:rFonts w:hint="eastAsia"/>
                <w:color w:val="auto"/>
                <w:lang w:val="en-US" w:eastAsia="zh-CN"/>
              </w:rPr>
              <w:t>8</w:t>
            </w:r>
          </w:p>
        </w:tc>
        <w:tc>
          <w:tcPr>
            <w:tcW w:w="836" w:type="pct"/>
            <w:noWrap w:val="0"/>
            <w:vAlign w:val="center"/>
          </w:tcPr>
          <w:p w14:paraId="47EB8A91">
            <w:pPr>
              <w:snapToGrid w:val="0"/>
              <w:spacing w:line="360" w:lineRule="auto"/>
              <w:jc w:val="center"/>
              <w:rPr>
                <w:rFonts w:hint="eastAsia"/>
                <w:color w:val="auto"/>
                <w:lang w:val="en-US" w:eastAsia="zh-CN"/>
              </w:rPr>
            </w:pPr>
            <w:r>
              <w:rPr>
                <w:rFonts w:hint="eastAsia"/>
                <w:color w:val="auto"/>
                <w:lang w:val="en-US" w:eastAsia="zh-CN"/>
              </w:rPr>
              <w:t>在线开放课程课堂活动设计</w:t>
            </w:r>
          </w:p>
        </w:tc>
        <w:tc>
          <w:tcPr>
            <w:tcW w:w="3708" w:type="pct"/>
            <w:noWrap w:val="0"/>
            <w:vAlign w:val="center"/>
          </w:tcPr>
          <w:p w14:paraId="3E1018D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1.以能力培养为导向的任务设计，适配多种教学模式</w:t>
            </w:r>
          </w:p>
          <w:p w14:paraId="565F1DE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应商能根据教学团队需求协助教师设计课程任务，课程任务类型不限，如项目任务、问题驱动任务、实践任务等，帮助老师掌握基于任务引擎创设学生为中心、高阶能力培养为导向的综合任务设计，体现教学模式，同时激发学生的学习兴趣，培养解决实际问题的能力并强化跨学科融合与协作学习，鼓励学生通过团队合作解决复杂问题，提升综合素养。</w:t>
            </w:r>
          </w:p>
          <w:p w14:paraId="05CC754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2.任务功能模块配置</w:t>
            </w:r>
          </w:p>
          <w:p w14:paraId="2BD8CB6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2.1支持新建、编辑、发布、管理和删除任务，并针对任务数据进行自定义排序、指定、创建文件夹进行归纳；</w:t>
            </w:r>
          </w:p>
          <w:p w14:paraId="1C71839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2.2.支持AI生成任务，提高老师任务创建效率。</w:t>
            </w:r>
          </w:p>
          <w:p w14:paraId="207798F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2.3支持按照章节，教案，文本三种方式AI生成任务基本信息和任务点内容，简化老师任务设计工作，提高任务的建设质量。</w:t>
            </w:r>
          </w:p>
          <w:p w14:paraId="6EBC867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2.4支持点击新建任务，跳转至任务编辑页面，进行基本信息编辑和任务设计工作；</w:t>
            </w:r>
          </w:p>
          <w:p w14:paraId="07E9D0C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2.5支持编辑任务基本信息，包括任务名称、任务封面、任务介绍和选择任务标签，任务标签支持对接数据源，按照单位设置展示标签内容；</w:t>
            </w:r>
          </w:p>
          <w:p w14:paraId="2A6DDAC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2.6支持切换标签页跳转任务设计页面，添加分组，添加任务点和设置闯关达标条件；</w:t>
            </w:r>
          </w:p>
          <w:p w14:paraId="790D182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2.7支持在任务的分组下添加任务点，任务点类型包括：视频，文档（笔记），课程，章节，知识点，线下课堂，线上课堂，主题讨论，AI实践，作业，测验，自测，问卷，审批，任务，自定义等多种类型；</w:t>
            </w:r>
            <w:r>
              <w:rPr>
                <w:rFonts w:hint="eastAsia" w:ascii="宋体" w:hAnsi="宋体" w:cs="宋体"/>
                <w:color w:val="auto"/>
                <w:sz w:val="21"/>
                <w:szCs w:val="21"/>
                <w:lang w:val="en-US" w:eastAsia="zh-CN" w:bidi="ar-SA"/>
              </w:rPr>
              <w:t>（需提供演示）</w:t>
            </w:r>
          </w:p>
          <w:p w14:paraId="652D6B9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2.8支持直接添加当前课下资源和当前登录用户的其他课程资源到任务下，同时支持点击添加跳转到指定页面进行资源添加；</w:t>
            </w:r>
          </w:p>
          <w:p w14:paraId="25EF58C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2.9支持在任务点上设置闯关条件，学生需要达到任务点设置的完成条件才能够学习下一个任务点，不同类型任务点闯关条件不同；</w:t>
            </w:r>
            <w:r>
              <w:rPr>
                <w:rFonts w:hint="eastAsia" w:ascii="宋体" w:hAnsi="宋体" w:cs="宋体"/>
                <w:color w:val="auto"/>
                <w:sz w:val="21"/>
                <w:szCs w:val="21"/>
                <w:lang w:val="en-US" w:eastAsia="zh-CN" w:bidi="ar-SA"/>
              </w:rPr>
              <w:t>（需提供演示）</w:t>
            </w:r>
          </w:p>
          <w:p w14:paraId="101C739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2.10支持在任务分组上设置组间闯关条件，学生需要达到组间闯关设置的完成条件后才能够学习下个分组，不同类型任务点闯关条件不同；</w:t>
            </w:r>
            <w:r>
              <w:rPr>
                <w:rFonts w:hint="eastAsia" w:ascii="宋体" w:hAnsi="宋体" w:cs="宋体"/>
                <w:color w:val="auto"/>
                <w:sz w:val="21"/>
                <w:szCs w:val="21"/>
                <w:lang w:val="en-US" w:eastAsia="zh-CN" w:bidi="ar-SA"/>
              </w:rPr>
              <w:t>（需提供演示）</w:t>
            </w:r>
          </w:p>
          <w:p w14:paraId="470B015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2.11支持在任务设计上设置达标标准，学生完成达标标准后，整个任务学习完成，学生可以领取相应的任务达标证书；</w:t>
            </w:r>
            <w:r>
              <w:rPr>
                <w:rFonts w:hint="eastAsia" w:ascii="宋体" w:hAnsi="宋体" w:cs="宋体"/>
                <w:color w:val="auto"/>
                <w:sz w:val="21"/>
                <w:szCs w:val="21"/>
                <w:lang w:val="en-US" w:eastAsia="zh-CN" w:bidi="ar-SA"/>
              </w:rPr>
              <w:t>（需提供演示）</w:t>
            </w:r>
          </w:p>
          <w:p w14:paraId="21E5C30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2.12针对视频、文档、线上课堂、线下课堂、主题讨论、问卷、审批、自定义类型任务点，增加“成绩”按钮，方便教师录入线下教学成绩；</w:t>
            </w:r>
          </w:p>
          <w:p w14:paraId="008072A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2.13针对自定义类型任务点，增加“签到”按钮，方便老师发放签到给学生；</w:t>
            </w:r>
          </w:p>
          <w:p w14:paraId="64483D6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2.14任务中可插入PBL教学：支持开展分组教学活动，支持多种分组方式，包含固定分组、自选分组、组长建组、随机分组、面对面建组、不分组等分组方式；</w:t>
            </w:r>
            <w:r>
              <w:rPr>
                <w:rFonts w:hint="eastAsia" w:ascii="宋体" w:hAnsi="宋体" w:cs="宋体"/>
                <w:color w:val="auto"/>
                <w:sz w:val="21"/>
                <w:szCs w:val="21"/>
                <w:lang w:val="en-US" w:eastAsia="zh-CN" w:bidi="ar-SA"/>
              </w:rPr>
              <w:t>（需提供演示）</w:t>
            </w:r>
          </w:p>
          <w:p w14:paraId="1DD601D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2.14活动支持教师评价、组内评价、组间评价、自评等多种评价相结合，支持分项评分指标设置；</w:t>
            </w:r>
          </w:p>
          <w:p w14:paraId="1168511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2.15课程成绩权重支持分组任务明细分配，不同活动可设置不同考核权重。</w:t>
            </w:r>
          </w:p>
          <w:p w14:paraId="1D4EE4F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2.16支持针对单个任务点设置“是否选学”开关，开启后学生可自主决定是否学习，同时学习成绩不作任务闯关和任务达标的参考项；</w:t>
            </w:r>
          </w:p>
          <w:p w14:paraId="2790305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2.17支持针对任务点开启高阶闯关模式，使不同成绩学生后续学习的内容不一样，满足教师个性化教学的场景；</w:t>
            </w:r>
          </w:p>
          <w:p w14:paraId="15E96E3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2.18任务引擎支持选课功能，支持教师选择部分资源作为任务包，学生选择部分任务点进行选择性学习；</w:t>
            </w:r>
          </w:p>
          <w:p w14:paraId="45AE834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2.19支持评价功能，教师可设置评分权重/指标，评分方式等信息，学员提交任务点后，以学生自评，互评，教师评多种方式进行评价。</w:t>
            </w:r>
          </w:p>
          <w:p w14:paraId="426DC1D8">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2.20用户完成任务设计后，支持点击发布按钮，支持任务选择班级、分组、个人进行任务发布工作；</w:t>
            </w:r>
          </w:p>
          <w:p w14:paraId="1E2FFC0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2.21支持任务克隆功能，支持克隆给自己和克隆给他人两种方式，提高任务的复用性；</w:t>
            </w:r>
          </w:p>
          <w:p w14:paraId="30AC251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2.22支持针对任务进行报名设置工作，教师可以选择开启报名，报名需要填写信息，报名需要审批三种方式，邀请学生报名任务，同时支持查看报名信息。</w:t>
            </w:r>
          </w:p>
          <w:p w14:paraId="32F33C7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3.学生任务学习</w:t>
            </w:r>
          </w:p>
          <w:p w14:paraId="248BDE7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3.1支持学生点击个人空间－我的任务查看我的任务列表，支持学生点击课程－任务查看我的任务</w:t>
            </w:r>
          </w:p>
          <w:p w14:paraId="4713593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3.2点击进入学习，支持学生查看任务的基本信息，达标情况和解锁情况</w:t>
            </w:r>
          </w:p>
          <w:p w14:paraId="0CFA618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3.3支持点击达标按钮，查看学生当前的达标情况</w:t>
            </w:r>
          </w:p>
          <w:p w14:paraId="0A39B46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3.4任务设置发放证书后，任务达标后支持点击证书按钮，进行证书查看、下载操作</w:t>
            </w:r>
          </w:p>
          <w:p w14:paraId="477DBDF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3.5支持切换不同类型的学习路径（列表模式、框架模式、图谱模式），方便学生个性化学习</w:t>
            </w:r>
          </w:p>
          <w:p w14:paraId="500283D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3.6支持学生点击任务点进行学习，学习后返回任务详情，支持学生查看自己任务点的最新完成情况和待完成分组、任务点的解锁情况</w:t>
            </w:r>
          </w:p>
          <w:p w14:paraId="0F85F24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4.任务运行达成数据统计</w:t>
            </w:r>
          </w:p>
          <w:p w14:paraId="2568924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4.1学情分析页面展示学生、任务点数据和概览统计情况，方便教师一键明确学生和任务点的完成情况；</w:t>
            </w:r>
          </w:p>
          <w:p w14:paraId="5C15597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4.2支持督学，有督学和批量督学按钮，支持针对不满足学习进度的学生、单个学生、多个学生进行发放督学通知，督促学生学习。</w:t>
            </w:r>
          </w:p>
          <w:p w14:paraId="6868786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4.3提供移动端应用功能，教师可以通过移动端进行简单的任务管理工作；</w:t>
            </w:r>
          </w:p>
          <w:p w14:paraId="3773C5B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4.4学生可以通过移动端进行任务学习、查看达标状态、查看证书的工作。</w:t>
            </w:r>
          </w:p>
          <w:p w14:paraId="5B57253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p>
        </w:tc>
      </w:tr>
      <w:tr w14:paraId="1CC5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0409C56F">
            <w:pPr>
              <w:snapToGrid w:val="0"/>
              <w:spacing w:line="360" w:lineRule="auto"/>
              <w:jc w:val="center"/>
              <w:rPr>
                <w:rFonts w:hint="default"/>
                <w:color w:val="auto"/>
                <w:lang w:val="en-US" w:eastAsia="zh-CN"/>
              </w:rPr>
            </w:pPr>
            <w:r>
              <w:rPr>
                <w:rFonts w:hint="eastAsia"/>
                <w:color w:val="auto"/>
                <w:lang w:val="en-US" w:eastAsia="zh-CN"/>
              </w:rPr>
              <w:t>9</w:t>
            </w:r>
          </w:p>
        </w:tc>
        <w:tc>
          <w:tcPr>
            <w:tcW w:w="836" w:type="pct"/>
            <w:noWrap w:val="0"/>
            <w:vAlign w:val="center"/>
          </w:tcPr>
          <w:p w14:paraId="464BB06F">
            <w:pPr>
              <w:snapToGrid w:val="0"/>
              <w:spacing w:line="360" w:lineRule="auto"/>
              <w:jc w:val="center"/>
              <w:rPr>
                <w:rFonts w:hint="eastAsia"/>
                <w:color w:val="auto"/>
                <w:lang w:val="en-US" w:eastAsia="zh-CN"/>
              </w:rPr>
            </w:pPr>
            <w:r>
              <w:rPr>
                <w:rFonts w:hint="eastAsia"/>
                <w:color w:val="auto"/>
                <w:lang w:val="en-US" w:eastAsia="zh-CN"/>
              </w:rPr>
              <w:t>在线开放课程门户建设</w:t>
            </w:r>
          </w:p>
        </w:tc>
        <w:tc>
          <w:tcPr>
            <w:tcW w:w="3708" w:type="pct"/>
            <w:noWrap w:val="0"/>
            <w:vAlign w:val="center"/>
          </w:tcPr>
          <w:p w14:paraId="5A3C4B1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1.智慧课程门户搭建</w:t>
            </w:r>
          </w:p>
          <w:p w14:paraId="16DD2CB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支持建设专有课程域名，进行课程门户搭建。PC门户配置功能支持用户自定义模块布局，支持拖拽式调整同一模块内不同栏目的位置，支持用户自定义对页面背景、音乐、主题色及简体或繁体字的转换设置。每一个模块内的数据来源均支持人工配置；可以是外部数据接入，也可以直接从数据中心抽调。</w:t>
            </w:r>
          </w:p>
          <w:p w14:paraId="5B9A67E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2.智慧课程门户展示</w:t>
            </w:r>
          </w:p>
          <w:p w14:paraId="3AE1A0F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2.1课程门户展示课程整体建设内容，教师团队、教学设计、课程章节、知识图谱、问题图谱、证书图谱、能力图谱、教学运行、AI知识库、AI应用。</w:t>
            </w:r>
          </w:p>
          <w:p w14:paraId="467C1CC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2.2支持对课程门户进行二次编辑，课程基本信息，包含课程名称、封面、宣传片、主讲教师、教师团队、学时学分、课程说明等。</w:t>
            </w:r>
            <w:r>
              <w:rPr>
                <w:rFonts w:hint="eastAsia" w:ascii="宋体" w:hAnsi="宋体" w:cs="宋体"/>
                <w:color w:val="auto"/>
                <w:sz w:val="21"/>
                <w:szCs w:val="21"/>
                <w:lang w:val="en-US" w:eastAsia="zh-CN" w:bidi="ar-SA"/>
              </w:rPr>
              <w:t>（需提供演示）</w:t>
            </w:r>
          </w:p>
          <w:p w14:paraId="6799AD6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2.3支持编辑课程简介，展示课程所属院校、专业、教师团队详情等信息。</w:t>
            </w:r>
          </w:p>
          <w:p w14:paraId="36C7A78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3.知识图谱展示与应用</w:t>
            </w:r>
          </w:p>
          <w:p w14:paraId="27554CB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支持展示课程知识图谱，查看多种图谱模式，包含但不限于关系图谱、思维导图模式、学习路径、问题图谱等，展示课程目标图谱、问题图谱。</w:t>
            </w:r>
          </w:p>
          <w:p w14:paraId="7D1C5A1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4.AI知识库展示</w:t>
            </w:r>
          </w:p>
          <w:p w14:paraId="4AC15024">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支持展示知识库总数、资源总数、知识切片总数、问答对总数，动态展示、拓展资料、趣味测试，动态播放知识库资源。</w:t>
            </w:r>
          </w:p>
          <w:p w14:paraId="40D6682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5..教学设计展示</w:t>
            </w:r>
          </w:p>
          <w:p w14:paraId="7B20C93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5.1支持对课程章节、小结进行数据统计，按章节展示知识图谱任务点资源及课程资料。</w:t>
            </w:r>
          </w:p>
          <w:p w14:paraId="784D979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5.2支持用课程－课程目标－课程知识点3层架构，展示智慧课程知识体系。支持2D\3D模式切换、全屏播放及页面缩放。</w:t>
            </w:r>
          </w:p>
          <w:p w14:paraId="177D881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6.课程运行数据统计分析展示</w:t>
            </w:r>
          </w:p>
          <w:p w14:paraId="46660FB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6.1支持对课程建设、运行数据进行详情分析，包含教师团队、学生人数、知识点资源数、知识点属性、知识点学情统计等。</w:t>
            </w:r>
          </w:p>
        </w:tc>
      </w:tr>
      <w:tr w14:paraId="5251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6DDF6576">
            <w:pPr>
              <w:snapToGrid w:val="0"/>
              <w:spacing w:line="360" w:lineRule="auto"/>
              <w:jc w:val="center"/>
              <w:rPr>
                <w:rFonts w:hint="default"/>
                <w:color w:val="auto"/>
                <w:lang w:val="en-US" w:eastAsia="zh-CN"/>
              </w:rPr>
            </w:pPr>
            <w:r>
              <w:rPr>
                <w:rFonts w:hint="eastAsia"/>
                <w:color w:val="auto"/>
                <w:lang w:val="en-US" w:eastAsia="zh-CN"/>
              </w:rPr>
              <w:t>10</w:t>
            </w:r>
          </w:p>
        </w:tc>
        <w:tc>
          <w:tcPr>
            <w:tcW w:w="836" w:type="pct"/>
            <w:noWrap w:val="0"/>
            <w:vAlign w:val="center"/>
          </w:tcPr>
          <w:p w14:paraId="76096C14">
            <w:pPr>
              <w:snapToGrid w:val="0"/>
              <w:spacing w:line="360" w:lineRule="auto"/>
              <w:jc w:val="center"/>
              <w:rPr>
                <w:rFonts w:hint="eastAsia"/>
                <w:color w:val="auto"/>
                <w:lang w:val="en-US" w:eastAsia="zh-CN"/>
              </w:rPr>
            </w:pPr>
            <w:r>
              <w:rPr>
                <w:rFonts w:hint="eastAsia"/>
                <w:color w:val="auto"/>
                <w:lang w:val="en-US" w:eastAsia="zh-CN"/>
              </w:rPr>
              <w:t>在线开放课程数据分析</w:t>
            </w:r>
          </w:p>
        </w:tc>
        <w:tc>
          <w:tcPr>
            <w:tcW w:w="3708" w:type="pct"/>
            <w:noWrap w:val="0"/>
            <w:vAlign w:val="center"/>
          </w:tcPr>
          <w:p w14:paraId="5E46A4C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1.学情统计&amp;图谱统计</w:t>
            </w:r>
          </w:p>
          <w:p w14:paraId="0FA9096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1.1支持用户能深入分析学习情况和图谱数据，以优化教学和学习策略</w:t>
            </w:r>
          </w:p>
          <w:p w14:paraId="0681C27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1.2支持探索每个知识点在班级中的平均表现，并在不同班级间轻松切换，以获得全面的视角</w:t>
            </w:r>
          </w:p>
          <w:p w14:paraId="4B0F175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1.3支持将学情统计的快照保存为图像，便于回顾和分享</w:t>
            </w:r>
          </w:p>
          <w:p w14:paraId="70D9174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1.4支持在学情统计中检索节点，帮助用户快速定位特定节点的完成率/掌握率</w:t>
            </w:r>
          </w:p>
          <w:p w14:paraId="2316E29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1.5图谱统计功能从多维角度对课程的宏观理解、对知识点的深入分析，以及用户自定义的探索路径</w:t>
            </w:r>
          </w:p>
          <w:p w14:paraId="5C01A45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1.6课程总览提供了一个多维度的课程视角，包括知识点、资源、任务点、资料和评估活动的统计</w:t>
            </w:r>
          </w:p>
          <w:p w14:paraId="5AA93DC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1.7课程总览支持创意的词云形式，展示学习中的热门知识点，直观地反映学习的重点和热点</w:t>
            </w:r>
          </w:p>
          <w:p w14:paraId="19D0AA5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1.8知识点学习情况分析通过图形化的方式，提供班级学习的整体视图，包括完成率和掌握率</w:t>
            </w:r>
          </w:p>
          <w:p w14:paraId="528B88F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1.9支持对知识点掌握情况深入分析，同时展示学生知识点掌握率和知识点完成率的前五名，以此凸显学习成效的佼佼者</w:t>
            </w:r>
          </w:p>
          <w:p w14:paraId="65680E6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1.10支持全面审视所有学生的数据，提供两种不同的视角来观察这些数据：从知识点出发或从学生个体出发</w:t>
            </w:r>
          </w:p>
          <w:p w14:paraId="479DD39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1.11按知识点统计支持展示每个知识点关联学习资源、班级平均掌握率、班级平均完成率、关联资料数、课程资料人均阅读数，同时支持查看该知识点详情页面</w:t>
            </w:r>
          </w:p>
          <w:p w14:paraId="344F0C4E">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1.12通过知识图谱的形式，用颜色区分来展示知识点的完成度和掌握度，让数据的呈现更加生动和直观</w:t>
            </w:r>
          </w:p>
          <w:p w14:paraId="02A3A1B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1.13从学生个体的视角，支持提供了包含基本信息和学习表现的综合视图</w:t>
            </w:r>
          </w:p>
          <w:p w14:paraId="123CE28D">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1.14支持按人统计点击学生详情，提供列表和知识图谱两种形式，展示每个知识点的完成情况，包括完成率和掌握率</w:t>
            </w:r>
          </w:p>
          <w:p w14:paraId="304125B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2.知识点统计</w:t>
            </w:r>
          </w:p>
          <w:p w14:paraId="6BB89E4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2.1分类卡片综合展示关键信息，如标题、描述、知识点及其资源和标签概览，提供非任务点与任务点的数量统计</w:t>
            </w:r>
          </w:p>
          <w:p w14:paraId="41CB53D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2.2用户可通过点击卡片进入详情页面，页面细分为六个核心部分，全面覆盖分类的各个方面</w:t>
            </w:r>
          </w:p>
          <w:p w14:paraId="2ABFF77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2.3分类简介与导航提供分类的标题和说明，并允许用户在同层级分类间轻松切换，以促进不同分类间的比较和对照</w:t>
            </w:r>
          </w:p>
          <w:p w14:paraId="4295D373">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2.4知识点与资源关联展示知识点数量及其关联的资源总数，揭示知识点的内容丰富度</w:t>
            </w:r>
          </w:p>
          <w:p w14:paraId="0E595F5B">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2.5知识点微课入口支持以列表形式展示知识点标签，并允许一键跳转至相关微课，增强学习的直接性和便捷性</w:t>
            </w:r>
          </w:p>
          <w:p w14:paraId="0045DAE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2.6知识点标签支持展示分类下所有知识点的标签数量，包括考点、重点和难点，以助于用户识别关键学习领域</w:t>
            </w:r>
          </w:p>
          <w:p w14:paraId="7FD38060">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2.7支持利用饼图展示子级知识点的不同属性分类，如事实性、概念性等，以视觉化手段辅助理解</w:t>
            </w:r>
          </w:p>
          <w:p w14:paraId="75CFD11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2.8知识点建设情况支持通过水位图展示知识点资源的关联情况，反映知识点的建设进度</w:t>
            </w:r>
          </w:p>
          <w:p w14:paraId="250B4797">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2.9知识点建设情况支持以柱状图形式展示每个知识点的关联资源数量，提供资源分配的视觉比较</w:t>
            </w:r>
          </w:p>
          <w:p w14:paraId="5B6B8239">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2.10支持以班级为单位，展示不同班级之间的知识点平均掌握率和知识点平均完成率，反映学习成效和掌握程度</w:t>
            </w:r>
          </w:p>
          <w:p w14:paraId="406C698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2.11支持展示分类资源归属并将关联分类的资源归纳至列表，同时按章节、作业/考试、课程资料等板块进行展示</w:t>
            </w:r>
          </w:p>
          <w:p w14:paraId="41E8801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2.12支持展示班级资源差异化视图，展示不同班级的专属资源，并允许用户根据班级切换视图，以适应不同教学需求</w:t>
            </w:r>
          </w:p>
          <w:p w14:paraId="5A2934E1">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3.课程数据总览</w:t>
            </w:r>
          </w:p>
          <w:p w14:paraId="1F696FFA">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提供课程数据总览，能多维度查看课程数据分析，基础数据、课堂报告、学情统计、学生成绩、学习监控。</w:t>
            </w:r>
          </w:p>
          <w:p w14:paraId="5DC65BAF">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3.1基础数据包含学生人数、学习任务、班级、作业、考试、课堂活动、讨论区话题数；</w:t>
            </w:r>
          </w:p>
          <w:p w14:paraId="088B1896">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3.2教学建设情况统计分析，含课程章节、课程资料、知识库、题库建设数据分析；</w:t>
            </w:r>
          </w:p>
          <w:p w14:paraId="7817C1C2">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3.3AI使用情况统计分析，含AI应用和AI指令建设数量，调用情况，AI分析题目数、AI生产资源数、AI智能体会话数等；</w:t>
            </w:r>
          </w:p>
          <w:p w14:paraId="0BC4A5AC">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3.4学习监控包括学生成绩、学生学习进度、教学预警、知识点、资源、任务点、资料和评估活动的统计分析及导出；</w:t>
            </w:r>
          </w:p>
          <w:p w14:paraId="67E73465">
            <w:pPr>
              <w:pStyle w:val="89"/>
              <w:widowControl w:val="0"/>
              <w:numPr>
                <w:ilvl w:val="0"/>
                <w:numId w:val="0"/>
              </w:numPr>
              <w:spacing w:line="360" w:lineRule="auto"/>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3.5课堂报告分析及导出。</w:t>
            </w:r>
          </w:p>
        </w:tc>
      </w:tr>
      <w:tr w14:paraId="6F17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4EA76DFF">
            <w:pPr>
              <w:snapToGrid w:val="0"/>
              <w:spacing w:line="360" w:lineRule="auto"/>
              <w:jc w:val="center"/>
              <w:rPr>
                <w:rFonts w:hint="default" w:eastAsia="宋体"/>
                <w:color w:val="auto"/>
                <w:lang w:val="en-US" w:eastAsia="zh-CN"/>
              </w:rPr>
            </w:pPr>
            <w:r>
              <w:rPr>
                <w:rFonts w:hint="eastAsia"/>
                <w:color w:val="auto"/>
                <w:lang w:val="en-US" w:eastAsia="zh-CN"/>
              </w:rPr>
              <w:t>11</w:t>
            </w:r>
          </w:p>
        </w:tc>
        <w:tc>
          <w:tcPr>
            <w:tcW w:w="836" w:type="pct"/>
            <w:noWrap w:val="0"/>
            <w:vAlign w:val="center"/>
          </w:tcPr>
          <w:p w14:paraId="5A86F8F5">
            <w:pPr>
              <w:snapToGrid w:val="0"/>
              <w:spacing w:line="360" w:lineRule="auto"/>
              <w:jc w:val="center"/>
              <w:rPr>
                <w:rFonts w:hint="default" w:eastAsia="宋体"/>
                <w:color w:val="auto"/>
                <w:lang w:val="en-US" w:eastAsia="zh-CN"/>
              </w:rPr>
            </w:pPr>
            <w:r>
              <w:rPr>
                <w:rFonts w:hint="eastAsia"/>
                <w:color w:val="auto"/>
                <w:lang w:val="en-US" w:eastAsia="zh-CN"/>
              </w:rPr>
              <w:t>知识产权</w:t>
            </w:r>
          </w:p>
        </w:tc>
        <w:tc>
          <w:tcPr>
            <w:tcW w:w="3708" w:type="pct"/>
            <w:noWrap w:val="0"/>
            <w:vAlign w:val="center"/>
          </w:tcPr>
          <w:p w14:paraId="06473CFD">
            <w:pPr>
              <w:pStyle w:val="89"/>
              <w:widowControl w:val="0"/>
              <w:numPr>
                <w:ilvl w:val="0"/>
                <w:numId w:val="0"/>
              </w:numPr>
              <w:spacing w:line="360" w:lineRule="auto"/>
              <w:jc w:val="both"/>
              <w:rPr>
                <w:rFonts w:hint="eastAsia"/>
                <w:color w:val="auto"/>
                <w:lang w:val="en-US" w:eastAsia="zh-CN"/>
              </w:rPr>
            </w:pPr>
            <w:r>
              <w:rPr>
                <w:rFonts w:hint="eastAsia" w:ascii="Calibri" w:hAnsi="Calibri" w:eastAsia="宋体" w:cs="Times New Roman"/>
                <w:color w:val="auto"/>
                <w:lang w:val="en-US" w:eastAsia="zh-CN" w:bidi="ar-SA"/>
              </w:rPr>
              <w:t>1.</w:t>
            </w:r>
            <w:r>
              <w:rPr>
                <w:rFonts w:hint="eastAsia"/>
                <w:color w:val="auto"/>
                <w:lang w:val="en-US" w:eastAsia="zh-CN"/>
              </w:rPr>
              <w:t>形成一套关于虚拟仿真教学资源开发的标准规范/操作手册；</w:t>
            </w:r>
          </w:p>
          <w:p w14:paraId="39CD0F26">
            <w:pPr>
              <w:pStyle w:val="89"/>
              <w:widowControl w:val="0"/>
              <w:numPr>
                <w:ilvl w:val="0"/>
                <w:numId w:val="0"/>
              </w:numPr>
              <w:spacing w:line="360" w:lineRule="auto"/>
              <w:jc w:val="both"/>
              <w:rPr>
                <w:rFonts w:ascii="宋体" w:hAnsi="宋体" w:cs="宋体"/>
                <w:color w:val="auto"/>
                <w:sz w:val="21"/>
                <w:szCs w:val="21"/>
                <w:lang w:eastAsia="zh-CN"/>
              </w:rPr>
            </w:pPr>
            <w:r>
              <w:rPr>
                <w:rFonts w:hint="eastAsia" w:ascii="宋体" w:hAnsi="宋体" w:eastAsia="宋体" w:cs="宋体"/>
                <w:color w:val="auto"/>
                <w:sz w:val="21"/>
                <w:szCs w:val="21"/>
                <w:lang w:val="en-US" w:eastAsia="zh-CN" w:bidi="ar-SA"/>
              </w:rPr>
              <w:t>2.</w:t>
            </w:r>
            <w:r>
              <w:rPr>
                <w:rFonts w:hint="eastAsia"/>
                <w:color w:val="auto"/>
                <w:lang w:val="en-US" w:eastAsia="zh-CN"/>
              </w:rPr>
              <w:t>申报至少一项《发明专利》证书。（27年6月前）</w:t>
            </w:r>
          </w:p>
        </w:tc>
      </w:tr>
      <w:tr w14:paraId="1BBA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54" w:type="pct"/>
            <w:noWrap w:val="0"/>
            <w:vAlign w:val="center"/>
          </w:tcPr>
          <w:p w14:paraId="20AB97B7">
            <w:pPr>
              <w:snapToGrid w:val="0"/>
              <w:spacing w:line="360" w:lineRule="auto"/>
              <w:jc w:val="center"/>
              <w:rPr>
                <w:rFonts w:hint="default" w:eastAsia="宋体"/>
                <w:color w:val="auto"/>
                <w:lang w:val="en-US" w:eastAsia="zh-CN"/>
              </w:rPr>
            </w:pPr>
            <w:r>
              <w:rPr>
                <w:rFonts w:hint="eastAsia"/>
                <w:color w:val="auto"/>
                <w:lang w:val="en-US" w:eastAsia="zh-CN"/>
              </w:rPr>
              <w:t>12</w:t>
            </w:r>
          </w:p>
        </w:tc>
        <w:tc>
          <w:tcPr>
            <w:tcW w:w="836" w:type="pct"/>
            <w:noWrap w:val="0"/>
            <w:vAlign w:val="center"/>
          </w:tcPr>
          <w:p w14:paraId="36C2DEC2">
            <w:pPr>
              <w:snapToGrid w:val="0"/>
              <w:spacing w:line="360" w:lineRule="auto"/>
              <w:jc w:val="center"/>
              <w:rPr>
                <w:rFonts w:hint="eastAsia"/>
                <w:color w:val="auto"/>
              </w:rPr>
            </w:pPr>
            <w:r>
              <w:rPr>
                <w:rFonts w:hint="eastAsia"/>
                <w:color w:val="auto"/>
              </w:rPr>
              <w:t>培优服务</w:t>
            </w:r>
          </w:p>
        </w:tc>
        <w:tc>
          <w:tcPr>
            <w:tcW w:w="3708" w:type="pct"/>
            <w:noWrap w:val="0"/>
            <w:vAlign w:val="center"/>
          </w:tcPr>
          <w:p w14:paraId="631E1624">
            <w:pPr>
              <w:pStyle w:val="89"/>
              <w:widowControl w:val="0"/>
              <w:spacing w:line="360" w:lineRule="auto"/>
              <w:jc w:val="both"/>
              <w:rPr>
                <w:color w:val="auto"/>
                <w:sz w:val="21"/>
                <w:lang w:eastAsia="zh-CN"/>
              </w:rPr>
            </w:pPr>
            <w:r>
              <w:rPr>
                <w:rFonts w:hint="eastAsia"/>
                <w:color w:val="auto"/>
                <w:sz w:val="21"/>
                <w:lang w:val="en-US" w:eastAsia="zh-CN"/>
              </w:rPr>
              <w:t>1.操作</w:t>
            </w:r>
            <w:r>
              <w:rPr>
                <w:color w:val="auto"/>
                <w:sz w:val="21"/>
                <w:lang w:eastAsia="zh-CN"/>
              </w:rPr>
              <w:t>培训：</w:t>
            </w:r>
            <w:r>
              <w:rPr>
                <w:color w:val="auto"/>
                <w:sz w:val="21"/>
              </w:rPr>
              <w:t>为</w:t>
            </w:r>
            <w:r>
              <w:rPr>
                <w:rFonts w:hint="eastAsia"/>
                <w:color w:val="auto"/>
                <w:sz w:val="21"/>
                <w:lang w:val="en-US" w:eastAsia="zh-CN"/>
              </w:rPr>
              <w:t>资源使用</w:t>
            </w:r>
            <w:r>
              <w:rPr>
                <w:color w:val="auto"/>
                <w:sz w:val="21"/>
              </w:rPr>
              <w:t>团队提供</w:t>
            </w:r>
            <w:r>
              <w:rPr>
                <w:rFonts w:hint="eastAsia"/>
                <w:color w:val="auto"/>
                <w:sz w:val="21"/>
                <w:lang w:val="en-US" w:eastAsia="zh-CN"/>
              </w:rPr>
              <w:t>操作</w:t>
            </w:r>
            <w:r>
              <w:rPr>
                <w:color w:val="auto"/>
                <w:sz w:val="21"/>
              </w:rPr>
              <w:t>培训</w:t>
            </w:r>
            <w:r>
              <w:rPr>
                <w:rFonts w:hint="eastAsia"/>
                <w:color w:val="auto"/>
                <w:sz w:val="21"/>
                <w:lang w:val="en-US" w:eastAsia="zh-CN"/>
              </w:rPr>
              <w:t>至少2次</w:t>
            </w:r>
            <w:r>
              <w:rPr>
                <w:color w:val="auto"/>
                <w:sz w:val="21"/>
                <w:lang w:eastAsia="zh-CN"/>
              </w:rPr>
              <w:t>。</w:t>
            </w:r>
          </w:p>
          <w:p w14:paraId="1681DD2D">
            <w:pPr>
              <w:pStyle w:val="89"/>
              <w:widowControl w:val="0"/>
              <w:spacing w:line="360" w:lineRule="auto"/>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ascii="宋体" w:hAnsi="宋体" w:cs="宋体"/>
                <w:color w:val="auto"/>
                <w:sz w:val="21"/>
                <w:szCs w:val="21"/>
                <w:lang w:eastAsia="zh-CN"/>
              </w:rPr>
              <w:t>培优指导：</w:t>
            </w:r>
            <w:r>
              <w:rPr>
                <w:rFonts w:ascii="宋体" w:hAnsi="宋体" w:cs="宋体"/>
                <w:color w:val="auto"/>
                <w:sz w:val="21"/>
                <w:szCs w:val="21"/>
              </w:rPr>
              <w:t>提供</w:t>
            </w:r>
            <w:r>
              <w:rPr>
                <w:rFonts w:hint="eastAsia" w:ascii="宋体" w:hAnsi="宋体" w:cs="宋体"/>
                <w:color w:val="auto"/>
                <w:sz w:val="21"/>
                <w:szCs w:val="21"/>
                <w:lang w:val="en-US" w:eastAsia="zh-CN"/>
              </w:rPr>
              <w:t>国省及行业相关虚拟仿真项目</w:t>
            </w:r>
            <w:r>
              <w:rPr>
                <w:rFonts w:ascii="宋体" w:hAnsi="宋体" w:cs="宋体"/>
                <w:color w:val="auto"/>
                <w:sz w:val="21"/>
                <w:szCs w:val="21"/>
              </w:rPr>
              <w:t>评奖评优指导</w:t>
            </w:r>
            <w:r>
              <w:rPr>
                <w:rFonts w:hint="eastAsia" w:ascii="宋体" w:hAnsi="宋体" w:cs="宋体"/>
                <w:color w:val="auto"/>
                <w:sz w:val="21"/>
                <w:szCs w:val="21"/>
                <w:lang w:val="en-US" w:eastAsia="zh-CN"/>
              </w:rPr>
              <w:t>至少1次；</w:t>
            </w:r>
          </w:p>
          <w:p w14:paraId="5D82E5B9">
            <w:pPr>
              <w:pStyle w:val="89"/>
              <w:widowControl w:val="0"/>
              <w:spacing w:line="360" w:lineRule="auto"/>
              <w:jc w:val="both"/>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3.课程推广：纳入课程共享推广目录，每年向全国院校推广课程应用。</w:t>
            </w:r>
          </w:p>
        </w:tc>
      </w:tr>
    </w:tbl>
    <w:p w14:paraId="11C8F6F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480" w:firstLineChars="200"/>
        <w:textAlignment w:val="auto"/>
        <w:rPr>
          <w:rFonts w:hint="default" w:ascii="仿宋" w:hAnsi="仿宋" w:eastAsia="仿宋" w:cs="仿宋"/>
          <w:sz w:val="24"/>
          <w:szCs w:val="24"/>
          <w:lang w:val="en-US" w:eastAsia="zh-CN"/>
        </w:rPr>
      </w:pPr>
    </w:p>
    <w:bookmarkEnd w:id="392"/>
    <w:p w14:paraId="5A14AF2C">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二、商务要求：</w:t>
      </w:r>
    </w:p>
    <w:p w14:paraId="003786A5">
      <w:pPr>
        <w:pStyle w:val="93"/>
        <w:spacing w:before="0" w:after="0" w:line="360" w:lineRule="auto"/>
        <w:ind w:left="479" w:right="0"/>
        <w:jc w:val="both"/>
      </w:pPr>
      <w:r>
        <w:rPr>
          <w:rFonts w:ascii="宋体" w:hAnsi="宋体" w:eastAsia="宋体" w:cs="宋体"/>
          <w:b/>
          <w:sz w:val="24"/>
        </w:rPr>
        <w:t>1.</w:t>
      </w:r>
      <w:r>
        <w:rPr>
          <w:rFonts w:hint="eastAsia" w:cs="宋体"/>
          <w:b/>
          <w:sz w:val="24"/>
          <w:lang w:val="en-US" w:eastAsia="zh-CN"/>
        </w:rPr>
        <w:t>服务</w:t>
      </w:r>
      <w:r>
        <w:rPr>
          <w:rFonts w:ascii="宋体" w:hAnsi="宋体" w:eastAsia="宋体" w:cs="宋体"/>
          <w:b/>
          <w:sz w:val="24"/>
        </w:rPr>
        <w:t>期、</w:t>
      </w:r>
      <w:r>
        <w:rPr>
          <w:rFonts w:hint="eastAsia" w:cs="宋体"/>
          <w:b/>
          <w:sz w:val="24"/>
          <w:lang w:val="en-US" w:eastAsia="zh-CN"/>
        </w:rPr>
        <w:t>服务</w:t>
      </w:r>
      <w:r>
        <w:rPr>
          <w:rFonts w:ascii="宋体" w:hAnsi="宋体" w:eastAsia="宋体" w:cs="宋体"/>
          <w:b/>
          <w:sz w:val="24"/>
        </w:rPr>
        <w:t>地点：</w:t>
      </w:r>
    </w:p>
    <w:p w14:paraId="1F695A17">
      <w:pPr>
        <w:pStyle w:val="93"/>
        <w:spacing w:before="0" w:after="0" w:line="360" w:lineRule="auto"/>
        <w:ind w:left="0" w:right="0" w:firstLine="480"/>
        <w:jc w:val="left"/>
        <w:rPr>
          <w:rFonts w:hint="default" w:ascii="宋体" w:hAnsi="宋体" w:eastAsia="宋体" w:cs="宋体"/>
          <w:sz w:val="24"/>
          <w:highlight w:val="none"/>
          <w:lang w:val="en-US" w:eastAsia="zh-CN"/>
        </w:rPr>
      </w:pPr>
      <w:r>
        <w:rPr>
          <w:rFonts w:hint="eastAsia" w:cs="宋体"/>
          <w:b/>
          <w:sz w:val="24"/>
          <w:highlight w:val="none"/>
          <w:lang w:val="en-US" w:eastAsia="zh-CN"/>
        </w:rPr>
        <w:t>服务期限</w:t>
      </w:r>
      <w:r>
        <w:rPr>
          <w:rFonts w:ascii="宋体" w:hAnsi="宋体" w:eastAsia="宋体" w:cs="宋体"/>
          <w:sz w:val="24"/>
          <w:highlight w:val="none"/>
        </w:rPr>
        <w:t>：</w:t>
      </w:r>
      <w:r>
        <w:rPr>
          <w:rFonts w:hint="eastAsia" w:ascii="宋体" w:hAnsi="宋体" w:eastAsia="宋体" w:cs="宋体"/>
          <w:sz w:val="24"/>
          <w:highlight w:val="none"/>
        </w:rPr>
        <w:t>自合同签订之日起3个月内完成课程建设。</w:t>
      </w:r>
    </w:p>
    <w:p w14:paraId="3E3816A4">
      <w:pPr>
        <w:pStyle w:val="93"/>
        <w:spacing w:before="0" w:after="0" w:line="360" w:lineRule="auto"/>
        <w:ind w:left="0" w:right="0" w:firstLine="480"/>
        <w:jc w:val="both"/>
        <w:rPr>
          <w:rFonts w:hint="default" w:ascii="宋体" w:hAnsi="宋体" w:eastAsia="宋体" w:cs="宋体"/>
          <w:b w:val="0"/>
          <w:sz w:val="24"/>
          <w:lang w:val="en-US" w:eastAsia="zh-CN"/>
        </w:rPr>
      </w:pPr>
      <w:r>
        <w:rPr>
          <w:rFonts w:hint="eastAsia" w:cs="宋体"/>
          <w:b/>
          <w:bCs/>
          <w:sz w:val="24"/>
          <w:lang w:val="en-US" w:eastAsia="zh-CN"/>
        </w:rPr>
        <w:t>服务</w:t>
      </w:r>
      <w:r>
        <w:rPr>
          <w:rFonts w:ascii="宋体" w:hAnsi="宋体" w:eastAsia="宋体" w:cs="宋体"/>
          <w:b/>
          <w:bCs/>
          <w:sz w:val="24"/>
        </w:rPr>
        <w:t>地点：</w:t>
      </w:r>
      <w:r>
        <w:rPr>
          <w:rFonts w:ascii="宋体" w:hAnsi="宋体" w:eastAsia="宋体" w:cs="宋体"/>
          <w:sz w:val="24"/>
        </w:rPr>
        <w:t>采购人指定地点。</w:t>
      </w:r>
    </w:p>
    <w:p w14:paraId="67E1224C">
      <w:pPr>
        <w:pStyle w:val="93"/>
        <w:spacing w:before="0" w:after="0" w:line="360" w:lineRule="auto"/>
        <w:ind w:left="0" w:right="0" w:firstLine="482"/>
        <w:jc w:val="both"/>
      </w:pPr>
      <w:r>
        <w:rPr>
          <w:rFonts w:ascii="宋体" w:hAnsi="宋体" w:eastAsia="宋体" w:cs="宋体"/>
          <w:b/>
          <w:sz w:val="24"/>
        </w:rPr>
        <w:t>2.报价要求：详见前附表。</w:t>
      </w:r>
    </w:p>
    <w:p w14:paraId="41944F3B">
      <w:pPr>
        <w:pStyle w:val="93"/>
        <w:spacing w:before="0" w:after="0" w:line="360" w:lineRule="auto"/>
        <w:ind w:right="0" w:firstLine="482" w:firstLineChars="200"/>
        <w:jc w:val="both"/>
        <w:rPr>
          <w:rFonts w:ascii="宋体" w:hAnsi="宋体" w:eastAsia="宋体" w:cs="宋体"/>
          <w:b/>
          <w:sz w:val="24"/>
          <w:highlight w:val="none"/>
        </w:rPr>
      </w:pPr>
      <w:r>
        <w:rPr>
          <w:rFonts w:ascii="宋体" w:hAnsi="宋体" w:eastAsia="宋体" w:cs="宋体"/>
          <w:b/>
          <w:sz w:val="24"/>
          <w:highlight w:val="none"/>
        </w:rPr>
        <w:t>3.付款方式：</w:t>
      </w:r>
      <w:r>
        <w:rPr>
          <w:rFonts w:ascii="宋体" w:hAnsi="宋体" w:eastAsia="宋体" w:cs="宋体"/>
          <w:b w:val="0"/>
          <w:bCs w:val="0"/>
          <w:sz w:val="24"/>
          <w:highlight w:val="none"/>
        </w:rPr>
        <w:t>合同签订后甲方支付合同总价 40% 预付款；乙方供货服务完成并经甲方初验收合格，乙方提供全额发票后，甲方支付剩余 60%。</w:t>
      </w:r>
    </w:p>
    <w:p w14:paraId="7402C6AB">
      <w:pPr>
        <w:adjustRightInd w:val="0"/>
        <w:snapToGrid w:val="0"/>
        <w:spacing w:line="360" w:lineRule="auto"/>
        <w:ind w:firstLine="482" w:firstLineChars="200"/>
        <w:rPr>
          <w:rFonts w:hint="default" w:ascii="仿宋_GB2312" w:hAnsi="仿宋_GB2312" w:eastAsia="仿宋_GB2312" w:cs="仿宋_GB2312"/>
          <w:color w:val="auto"/>
          <w:sz w:val="28"/>
          <w:szCs w:val="28"/>
          <w:lang w:val="en-US" w:eastAsia="zh-CN"/>
        </w:rPr>
      </w:pPr>
      <w:r>
        <w:rPr>
          <w:rFonts w:hint="default" w:ascii="宋体" w:hAnsi="宋体" w:eastAsia="宋体" w:cs="宋体"/>
          <w:b/>
          <w:bCs/>
          <w:sz w:val="24"/>
          <w:lang w:val="en-US" w:eastAsia="zh-CN"/>
        </w:rPr>
        <w:t>4.知识产权：</w:t>
      </w:r>
      <w:r>
        <w:rPr>
          <w:rFonts w:hint="eastAsia" w:ascii="宋体" w:hAnsi="宋体" w:eastAsia="宋体" w:cs="宋体"/>
          <w:b w:val="0"/>
          <w:bCs w:val="0"/>
          <w:sz w:val="24"/>
          <w:lang w:val="en-US" w:eastAsia="zh-CN"/>
        </w:rPr>
        <w:t>采购人</w:t>
      </w:r>
      <w:r>
        <w:rPr>
          <w:rFonts w:hint="default" w:ascii="宋体" w:hAnsi="宋体" w:eastAsia="宋体" w:cs="宋体"/>
          <w:b w:val="0"/>
          <w:bCs w:val="0"/>
          <w:sz w:val="24"/>
          <w:lang w:val="en-US" w:eastAsia="zh-CN"/>
        </w:rPr>
        <w:t>在中华人民共和国境内使用</w:t>
      </w:r>
      <w:r>
        <w:rPr>
          <w:rFonts w:hint="eastAsia" w:ascii="宋体" w:hAnsi="宋体" w:eastAsia="宋体" w:cs="宋体"/>
          <w:b w:val="0"/>
          <w:bCs w:val="0"/>
          <w:sz w:val="24"/>
          <w:lang w:val="en-US" w:eastAsia="zh-CN"/>
        </w:rPr>
        <w:t>供应商</w:t>
      </w:r>
      <w:r>
        <w:rPr>
          <w:rFonts w:hint="default" w:ascii="宋体" w:hAnsi="宋体" w:eastAsia="宋体" w:cs="宋体"/>
          <w:b w:val="0"/>
          <w:bCs w:val="0"/>
          <w:sz w:val="24"/>
          <w:lang w:val="en-US" w:eastAsia="zh-CN"/>
        </w:rPr>
        <w:t>提供的货物时免受第三方提出的侵犯其专利权或其它知识产权的起诉。如果第三方提出侵权指控，成交人应承担由此而引起的一切法律责任和费用</w:t>
      </w:r>
      <w:r>
        <w:rPr>
          <w:rFonts w:hint="eastAsia" w:ascii="宋体" w:hAnsi="宋体" w:eastAsia="宋体" w:cs="宋体"/>
          <w:b w:val="0"/>
          <w:bCs w:val="0"/>
          <w:sz w:val="24"/>
          <w:lang w:val="en-US" w:eastAsia="zh-CN"/>
        </w:rPr>
        <w:t>。</w:t>
      </w:r>
    </w:p>
    <w:p w14:paraId="07D1091B">
      <w:pPr>
        <w:adjustRightInd w:val="0"/>
        <w:snapToGrid w:val="0"/>
        <w:spacing w:line="360" w:lineRule="auto"/>
        <w:ind w:firstLine="480" w:firstLineChars="200"/>
        <w:rPr>
          <w:rFonts w:ascii="宋体" w:hAnsi="宋体" w:cs="宋体"/>
          <w:color w:val="000000"/>
          <w:sz w:val="24"/>
          <w:szCs w:val="24"/>
        </w:rPr>
      </w:pPr>
    </w:p>
    <w:p w14:paraId="396A2D24">
      <w:pPr>
        <w:pStyle w:val="2"/>
        <w:jc w:val="center"/>
        <w:rPr>
          <w:rFonts w:hint="eastAsia"/>
          <w:color w:val="000000"/>
        </w:rPr>
      </w:pPr>
      <w:r>
        <w:rPr>
          <w:rFonts w:hint="eastAsia"/>
          <w:color w:val="000000"/>
        </w:rPr>
        <w:br w:type="page"/>
      </w:r>
      <w:bookmarkStart w:id="394" w:name="_Toc7639"/>
      <w:bookmarkStart w:id="395" w:name="_Toc6154"/>
      <w:bookmarkStart w:id="396" w:name="_Toc9694"/>
      <w:r>
        <w:rPr>
          <w:rFonts w:hint="eastAsia" w:ascii="黑体" w:hAnsi="黑体" w:cs="黑体"/>
          <w:b/>
          <w:bCs/>
          <w:color w:val="000000"/>
          <w:szCs w:val="32"/>
          <w:highlight w:val="none"/>
        </w:rPr>
        <w:t xml:space="preserve">第四章  </w:t>
      </w:r>
      <w:bookmarkEnd w:id="386"/>
      <w:bookmarkEnd w:id="387"/>
      <w:bookmarkEnd w:id="388"/>
      <w:bookmarkEnd w:id="389"/>
      <w:bookmarkEnd w:id="390"/>
      <w:bookmarkEnd w:id="391"/>
      <w:r>
        <w:rPr>
          <w:rFonts w:hint="eastAsia" w:ascii="黑体" w:hAnsi="黑体" w:cs="黑体"/>
          <w:b/>
          <w:bCs/>
          <w:color w:val="000000"/>
          <w:szCs w:val="32"/>
          <w:highlight w:val="none"/>
        </w:rPr>
        <w:t>评审办法</w:t>
      </w:r>
      <w:bookmarkEnd w:id="394"/>
      <w:bookmarkEnd w:id="395"/>
      <w:bookmarkEnd w:id="396"/>
    </w:p>
    <w:p w14:paraId="1DF970DE">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一、评审原则</w:t>
      </w:r>
    </w:p>
    <w:p w14:paraId="1AC3DE03">
      <w:pPr>
        <w:adjustRightInd w:val="0"/>
        <w:snapToGrid w:val="0"/>
        <w:spacing w:line="360" w:lineRule="auto"/>
        <w:ind w:firstLine="496" w:firstLineChars="200"/>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06CDF8B8">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3D21C0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7F68D40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7A99EC3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134C691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1BE8833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32415D0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078AC4F3">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4234BE03">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58D0FB92">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四、评审程序</w:t>
      </w:r>
    </w:p>
    <w:p w14:paraId="7BE0EFC1">
      <w:pPr>
        <w:adjustRightInd w:val="0"/>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1.资格审查：</w:t>
      </w:r>
    </w:p>
    <w:p w14:paraId="7BDAB1AA">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0E19A87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2.符合性审查</w:t>
      </w:r>
    </w:p>
    <w:p w14:paraId="1F234A39">
      <w:pPr>
        <w:adjustRightInd w:val="0"/>
        <w:snapToGrid w:val="0"/>
        <w:spacing w:line="360" w:lineRule="auto"/>
        <w:ind w:firstLine="473" w:firstLineChars="191"/>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B361A7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6AACB9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0E99D5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56C07B4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38E260C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25DADF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08753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2960608A">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规定的其他无效情形。</w:t>
      </w:r>
    </w:p>
    <w:p w14:paraId="16873AF3">
      <w:pPr>
        <w:spacing w:line="360" w:lineRule="auto"/>
        <w:ind w:firstLine="498" w:firstLineChars="200"/>
        <w:rPr>
          <w:rFonts w:hint="eastAsia" w:ascii="宋体" w:hAnsi="宋体" w:eastAsia="宋体"/>
          <w:b/>
          <w:bCs/>
          <w:color w:val="000000"/>
          <w:spacing w:val="4"/>
          <w:sz w:val="24"/>
          <w:szCs w:val="22"/>
          <w:highlight w:val="none"/>
        </w:rPr>
      </w:pPr>
      <w:r>
        <w:rPr>
          <w:rFonts w:hint="eastAsia" w:ascii="宋体" w:hAnsi="宋体" w:eastAsia="宋体"/>
          <w:b/>
          <w:bCs/>
          <w:color w:val="000000"/>
          <w:spacing w:val="4"/>
          <w:sz w:val="24"/>
          <w:szCs w:val="22"/>
          <w:highlight w:val="none"/>
        </w:rPr>
        <w:t>五、政府采购异常低价审查</w:t>
      </w:r>
    </w:p>
    <w:p w14:paraId="459739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E5F5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2D6F2E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41CA2F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1F3EA8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3E192D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3A6E5A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50D0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8E14A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4FBCE2B0">
      <w:pPr>
        <w:adjustRightInd w:val="0"/>
        <w:snapToGrid w:val="0"/>
        <w:spacing w:line="360" w:lineRule="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7317B00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11FD0C14">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2.磋商小组可以书面形式要求供应商对响应文件不明确的内容作必要的澄清或说明，供应商应采用书面形式进行澄清或说明，但不得超出响应文件的范围或响应文件的实质性内容。</w:t>
      </w:r>
    </w:p>
    <w:p w14:paraId="410F09E5">
      <w:pPr>
        <w:adjustRightInd w:val="0"/>
        <w:snapToGrid w:val="0"/>
        <w:spacing w:line="360" w:lineRule="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七、评审价的确定</w:t>
      </w:r>
    </w:p>
    <w:p w14:paraId="59F2A7F7">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响应文件经符合性评审合格的，为有效磋商。对于所有有效磋商按照以下规则进行评审价的确定：</w:t>
      </w:r>
    </w:p>
    <w:p w14:paraId="46383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1.对于不需要进行政策性价格优惠调整的，其评审价为磋商最后报价。</w:t>
      </w:r>
    </w:p>
    <w:p w14:paraId="33734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2.对于符合政策性优惠的，其评审价按照以下规则进行计算调整：</w:t>
      </w:r>
    </w:p>
    <w:p w14:paraId="3FEEF441">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对非专门面向中小企业采购的项目或者采购包，供应商为小型和微型企业、监狱企业、残疾人福利性单位的评审价计算规则：【其评审价=磋商最后报价 * 90%】 ；</w:t>
      </w:r>
    </w:p>
    <w:p w14:paraId="67B46CC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对专门面向中小企业采购的项目或者采购包，不执行面向中小企业的“价格评审优惠”。</w:t>
      </w:r>
    </w:p>
    <w:p w14:paraId="3DAEA69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color w:val="000000"/>
          <w:spacing w:val="4"/>
          <w:sz w:val="24"/>
          <w:szCs w:val="22"/>
          <w:highlight w:val="none"/>
        </w:rPr>
        <w:t>依据政府采</w:t>
      </w:r>
      <w:r>
        <w:rPr>
          <w:rFonts w:hint="eastAsia" w:ascii="宋体" w:hAnsi="宋体" w:eastAsia="宋体" w:cs="Times New Roman"/>
          <w:color w:val="000000"/>
          <w:spacing w:val="4"/>
          <w:sz w:val="24"/>
          <w:szCs w:val="22"/>
          <w:highlight w:val="none"/>
        </w:rPr>
        <w:t>购促进中小企业发展管理办法财库〔2020〕46号文件，在政府采购活动中，供应商提供的</w:t>
      </w:r>
      <w:r>
        <w:rPr>
          <w:rFonts w:hint="eastAsia" w:ascii="宋体" w:hAnsi="宋体" w:eastAsia="宋体" w:cs="Times New Roman"/>
          <w:color w:val="000000"/>
          <w:spacing w:val="4"/>
          <w:sz w:val="24"/>
          <w:szCs w:val="22"/>
          <w:highlight w:val="none"/>
          <w:lang w:val="en-US" w:eastAsia="zh-CN"/>
        </w:rPr>
        <w:t>服务</w:t>
      </w:r>
      <w:r>
        <w:rPr>
          <w:rFonts w:hint="eastAsia" w:ascii="宋体" w:hAnsi="宋体" w:eastAsia="宋体" w:cs="Times New Roman"/>
          <w:color w:val="000000"/>
          <w:spacing w:val="4"/>
          <w:sz w:val="24"/>
          <w:szCs w:val="22"/>
          <w:highlight w:val="none"/>
        </w:rPr>
        <w:t>符合下列情形的，享受本办法规定的中小企业扶持政策：</w:t>
      </w:r>
    </w:p>
    <w:p w14:paraId="1A54B1F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4C2D0202">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以联合体形式参加政府采购活动，联合体各方均为中小企业的，联合体视同中小企业。其中，联合体各方均为小微企业的，联合体视同小微企业。</w:t>
      </w:r>
    </w:p>
    <w:p w14:paraId="4959A11B">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3.其他方式按照国家相关现行</w:t>
      </w:r>
      <w:r>
        <w:rPr>
          <w:rFonts w:hint="eastAsia" w:ascii="宋体" w:hAnsi="宋体" w:eastAsia="宋体" w:cs="Times New Roman"/>
          <w:color w:val="000000"/>
          <w:spacing w:val="4"/>
          <w:sz w:val="24"/>
          <w:szCs w:val="22"/>
          <w:highlight w:val="none"/>
        </w:rPr>
        <w:t>规定</w:t>
      </w:r>
      <w:r>
        <w:rPr>
          <w:rFonts w:hint="eastAsia" w:ascii="宋体" w:hAnsi="宋体"/>
          <w:color w:val="000000"/>
          <w:spacing w:val="4"/>
          <w:sz w:val="24"/>
          <w:szCs w:val="22"/>
          <w:highlight w:val="none"/>
        </w:rPr>
        <w:t>执行。</w:t>
      </w:r>
    </w:p>
    <w:p w14:paraId="11F96DBA">
      <w:pPr>
        <w:adjustRightInd w:val="0"/>
        <w:snapToGrid w:val="0"/>
        <w:spacing w:line="360" w:lineRule="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76FFC168">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1.响应文件中磋商一次报价表（报价表）内容与响应文件中相应内容不一致的，以磋商一次报价表（报价表）为准；</w:t>
      </w:r>
    </w:p>
    <w:p w14:paraId="2BC5E133">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3F7956A5">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3.单价金额小数点或者百分比有明显错位的，以磋商一次报价表的总价为准，并修改单价；</w:t>
      </w:r>
    </w:p>
    <w:p w14:paraId="5B6ED1B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4.总价金额与按单价</w:t>
      </w:r>
      <w:r>
        <w:rPr>
          <w:rFonts w:hint="eastAsia" w:ascii="宋体" w:hAnsi="宋体" w:cs="宋体"/>
          <w:color w:val="000000"/>
          <w:sz w:val="24"/>
          <w:szCs w:val="24"/>
        </w:rPr>
        <w:t>汇总金额不一致的，以单价金额计算结果为准。</w:t>
      </w:r>
    </w:p>
    <w:p w14:paraId="2DED43FB">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3C3B536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3CD6F50F">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2A12198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5CD62319">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5FF7DE81">
      <w:pPr>
        <w:adjustRightInd w:val="0"/>
        <w:snapToGrid w:val="0"/>
        <w:spacing w:line="360" w:lineRule="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A231188">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0173077C">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须在响应文件文件中提供《中小企业声明函》，中小企业划型标准按照《关于印发中小企业划型标准规定的通知（工信部联企业〔2011〕300号）》文件的相关规定认定，未提供以上材料的不予以认定。</w:t>
      </w:r>
    </w:p>
    <w:p w14:paraId="5B01CE1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2.监狱企业</w:t>
      </w:r>
    </w:p>
    <w:p w14:paraId="6CBDBA7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2DC5406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2C2261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5BA3227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3.福利企业</w:t>
      </w:r>
    </w:p>
    <w:p w14:paraId="0959EC5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2704AF9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2711618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4.残疾人福利性单位</w:t>
      </w:r>
    </w:p>
    <w:p w14:paraId="47D5C05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005B139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131D2F2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6.如供应商同时提供上述优惠内容，磋商小组只认可其一项有效声明函，不予以重复给价格扣除。  </w:t>
      </w:r>
    </w:p>
    <w:p w14:paraId="0CE6DAC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118B54D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0BAFE4EC">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除上述已表述的内容外，其余对政府采购相关政策予以落实根据相关法律、法规的规定执行。如供应商同时提供优惠内容的，磋商小组只认可其一项有效声明函，不予以重复给价格扣除。</w:t>
      </w:r>
    </w:p>
    <w:p w14:paraId="5CC72792">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7160CBC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p w14:paraId="7178CC5E">
      <w:pPr>
        <w:pStyle w:val="14"/>
        <w:rPr>
          <w:rFonts w:hint="eastAsia" w:ascii="宋体" w:hAnsi="宋体"/>
          <w:color w:val="000000"/>
          <w:spacing w:val="4"/>
          <w:sz w:val="24"/>
          <w:szCs w:val="22"/>
        </w:rPr>
      </w:pPr>
    </w:p>
    <w:p w14:paraId="6557CB4B">
      <w:pPr>
        <w:rPr>
          <w:rFonts w:hint="eastAsia" w:ascii="宋体" w:hAnsi="宋体"/>
          <w:color w:val="000000"/>
          <w:spacing w:val="4"/>
          <w:sz w:val="24"/>
          <w:szCs w:val="22"/>
        </w:rPr>
      </w:pPr>
    </w:p>
    <w:p w14:paraId="4B44E0D2">
      <w:pPr>
        <w:pStyle w:val="14"/>
        <w:rPr>
          <w:rFonts w:hint="eastAsia" w:ascii="宋体" w:hAnsi="宋体"/>
          <w:color w:val="000000"/>
          <w:spacing w:val="4"/>
          <w:sz w:val="24"/>
          <w:szCs w:val="22"/>
        </w:rPr>
      </w:pPr>
    </w:p>
    <w:p w14:paraId="56DDB179">
      <w:pPr>
        <w:rPr>
          <w:rFonts w:hint="eastAsia" w:ascii="宋体" w:hAnsi="宋体"/>
          <w:color w:val="000000"/>
          <w:spacing w:val="4"/>
          <w:sz w:val="24"/>
          <w:szCs w:val="22"/>
        </w:rPr>
      </w:pPr>
    </w:p>
    <w:bookmarkEnd w:id="36"/>
    <w:p w14:paraId="0A8CD9A9">
      <w:pPr>
        <w:pStyle w:val="15"/>
        <w:adjustRightInd w:val="0"/>
        <w:snapToGrid w:val="0"/>
        <w:spacing w:line="360" w:lineRule="auto"/>
        <w:ind w:firstLine="0"/>
        <w:jc w:val="center"/>
        <w:rPr>
          <w:rFonts w:hint="eastAsia" w:hAnsi="宋体" w:cs="宋体"/>
          <w:b/>
          <w:color w:val="000000"/>
          <w:sz w:val="32"/>
          <w:szCs w:val="32"/>
        </w:rPr>
      </w:pPr>
      <w:bookmarkStart w:id="397" w:name="_Toc511316296"/>
      <w:bookmarkStart w:id="398" w:name="_Toc557"/>
      <w:bookmarkStart w:id="399" w:name="_Toc2619"/>
      <w:r>
        <w:rPr>
          <w:rFonts w:hint="eastAsia" w:hAnsi="宋体"/>
          <w:b/>
          <w:color w:val="000000"/>
          <w:sz w:val="32"/>
          <w:szCs w:val="32"/>
        </w:rPr>
        <w:br w:type="page"/>
      </w:r>
      <w:r>
        <w:rPr>
          <w:rFonts w:hint="eastAsia" w:hAnsi="宋体" w:cs="宋体"/>
          <w:b/>
          <w:color w:val="000000"/>
          <w:sz w:val="32"/>
          <w:szCs w:val="32"/>
        </w:rPr>
        <w:t>评审因素</w:t>
      </w:r>
    </w:p>
    <w:p w14:paraId="7A24A076">
      <w:pPr>
        <w:jc w:val="center"/>
        <w:outlineLvl w:val="9"/>
        <w:rPr>
          <w:rFonts w:hint="eastAsia" w:ascii="宋体" w:hAnsi="宋体" w:eastAsia="宋体" w:cs="Times New Roman"/>
          <w:b w:val="0"/>
          <w:bCs w:val="0"/>
          <w:kern w:val="0"/>
          <w:sz w:val="24"/>
          <w:szCs w:val="24"/>
          <w:highlight w:val="none"/>
          <w:lang w:val="en-US" w:eastAsia="zh-CN" w:bidi="ar-SA"/>
        </w:rPr>
      </w:pPr>
    </w:p>
    <w:tbl>
      <w:tblPr>
        <w:tblStyle w:val="39"/>
        <w:tblpPr w:leftFromText="180" w:rightFromText="180" w:vertAnchor="text" w:horzAnchor="page" w:tblpX="1425" w:tblpY="634"/>
        <w:tblOverlap w:val="never"/>
        <w:tblW w:w="54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57" w:type="dxa"/>
          <w:bottom w:w="28" w:type="dxa"/>
          <w:right w:w="57" w:type="dxa"/>
        </w:tblCellMar>
      </w:tblPr>
      <w:tblGrid>
        <w:gridCol w:w="1285"/>
        <w:gridCol w:w="1044"/>
        <w:gridCol w:w="6888"/>
      </w:tblGrid>
      <w:tr w14:paraId="582F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top w:val="single" w:color="auto" w:sz="4" w:space="0"/>
              <w:left w:val="single" w:color="auto" w:sz="4" w:space="0"/>
              <w:bottom w:val="single" w:color="auto" w:sz="4" w:space="0"/>
              <w:right w:val="single" w:color="auto" w:sz="4" w:space="0"/>
            </w:tcBorders>
            <w:noWrap w:val="0"/>
            <w:vAlign w:val="center"/>
          </w:tcPr>
          <w:p w14:paraId="000F001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赋分项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73BCDBA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5825932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赋分标准</w:t>
            </w:r>
          </w:p>
        </w:tc>
      </w:tr>
      <w:tr w14:paraId="1DF9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3B9591A1">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价格</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4C512EB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6C5EC25B">
            <w:pPr>
              <w:spacing w:line="360" w:lineRule="auto"/>
              <w:rPr>
                <w:rFonts w:hint="eastAsia" w:ascii="宋体" w:hAnsi="宋体" w:eastAsia="宋体" w:cs="宋体"/>
                <w:sz w:val="24"/>
                <w:szCs w:val="24"/>
                <w:highlight w:val="none"/>
                <w:shd w:val="clear" w:color="auto" w:fill="auto"/>
                <w:lang w:val="zh-CN"/>
              </w:rPr>
            </w:pPr>
            <w:r>
              <w:rPr>
                <w:rFonts w:hint="eastAsia" w:ascii="宋体" w:hAnsi="宋体" w:eastAsia="宋体" w:cs="宋体"/>
                <w:sz w:val="24"/>
                <w:szCs w:val="24"/>
                <w:highlight w:val="none"/>
                <w:shd w:val="clear" w:color="auto" w:fill="auto"/>
                <w:lang w:val="zh-CN"/>
              </w:rPr>
              <w:t>满足磋商文件要求且最后</w:t>
            </w:r>
            <w:r>
              <w:rPr>
                <w:rFonts w:hint="eastAsia" w:ascii="宋体" w:hAnsi="宋体" w:eastAsia="宋体" w:cs="宋体"/>
                <w:b w:val="0"/>
                <w:bCs w:val="0"/>
                <w:sz w:val="24"/>
                <w:szCs w:val="24"/>
                <w:highlight w:val="none"/>
                <w:shd w:val="clear" w:color="auto" w:fill="auto"/>
                <w:lang w:val="zh-CN"/>
              </w:rPr>
              <w:t>报价最低</w:t>
            </w:r>
            <w:r>
              <w:rPr>
                <w:rFonts w:hint="eastAsia" w:ascii="宋体" w:hAnsi="宋体" w:eastAsia="宋体" w:cs="宋体"/>
                <w:sz w:val="24"/>
                <w:szCs w:val="24"/>
                <w:highlight w:val="none"/>
                <w:shd w:val="clear" w:color="auto" w:fill="auto"/>
                <w:lang w:val="zh-CN"/>
              </w:rPr>
              <w:t>的供应商的价格为磋商基准价，其价格分为满分。其他供应商的价格分统一按照下列公式计算：</w:t>
            </w:r>
          </w:p>
          <w:p w14:paraId="527AC34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val="zh-CN"/>
              </w:rPr>
              <w:t>磋商报价得分=（磋商基准价/最后磋商报价）×</w:t>
            </w:r>
            <w:r>
              <w:rPr>
                <w:rFonts w:hint="eastAsia" w:ascii="宋体" w:hAnsi="宋体" w:eastAsia="宋体" w:cs="宋体"/>
                <w:sz w:val="24"/>
                <w:szCs w:val="24"/>
                <w:highlight w:val="none"/>
                <w:shd w:val="clear" w:color="auto" w:fill="auto"/>
                <w:lang w:val="en-US" w:eastAsia="zh-CN"/>
              </w:rPr>
              <w:t>15</w:t>
            </w:r>
          </w:p>
        </w:tc>
      </w:tr>
      <w:tr w14:paraId="7883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169D55C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服务指标</w:t>
            </w:r>
          </w:p>
          <w:p w14:paraId="7BB98490">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color w:val="auto"/>
                <w:sz w:val="24"/>
                <w:szCs w:val="24"/>
                <w:highlight w:val="none"/>
              </w:rPr>
              <w:t>响应情况</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51DF464E">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2C0051C9">
            <w:pPr>
              <w:keepNext w:val="0"/>
              <w:keepLines w:val="0"/>
              <w:pageBreakBefore w:val="0"/>
              <w:widowControl/>
              <w:numPr>
                <w:ilvl w:val="-1"/>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根据【</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 xml:space="preserve">第三章  采购需求及商务要求 </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】根据供应商针对服务要求（供应商需提供</w:t>
            </w:r>
            <w:bookmarkStart w:id="483" w:name="_GoBack"/>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演示</w:t>
            </w:r>
            <w:bookmarkEnd w:id="483"/>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的除外）响应情况进行评审，完全响应并满足服务要求的得26.5分，有一项未响应或不满足采购需求的扣0.1分，扣完为止。</w:t>
            </w:r>
          </w:p>
          <w:p w14:paraId="62B8359C">
            <w:pPr>
              <w:spacing w:line="360" w:lineRule="auto"/>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备注：相应的各服务要求均需提供佐证材料。佐证材料为供应商认为可以佐证服务响应的材料，如服务承诺书等。供应商对材料的真实性、完整性、有效性及针对性承担责任，自行承担因材料提供不全导致服务要求被认定为不满足或负偏离的风险。</w:t>
            </w:r>
          </w:p>
        </w:tc>
      </w:tr>
      <w:tr w14:paraId="5382F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6159C31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演示</w:t>
            </w:r>
          </w:p>
          <w:p w14:paraId="65867A4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0691A48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05CC89BC">
            <w:pPr>
              <w:spacing w:line="360" w:lineRule="auto"/>
              <w:rPr>
                <w:rFonts w:hint="eastAsia" w:ascii="宋体" w:hAnsi="宋体" w:eastAsia="宋体" w:cs="宋体"/>
                <w:b w:val="0"/>
                <w:bCs w:val="0"/>
                <w:color w:val="auto"/>
                <w:kern w:val="2"/>
                <w:sz w:val="24"/>
                <w:szCs w:val="24"/>
                <w:highlight w:val="none"/>
                <w:shd w:val="clear"/>
                <w:lang w:val="en-US" w:eastAsia="zh-CN" w:bidi="ar-SA"/>
              </w:rPr>
            </w:pPr>
            <w:r>
              <w:rPr>
                <w:rFonts w:hint="eastAsia" w:ascii="宋体" w:hAnsi="宋体" w:eastAsia="宋体" w:cs="宋体"/>
                <w:b w:val="0"/>
                <w:bCs w:val="0"/>
                <w:color w:val="auto"/>
                <w:kern w:val="2"/>
                <w:sz w:val="24"/>
                <w:szCs w:val="24"/>
                <w:highlight w:val="none"/>
                <w:shd w:val="clear"/>
                <w:lang w:val="en-US" w:eastAsia="zh-CN" w:bidi="ar-SA"/>
              </w:rPr>
              <w:t>演示内容</w:t>
            </w:r>
            <w:r>
              <w:rPr>
                <w:rFonts w:hint="eastAsia" w:ascii="宋体" w:hAnsi="宋体" w:eastAsia="宋体" w:cs="宋体"/>
                <w:color w:val="auto"/>
                <w:kern w:val="2"/>
                <w:sz w:val="24"/>
                <w:szCs w:val="24"/>
                <w:highlight w:val="none"/>
                <w:shd w:val="clear"/>
                <w:lang w:val="en-US" w:eastAsia="zh-CN" w:bidi="ar-SA"/>
              </w:rPr>
              <w:t>【</w:t>
            </w:r>
            <w:r>
              <w:rPr>
                <w:rFonts w:hint="eastAsia" w:ascii="宋体" w:hAnsi="宋体" w:eastAsia="宋体" w:cs="宋体"/>
                <w:color w:val="auto"/>
                <w:kern w:val="2"/>
                <w:sz w:val="24"/>
                <w:szCs w:val="24"/>
                <w:highlight w:val="none"/>
                <w:shd w:val="clear"/>
                <w:lang w:val="en-US" w:eastAsia="zh-CN"/>
              </w:rPr>
              <w:t xml:space="preserve">第三章  采购需求及商务要求 </w:t>
            </w:r>
            <w:r>
              <w:rPr>
                <w:rFonts w:hint="eastAsia" w:ascii="宋体" w:hAnsi="宋体" w:eastAsia="宋体" w:cs="宋体"/>
                <w:color w:val="auto"/>
                <w:kern w:val="2"/>
                <w:sz w:val="24"/>
                <w:szCs w:val="24"/>
                <w:highlight w:val="none"/>
                <w:shd w:val="clear"/>
                <w:lang w:val="en-US" w:eastAsia="zh-CN" w:bidi="ar-SA"/>
              </w:rPr>
              <w:t>】</w:t>
            </w:r>
            <w:r>
              <w:rPr>
                <w:rFonts w:hint="eastAsia" w:ascii="宋体" w:hAnsi="宋体" w:eastAsia="宋体" w:cs="宋体"/>
                <w:b w:val="0"/>
                <w:bCs w:val="0"/>
                <w:color w:val="auto"/>
                <w:kern w:val="2"/>
                <w:sz w:val="24"/>
                <w:szCs w:val="24"/>
                <w:highlight w:val="none"/>
                <w:shd w:val="clear"/>
                <w:lang w:val="en-US" w:eastAsia="zh-CN" w:bidi="ar-SA"/>
              </w:rPr>
              <w:t xml:space="preserve">中需要提供演示的，供应商需进行演示。 </w:t>
            </w:r>
          </w:p>
          <w:p w14:paraId="1CAFBCBA">
            <w:pPr>
              <w:spacing w:line="360" w:lineRule="auto"/>
              <w:rPr>
                <w:rFonts w:hint="eastAsia" w:ascii="宋体" w:hAnsi="宋体" w:eastAsia="宋体" w:cs="宋体"/>
                <w:b w:val="0"/>
                <w:bCs w:val="0"/>
                <w:color w:val="auto"/>
                <w:kern w:val="2"/>
                <w:sz w:val="24"/>
                <w:szCs w:val="24"/>
                <w:highlight w:val="none"/>
                <w:shd w:val="clear"/>
                <w:lang w:val="en-US" w:eastAsia="zh-CN" w:bidi="ar-SA"/>
              </w:rPr>
            </w:pPr>
            <w:r>
              <w:rPr>
                <w:rFonts w:hint="eastAsia" w:ascii="宋体" w:hAnsi="宋体" w:eastAsia="宋体" w:cs="宋体"/>
                <w:b w:val="0"/>
                <w:bCs w:val="0"/>
                <w:color w:val="auto"/>
                <w:kern w:val="2"/>
                <w:sz w:val="24"/>
                <w:szCs w:val="24"/>
                <w:highlight w:val="none"/>
                <w:shd w:val="clear"/>
                <w:lang w:val="en-US" w:eastAsia="zh-CN" w:bidi="ar-SA"/>
              </w:rPr>
              <w:t xml:space="preserve">演示需使用真实环境系统演示，每完整演示一项内容的得0.5分，演示不完整或未进行演示不得分。满分5.5分。使用ppt，图片，视频或其他非真实系统演示不得分。 </w:t>
            </w:r>
          </w:p>
          <w:p w14:paraId="0E9F6752">
            <w:pPr>
              <w:spacing w:line="360" w:lineRule="auto"/>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b w:val="0"/>
                <w:bCs w:val="0"/>
                <w:color w:val="auto"/>
                <w:kern w:val="2"/>
                <w:sz w:val="24"/>
                <w:szCs w:val="24"/>
                <w:highlight w:val="none"/>
                <w:shd w:val="clear"/>
                <w:lang w:val="en-US" w:eastAsia="zh-CN" w:bidi="ar-SA"/>
              </w:rPr>
              <w:t>注：各供应商演示时间共计不得超过</w:t>
            </w:r>
            <w:r>
              <w:rPr>
                <w:rFonts w:hint="eastAsia" w:ascii="宋体" w:hAnsi="宋体" w:cs="宋体"/>
                <w:b w:val="0"/>
                <w:bCs w:val="0"/>
                <w:color w:val="auto"/>
                <w:kern w:val="2"/>
                <w:sz w:val="24"/>
                <w:szCs w:val="24"/>
                <w:highlight w:val="none"/>
                <w:shd w:val="clear"/>
                <w:lang w:val="en-US" w:eastAsia="zh-CN" w:bidi="ar-SA"/>
              </w:rPr>
              <w:t>3</w:t>
            </w:r>
            <w:r>
              <w:rPr>
                <w:rFonts w:hint="eastAsia" w:ascii="宋体" w:hAnsi="宋体" w:eastAsia="宋体" w:cs="宋体"/>
                <w:b w:val="0"/>
                <w:bCs w:val="0"/>
                <w:color w:val="auto"/>
                <w:kern w:val="2"/>
                <w:sz w:val="24"/>
                <w:szCs w:val="24"/>
                <w:highlight w:val="none"/>
                <w:shd w:val="clear"/>
                <w:lang w:val="en-US" w:eastAsia="zh-CN" w:bidi="ar-SA"/>
              </w:rPr>
              <w:t>0分钟。自评标委员会要求开始之时起计算时间。各供应商应在上述规定时间内完成演示部分的全部内容，如因时间问题未能演示完成或中断演示的，由供应商自行承担相关不利风险。各供应商应在开标前提前做好相关演示准备。且各供应商需自行准备相关演示所用的设施设备，并且自行考虑相关外部因素等问题，如在开标时因投标人自身问题而造成的演示停滞、无法演示等情况，由供应商自行承担相关不利风险。未提供演示或开标现场因供应商自身原因无法演示的，将视为未演示，对本条演示内容进行相应扣分。</w:t>
            </w:r>
          </w:p>
        </w:tc>
      </w:tr>
      <w:tr w14:paraId="47B4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75E86D52">
            <w:pPr>
              <w:spacing w:line="360" w:lineRule="auto"/>
              <w:jc w:val="center"/>
              <w:rPr>
                <w:rFonts w:hint="eastAsia" w:ascii="宋体" w:hAnsi="宋体" w:eastAsia="宋体" w:cs="宋体"/>
                <w:sz w:val="24"/>
                <w:szCs w:val="24"/>
                <w:highlight w:val="none"/>
              </w:rPr>
            </w:pPr>
            <w:r>
              <w:rPr>
                <w:rFonts w:hint="eastAsia" w:ascii="宋体" w:hAnsi="宋体" w:eastAsia="宋体" w:cs="宋体"/>
                <w:color w:val="auto"/>
                <w:kern w:val="2"/>
                <w:sz w:val="24"/>
                <w:szCs w:val="24"/>
                <w:highlight w:val="none"/>
                <w:lang w:val="en-US" w:eastAsia="zh-CN" w:bidi="ar-SA"/>
              </w:rPr>
              <w:t>整体服务的思路及要点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27F1910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1E464287">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0D396B0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w:t>
            </w:r>
            <w:r>
              <w:rPr>
                <w:rFonts w:hint="eastAsia" w:ascii="宋体" w:hAnsi="宋体" w:eastAsia="宋体" w:cs="宋体"/>
                <w:color w:val="auto"/>
                <w:kern w:val="2"/>
                <w:sz w:val="24"/>
                <w:szCs w:val="24"/>
                <w:highlight w:val="none"/>
                <w:lang w:val="en-US" w:eastAsia="zh-CN" w:bidi="ar-SA"/>
              </w:rPr>
              <w:t>整体服务的思路及要点</w:t>
            </w:r>
            <w:r>
              <w:rPr>
                <w:rFonts w:hint="eastAsia" w:ascii="宋体" w:hAnsi="宋体" w:eastAsia="宋体" w:cs="宋体"/>
                <w:color w:val="auto"/>
                <w:sz w:val="24"/>
                <w:szCs w:val="24"/>
                <w:highlight w:val="none"/>
              </w:rPr>
              <w:t>需包含</w:t>
            </w:r>
            <w:r>
              <w:rPr>
                <w:rFonts w:hint="eastAsia" w:ascii="宋体" w:hAnsi="宋体" w:eastAsia="宋体" w:cs="宋体"/>
                <w:color w:val="auto"/>
                <w:sz w:val="24"/>
                <w:szCs w:val="24"/>
                <w:highlight w:val="none"/>
                <w:lang w:val="zh-CN" w:eastAsia="zh-CN"/>
              </w:rPr>
              <w:t>①</w:t>
            </w:r>
            <w:r>
              <w:rPr>
                <w:rFonts w:hint="eastAsia" w:ascii="宋体" w:hAnsi="宋体" w:eastAsia="宋体" w:cs="宋体"/>
                <w:color w:val="auto"/>
                <w:sz w:val="24"/>
                <w:szCs w:val="24"/>
                <w:highlight w:val="none"/>
              </w:rPr>
              <w:t>核心需求把握度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②</w:t>
            </w:r>
            <w:r>
              <w:rPr>
                <w:rFonts w:hint="eastAsia" w:ascii="宋体" w:hAnsi="宋体" w:eastAsia="宋体" w:cs="宋体"/>
                <w:color w:val="auto"/>
                <w:sz w:val="24"/>
                <w:szCs w:val="24"/>
                <w:highlight w:val="none"/>
              </w:rPr>
              <w:t>重难点深度分析</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需求适配针对性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共2项内容，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总分6分。</w:t>
            </w:r>
          </w:p>
          <w:p w14:paraId="536D8070">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其中，每项以具体内容与本项目</w:t>
            </w:r>
            <w:r>
              <w:rPr>
                <w:rFonts w:hint="eastAsia" w:ascii="宋体" w:hAnsi="宋体" w:eastAsia="宋体" w:cs="宋体"/>
                <w:color w:val="auto"/>
                <w:sz w:val="24"/>
                <w:szCs w:val="24"/>
                <w:highlight w:val="none"/>
                <w:lang w:val="en-US" w:eastAsia="zh-CN"/>
              </w:rPr>
              <w:t>相关服务</w:t>
            </w:r>
            <w:r>
              <w:rPr>
                <w:rFonts w:hint="eastAsia" w:ascii="宋体" w:hAnsi="宋体" w:eastAsia="宋体" w:cs="宋体"/>
                <w:color w:val="auto"/>
                <w:sz w:val="24"/>
                <w:szCs w:val="24"/>
                <w:highlight w:val="none"/>
                <w:lang w:eastAsia="zh-CN"/>
              </w:rPr>
              <w:t>的针对性、可行性、方案完善性作为采分点；每个采分点按照1分、0.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0DD5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14E8BB87">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服务开展的组织措施及制度</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57D5C72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344EB2A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31A2C64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w:t>
            </w:r>
            <w:r>
              <w:rPr>
                <w:rFonts w:hint="eastAsia" w:ascii="宋体" w:hAnsi="宋体" w:eastAsia="宋体" w:cs="宋体"/>
                <w:color w:val="auto"/>
                <w:kern w:val="2"/>
                <w:sz w:val="24"/>
                <w:szCs w:val="24"/>
                <w:highlight w:val="none"/>
                <w:lang w:val="en-US" w:eastAsia="zh-CN" w:bidi="ar-SA"/>
              </w:rPr>
              <w:t>服务开展的组织措施及制度</w:t>
            </w:r>
            <w:r>
              <w:rPr>
                <w:rFonts w:hint="eastAsia" w:ascii="宋体" w:hAnsi="宋体" w:eastAsia="宋体" w:cs="宋体"/>
                <w:color w:val="auto"/>
                <w:sz w:val="24"/>
                <w:szCs w:val="24"/>
                <w:highlight w:val="none"/>
              </w:rPr>
              <w:t>方案需包含</w:t>
            </w:r>
            <w:r>
              <w:rPr>
                <w:rFonts w:hint="eastAsia" w:ascii="宋体" w:hAnsi="宋体" w:eastAsia="宋体" w:cs="宋体"/>
                <w:color w:val="auto"/>
                <w:sz w:val="24"/>
                <w:szCs w:val="24"/>
                <w:highlight w:val="none"/>
                <w:lang w:val="zh-CN" w:eastAsia="zh-CN"/>
              </w:rPr>
              <w:t>①</w:t>
            </w:r>
            <w:r>
              <w:rPr>
                <w:rFonts w:hint="eastAsia" w:ascii="宋体" w:hAnsi="宋体" w:eastAsia="宋体" w:cs="宋体"/>
                <w:color w:val="auto"/>
                <w:sz w:val="24"/>
                <w:szCs w:val="24"/>
                <w:highlight w:val="none"/>
                <w:lang w:val="en-US" w:eastAsia="zh-CN"/>
              </w:rPr>
              <w:t>组织机构方案；</w:t>
            </w:r>
            <w:r>
              <w:rPr>
                <w:rFonts w:hint="eastAsia" w:ascii="宋体" w:hAnsi="宋体" w:eastAsia="宋体" w:cs="宋体"/>
                <w:color w:val="auto"/>
                <w:sz w:val="24"/>
                <w:szCs w:val="24"/>
                <w:highlight w:val="none"/>
                <w:lang w:val="zh-CN" w:eastAsia="zh-CN"/>
              </w:rPr>
              <w:t>②</w:t>
            </w:r>
            <w:r>
              <w:rPr>
                <w:rFonts w:hint="eastAsia" w:ascii="宋体" w:hAnsi="宋体" w:eastAsia="宋体" w:cs="宋体"/>
                <w:color w:val="auto"/>
                <w:sz w:val="24"/>
                <w:szCs w:val="24"/>
                <w:highlight w:val="none"/>
                <w:lang w:val="en-US" w:eastAsia="zh-CN"/>
              </w:rPr>
              <w:t>有关管理制度；</w:t>
            </w:r>
            <w:r>
              <w:rPr>
                <w:rFonts w:hint="eastAsia" w:ascii="宋体" w:hAnsi="宋体" w:eastAsia="宋体" w:cs="宋体"/>
                <w:color w:val="auto"/>
                <w:sz w:val="24"/>
                <w:szCs w:val="24"/>
                <w:highlight w:val="none"/>
                <w:lang w:val="zh-CN" w:eastAsia="zh-CN"/>
              </w:rPr>
              <w:t>③</w:t>
            </w:r>
            <w:r>
              <w:rPr>
                <w:rFonts w:hint="eastAsia" w:ascii="宋体" w:hAnsi="宋体" w:eastAsia="宋体" w:cs="宋体"/>
                <w:color w:val="auto"/>
                <w:sz w:val="24"/>
                <w:szCs w:val="24"/>
                <w:highlight w:val="none"/>
                <w:lang w:val="en-US" w:eastAsia="zh-CN"/>
              </w:rPr>
              <w:t>应急保障能力，共3项内容，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总分9分。</w:t>
            </w:r>
          </w:p>
          <w:p w14:paraId="63D8419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其中，每项以具体内容与本项目的针对性、可行性、方案完善性作为采分点；每个采分点按照1分、0.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49B2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13274CA6">
            <w:pPr>
              <w:spacing w:line="360" w:lineRule="auto"/>
              <w:jc w:val="center"/>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服务团队配备情况</w:t>
            </w:r>
          </w:p>
        </w:tc>
        <w:tc>
          <w:tcPr>
            <w:tcW w:w="566" w:type="pct"/>
            <w:tcBorders>
              <w:top w:val="single" w:color="auto" w:sz="4" w:space="0"/>
              <w:left w:val="single" w:color="auto" w:sz="4" w:space="0"/>
              <w:right w:val="single" w:color="auto" w:sz="4" w:space="0"/>
            </w:tcBorders>
            <w:noWrap w:val="0"/>
            <w:vAlign w:val="center"/>
          </w:tcPr>
          <w:p w14:paraId="1ACE36D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3A5615A9">
            <w:pPr>
              <w:spacing w:line="360" w:lineRule="auto"/>
              <w:jc w:val="center"/>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4BB89C3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提供的服务团队配备情况需包含①人员配置情况表；②核心成员具备的专业资质及同类项目服务经验；③各流程节点岗位职责划分及岗位管理机制，共3项内容，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总分9分。</w:t>
            </w:r>
          </w:p>
          <w:p w14:paraId="15ABCCF7">
            <w:pPr>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color w:val="auto"/>
                <w:sz w:val="24"/>
                <w:szCs w:val="24"/>
                <w:highlight w:val="none"/>
                <w:lang w:eastAsia="zh-CN"/>
              </w:rPr>
              <w:t>其中，每项以具体内容与本项目针对性、可行性、方案完善性作为采分点；每个采分点按照1分、0.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0DD3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1A9DEEDA">
            <w:pPr>
              <w:keepNext w:val="0"/>
              <w:keepLines w:val="0"/>
              <w:widowControl/>
              <w:suppressLineNumbers w:val="0"/>
              <w:spacing w:line="360" w:lineRule="auto"/>
              <w:jc w:val="center"/>
              <w:rPr>
                <w:rFonts w:hint="eastAsia" w:ascii="宋体" w:hAnsi="宋体" w:eastAsia="宋体" w:cs="宋体"/>
                <w:color w:val="auto"/>
                <w:sz w:val="24"/>
                <w:szCs w:val="24"/>
                <w:highlight w:val="none"/>
              </w:rPr>
            </w:pPr>
            <w:r>
              <w:rPr>
                <w:rStyle w:val="41"/>
                <w:rFonts w:hint="eastAsia" w:ascii="宋体" w:hAnsi="宋体" w:eastAsia="宋体" w:cs="宋体"/>
                <w:color w:val="auto"/>
                <w:kern w:val="2"/>
                <w:sz w:val="24"/>
                <w:szCs w:val="24"/>
                <w:highlight w:val="none"/>
                <w:lang w:val="en-US" w:eastAsia="zh-CN" w:bidi="ar"/>
              </w:rPr>
              <w:t>售后服务与运维保障</w:t>
            </w:r>
          </w:p>
          <w:p w14:paraId="23038808">
            <w:pPr>
              <w:spacing w:line="360" w:lineRule="auto"/>
              <w:jc w:val="center"/>
              <w:rPr>
                <w:rFonts w:hint="eastAsia" w:ascii="宋体" w:hAnsi="宋体" w:eastAsia="宋体" w:cs="宋体"/>
                <w:color w:val="auto"/>
                <w:sz w:val="24"/>
                <w:szCs w:val="24"/>
                <w:highlight w:val="none"/>
                <w:lang w:val="en-US" w:eastAsia="zh-CN"/>
              </w:rPr>
            </w:pPr>
          </w:p>
        </w:tc>
        <w:tc>
          <w:tcPr>
            <w:tcW w:w="566" w:type="pct"/>
            <w:tcBorders>
              <w:top w:val="single" w:color="auto" w:sz="4" w:space="0"/>
              <w:left w:val="single" w:color="auto" w:sz="4" w:space="0"/>
              <w:bottom w:val="single" w:color="auto" w:sz="4" w:space="0"/>
              <w:right w:val="single" w:color="auto" w:sz="4" w:space="0"/>
            </w:tcBorders>
            <w:noWrap w:val="0"/>
            <w:vAlign w:val="center"/>
          </w:tcPr>
          <w:p w14:paraId="30DC8D4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1A40377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0BFE33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提供的售后服务与运维保障需包含响应机制（时间、方式、人员）、系统更新，共1项内容，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总分3分。</w:t>
            </w:r>
          </w:p>
          <w:p w14:paraId="0CCC7CC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其中，每项以具体内容与本项目及的针对性、可行性、方案完善性作为采分点；每个采分点按照1分、0.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29C0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4F2247A3">
            <w:pPr>
              <w:keepNext w:val="0"/>
              <w:keepLines w:val="0"/>
              <w:widowControl/>
              <w:suppressLineNumbers w:val="0"/>
              <w:spacing w:line="360" w:lineRule="auto"/>
              <w:jc w:val="center"/>
              <w:rPr>
                <w:rFonts w:hint="eastAsia" w:ascii="宋体" w:hAnsi="宋体" w:eastAsia="宋体" w:cs="宋体"/>
                <w:color w:val="auto"/>
                <w:sz w:val="24"/>
                <w:szCs w:val="24"/>
                <w:highlight w:val="none"/>
              </w:rPr>
            </w:pPr>
            <w:r>
              <w:rPr>
                <w:rStyle w:val="41"/>
                <w:rFonts w:hint="eastAsia" w:ascii="宋体" w:hAnsi="宋体" w:eastAsia="宋体" w:cs="宋体"/>
                <w:color w:val="auto"/>
                <w:kern w:val="2"/>
                <w:sz w:val="24"/>
                <w:szCs w:val="24"/>
                <w:highlight w:val="none"/>
                <w:lang w:val="en-US" w:eastAsia="zh-CN" w:bidi="ar"/>
              </w:rPr>
              <w:t>课程推广服务</w:t>
            </w:r>
          </w:p>
          <w:p w14:paraId="1A18EDD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p>
        </w:tc>
        <w:tc>
          <w:tcPr>
            <w:tcW w:w="566" w:type="pct"/>
            <w:tcBorders>
              <w:top w:val="single" w:color="auto" w:sz="4" w:space="0"/>
              <w:left w:val="single" w:color="auto" w:sz="4" w:space="0"/>
              <w:bottom w:val="single" w:color="auto" w:sz="4" w:space="0"/>
              <w:right w:val="single" w:color="auto" w:sz="4" w:space="0"/>
            </w:tcBorders>
            <w:noWrap w:val="0"/>
            <w:vAlign w:val="center"/>
          </w:tcPr>
          <w:p w14:paraId="2FB2AE2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110B084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323DC31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提供的课程推广服务需包含①推广计划及推广方式；②应用赋能举措，共2项内容，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总分6分。</w:t>
            </w:r>
          </w:p>
          <w:p w14:paraId="71FD39C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其中，每项以具体内容与本项目的针对性、可行性、方案完善性作为采分点；每个采分点按照1分、0.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49B5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vMerge w:val="restart"/>
            <w:tcBorders>
              <w:left w:val="single" w:color="auto" w:sz="4" w:space="0"/>
              <w:right w:val="single" w:color="auto" w:sz="4" w:space="0"/>
            </w:tcBorders>
            <w:noWrap w:val="0"/>
            <w:vAlign w:val="center"/>
          </w:tcPr>
          <w:p w14:paraId="1377C54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Style w:val="41"/>
                <w:rFonts w:hint="eastAsia" w:ascii="宋体" w:hAnsi="宋体" w:eastAsia="宋体" w:cs="宋体"/>
                <w:color w:val="auto"/>
                <w:kern w:val="2"/>
                <w:sz w:val="24"/>
                <w:szCs w:val="24"/>
                <w:highlight w:val="none"/>
                <w:lang w:val="en-US" w:eastAsia="zh-CN" w:bidi="ar"/>
              </w:rPr>
              <w:t>培训及指导方案</w:t>
            </w:r>
          </w:p>
        </w:tc>
        <w:tc>
          <w:tcPr>
            <w:tcW w:w="566" w:type="pct"/>
            <w:vMerge w:val="restart"/>
            <w:tcBorders>
              <w:top w:val="single" w:color="auto" w:sz="4" w:space="0"/>
              <w:left w:val="single" w:color="auto" w:sz="4" w:space="0"/>
              <w:right w:val="single" w:color="auto" w:sz="4" w:space="0"/>
            </w:tcBorders>
            <w:noWrap w:val="0"/>
            <w:vAlign w:val="center"/>
          </w:tcPr>
          <w:p w14:paraId="314AAB4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2793CBA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1CBF3E7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提供的培训及指导方案需包括①培训指导计划（包括培训对象、培训方式、培训地点、培训时间等）及培训指导内容（包括日常维护、平台操作及注意事项的全过程培训）；共1项内容，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总分3分。</w:t>
            </w:r>
          </w:p>
          <w:p w14:paraId="3C574ED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其中，每项以具体内容与本项目的针对性、可行性、方案完善性作为采分点；每个采分点按照1分、0.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60A9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vMerge w:val="continue"/>
            <w:tcBorders>
              <w:left w:val="single" w:color="auto" w:sz="4" w:space="0"/>
              <w:right w:val="single" w:color="auto" w:sz="4" w:space="0"/>
            </w:tcBorders>
            <w:noWrap w:val="0"/>
            <w:vAlign w:val="center"/>
          </w:tcPr>
          <w:p w14:paraId="2A9F6C06">
            <w:pPr>
              <w:keepNext w:val="0"/>
              <w:keepLines w:val="0"/>
              <w:pageBreakBefore w:val="0"/>
              <w:widowControl/>
              <w:kinsoku/>
              <w:wordWrap/>
              <w:overflowPunct/>
              <w:topLinePunct w:val="0"/>
              <w:autoSpaceDE/>
              <w:autoSpaceDN/>
              <w:bidi w:val="0"/>
              <w:spacing w:line="360" w:lineRule="auto"/>
              <w:jc w:val="center"/>
              <w:textAlignment w:val="auto"/>
              <w:rPr>
                <w:rStyle w:val="41"/>
                <w:rFonts w:hint="eastAsia" w:ascii="宋体" w:hAnsi="宋体" w:eastAsia="宋体" w:cs="宋体"/>
                <w:color w:val="auto"/>
                <w:kern w:val="2"/>
                <w:sz w:val="24"/>
                <w:szCs w:val="24"/>
                <w:highlight w:val="none"/>
                <w:lang w:val="en-US" w:eastAsia="zh-CN" w:bidi="ar"/>
              </w:rPr>
            </w:pPr>
          </w:p>
        </w:tc>
        <w:tc>
          <w:tcPr>
            <w:tcW w:w="566" w:type="pct"/>
            <w:vMerge w:val="continue"/>
            <w:tcBorders>
              <w:left w:val="single" w:color="auto" w:sz="4" w:space="0"/>
              <w:bottom w:val="single" w:color="auto" w:sz="4" w:space="0"/>
              <w:right w:val="single" w:color="auto" w:sz="4" w:space="0"/>
            </w:tcBorders>
            <w:noWrap w:val="0"/>
            <w:vAlign w:val="center"/>
          </w:tcPr>
          <w:p w14:paraId="2CC67DE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p>
        </w:tc>
        <w:tc>
          <w:tcPr>
            <w:tcW w:w="3736" w:type="pct"/>
            <w:tcBorders>
              <w:top w:val="single" w:color="auto" w:sz="4" w:space="0"/>
              <w:left w:val="single" w:color="auto" w:sz="4" w:space="0"/>
              <w:bottom w:val="single" w:color="auto" w:sz="4" w:space="0"/>
              <w:right w:val="single" w:color="auto" w:sz="4" w:space="0"/>
            </w:tcBorders>
            <w:noWrap w:val="0"/>
            <w:vAlign w:val="center"/>
          </w:tcPr>
          <w:p w14:paraId="32E33D7F">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lang w:val="en-US" w:eastAsia="zh-CN"/>
              </w:rPr>
              <w:t>供应商针对本项目提供2次专项培训，在此基础上，每增加一次加1分，最多加3分。</w:t>
            </w:r>
          </w:p>
          <w:p w14:paraId="5D726E2B">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2.项目建设完成后，</w:t>
            </w:r>
            <w:r>
              <w:rPr>
                <w:rFonts w:hint="eastAsia" w:ascii="宋体" w:hAnsi="宋体" w:eastAsia="宋体" w:cs="宋体"/>
                <w:color w:val="auto"/>
                <w:sz w:val="24"/>
                <w:szCs w:val="24"/>
                <w:highlight w:val="none"/>
                <w:lang w:val="en-US" w:eastAsia="zh-CN"/>
              </w:rPr>
              <w:t>供应商针对本项目提供国、省</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行业相关虚拟仿真项目评奖评优指导1次，在此基础上，每增加一次加1分，最多加2分。</w:t>
            </w:r>
          </w:p>
          <w:p w14:paraId="79E3AC4D">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备注：供应商在响应文件中针对以上内容提供承诺，格式自拟。</w:t>
            </w:r>
          </w:p>
        </w:tc>
      </w:tr>
      <w:tr w14:paraId="7EA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6AA971FD">
            <w:pPr>
              <w:keepNext w:val="0"/>
              <w:keepLines w:val="0"/>
              <w:widowControl/>
              <w:suppressLineNumbers w:val="0"/>
              <w:spacing w:line="360" w:lineRule="auto"/>
              <w:jc w:val="center"/>
              <w:rPr>
                <w:rStyle w:val="41"/>
                <w:rFonts w:hint="eastAsia" w:ascii="宋体" w:hAnsi="宋体" w:eastAsia="宋体" w:cs="宋体"/>
                <w:color w:val="auto"/>
                <w:kern w:val="2"/>
                <w:sz w:val="24"/>
                <w:szCs w:val="24"/>
                <w:highlight w:val="none"/>
                <w:lang w:val="en-US" w:eastAsia="zh-CN" w:bidi="ar"/>
              </w:rPr>
            </w:pPr>
          </w:p>
          <w:p w14:paraId="01274929">
            <w:pPr>
              <w:keepNext w:val="0"/>
              <w:keepLines w:val="0"/>
              <w:widowControl/>
              <w:suppressLineNumbers w:val="0"/>
              <w:spacing w:line="360" w:lineRule="auto"/>
              <w:jc w:val="center"/>
              <w:rPr>
                <w:rFonts w:hint="eastAsia" w:ascii="宋体" w:hAnsi="宋体" w:eastAsia="宋体" w:cs="宋体"/>
                <w:color w:val="auto"/>
                <w:sz w:val="24"/>
                <w:szCs w:val="24"/>
                <w:highlight w:val="none"/>
              </w:rPr>
            </w:pPr>
            <w:r>
              <w:rPr>
                <w:rStyle w:val="41"/>
                <w:rFonts w:hint="eastAsia" w:ascii="宋体" w:hAnsi="宋体" w:eastAsia="宋体" w:cs="宋体"/>
                <w:color w:val="auto"/>
                <w:kern w:val="2"/>
                <w:sz w:val="24"/>
                <w:szCs w:val="24"/>
                <w:highlight w:val="none"/>
                <w:lang w:val="en-US" w:eastAsia="zh-CN" w:bidi="ar"/>
              </w:rPr>
              <w:t>增值服务</w:t>
            </w:r>
          </w:p>
          <w:p w14:paraId="67235D6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Cs w:val="0"/>
                <w:color w:val="auto"/>
                <w:sz w:val="24"/>
                <w:szCs w:val="24"/>
                <w:highlight w:val="none"/>
                <w:lang w:val="en-US" w:eastAsia="zh-CN"/>
              </w:rPr>
            </w:pPr>
          </w:p>
        </w:tc>
        <w:tc>
          <w:tcPr>
            <w:tcW w:w="566" w:type="pct"/>
            <w:tcBorders>
              <w:top w:val="single" w:color="auto" w:sz="4" w:space="0"/>
              <w:left w:val="single" w:color="auto" w:sz="4" w:space="0"/>
              <w:bottom w:val="single" w:color="auto" w:sz="4" w:space="0"/>
              <w:right w:val="single" w:color="auto" w:sz="4" w:space="0"/>
            </w:tcBorders>
            <w:noWrap w:val="0"/>
            <w:vAlign w:val="center"/>
          </w:tcPr>
          <w:p w14:paraId="5E0113D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2A3A01E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227B1479">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1.供应商承诺针对本项目提供关于虚拟仿真教学资源开发的标准规范或操作手册，得1分；未提供或提供不全不得分；</w:t>
            </w:r>
          </w:p>
          <w:p w14:paraId="38E70C32">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2.供应商承诺针对本项目虚拟仿真教学资源相关技术内容，于2027年6月前完成至少1项相关发明专利申报工作并获得相关证书，得1分；未提供或提供不全不得分；</w:t>
            </w:r>
          </w:p>
          <w:p w14:paraId="53BBB5BB">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备注：供应商在响应文件中提供以上承诺，格式自拟。</w:t>
            </w:r>
          </w:p>
        </w:tc>
      </w:tr>
      <w:tr w14:paraId="4DC6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6B3F94C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566" w:type="pct"/>
            <w:tcBorders>
              <w:top w:val="single" w:color="auto" w:sz="4" w:space="0"/>
              <w:left w:val="single" w:color="auto" w:sz="4" w:space="0"/>
              <w:right w:val="single" w:color="auto" w:sz="4" w:space="0"/>
            </w:tcBorders>
            <w:noWrap w:val="0"/>
            <w:vAlign w:val="center"/>
          </w:tcPr>
          <w:p w14:paraId="0037B65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16E9E763">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供应商在响应文件中提供该供应商</w:t>
            </w:r>
            <w:r>
              <w:rPr>
                <w:rFonts w:hint="eastAsia" w:ascii="宋体" w:hAnsi="宋体" w:eastAsia="宋体" w:cs="宋体"/>
                <w:color w:val="auto"/>
                <w:sz w:val="24"/>
                <w:szCs w:val="24"/>
                <w:highlight w:val="none"/>
              </w:rPr>
              <w:t>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月1日起至今已完成的类似业绩</w:t>
            </w:r>
            <w:r>
              <w:rPr>
                <w:rFonts w:hint="eastAsia" w:ascii="宋体" w:hAnsi="宋体" w:eastAsia="宋体" w:cs="宋体"/>
                <w:color w:val="auto"/>
                <w:sz w:val="24"/>
                <w:szCs w:val="24"/>
                <w:highlight w:val="none"/>
                <w:lang w:val="en-US" w:eastAsia="zh-CN"/>
              </w:rPr>
              <w:t>证明材料</w:t>
            </w:r>
            <w:r>
              <w:rPr>
                <w:rFonts w:hint="eastAsia" w:ascii="宋体" w:hAnsi="宋体" w:eastAsia="宋体" w:cs="宋体"/>
                <w:color w:val="auto"/>
                <w:sz w:val="24"/>
                <w:szCs w:val="24"/>
                <w:highlight w:val="none"/>
              </w:rPr>
              <w:t>，每提供1项业绩证明材料的得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分，本项最多得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4B185CCD">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备注：以供应商提供的合同复印件或扫描件为准，时间以合同中所体现的时间为准。</w:t>
            </w:r>
          </w:p>
        </w:tc>
      </w:tr>
    </w:tbl>
    <w:p w14:paraId="59EF8CED">
      <w:pPr>
        <w:pStyle w:val="49"/>
        <w:rPr>
          <w:rFonts w:hint="eastAsia"/>
          <w:lang w:eastAsia="zh-CN"/>
        </w:rPr>
      </w:pPr>
    </w:p>
    <w:p w14:paraId="75ECD16B">
      <w:pPr>
        <w:pStyle w:val="2"/>
        <w:jc w:val="center"/>
        <w:rPr>
          <w:rFonts w:hint="eastAsia" w:ascii="黑体" w:hAnsi="黑体" w:cs="黑体"/>
          <w:b/>
          <w:bCs/>
          <w:color w:val="000000"/>
          <w:szCs w:val="32"/>
        </w:rPr>
      </w:pPr>
      <w:r>
        <w:rPr>
          <w:rFonts w:hint="eastAsia" w:hAnsi="宋体"/>
          <w:b w:val="0"/>
          <w:color w:val="000000"/>
          <w:szCs w:val="32"/>
        </w:rPr>
        <w:br w:type="page"/>
      </w:r>
      <w:bookmarkStart w:id="400" w:name="_Toc12377628"/>
      <w:bookmarkStart w:id="401" w:name="_Toc20526"/>
      <w:bookmarkStart w:id="402" w:name="_Toc11465"/>
      <w:bookmarkStart w:id="403" w:name="_Toc10563643"/>
      <w:bookmarkStart w:id="404" w:name="_Toc10563101"/>
      <w:bookmarkStart w:id="405" w:name="_Toc10621849"/>
      <w:bookmarkStart w:id="406" w:name="_Toc19583"/>
      <w:bookmarkStart w:id="407" w:name="_Toc31921"/>
      <w:r>
        <w:rPr>
          <w:rFonts w:hint="eastAsia" w:ascii="黑体" w:hAnsi="黑体" w:cs="黑体"/>
          <w:b/>
          <w:bCs/>
          <w:color w:val="000000"/>
          <w:szCs w:val="32"/>
          <w:highlight w:val="none"/>
        </w:rPr>
        <w:t>第五章  拟签订的合同</w:t>
      </w:r>
      <w:bookmarkEnd w:id="397"/>
      <w:bookmarkEnd w:id="398"/>
      <w:r>
        <w:rPr>
          <w:rFonts w:hint="eastAsia" w:ascii="黑体" w:hAnsi="黑体" w:cs="黑体"/>
          <w:b/>
          <w:bCs/>
          <w:color w:val="000000"/>
          <w:szCs w:val="32"/>
          <w:highlight w:val="none"/>
        </w:rPr>
        <w:t>文本</w:t>
      </w:r>
      <w:bookmarkEnd w:id="400"/>
      <w:bookmarkEnd w:id="401"/>
      <w:bookmarkEnd w:id="402"/>
      <w:bookmarkEnd w:id="403"/>
      <w:bookmarkEnd w:id="404"/>
      <w:bookmarkEnd w:id="405"/>
      <w:bookmarkEnd w:id="406"/>
      <w:bookmarkEnd w:id="407"/>
    </w:p>
    <w:p w14:paraId="60BA4187">
      <w:pPr>
        <w:spacing w:line="440" w:lineRule="exact"/>
        <w:jc w:val="center"/>
        <w:rPr>
          <w:rFonts w:hint="eastAsia" w:ascii="宋体" w:hAnsi="宋体" w:cs="宋体"/>
          <w:sz w:val="24"/>
          <w:szCs w:val="24"/>
        </w:rPr>
      </w:pPr>
      <w:r>
        <w:rPr>
          <w:rFonts w:hint="eastAsia" w:ascii="宋体" w:hAnsi="宋体" w:cs="宋体"/>
          <w:sz w:val="24"/>
          <w:szCs w:val="24"/>
        </w:rPr>
        <w:t>（合同签订时采购人有权根据供应商响应文件中的内容及承诺对合同内容进行补充和完善）</w:t>
      </w:r>
    </w:p>
    <w:bookmarkEnd w:id="399"/>
    <w:p w14:paraId="2666F3CB">
      <w:pPr>
        <w:pStyle w:val="94"/>
        <w:jc w:val="center"/>
        <w:rPr>
          <w:rFonts w:hint="default"/>
        </w:rPr>
      </w:pPr>
      <w:bookmarkStart w:id="408" w:name="_Toc511316297"/>
      <w:bookmarkStart w:id="409" w:name="_Toc12377629"/>
      <w:bookmarkStart w:id="410" w:name="_Toc10563644"/>
      <w:bookmarkStart w:id="411" w:name="_Toc10563102"/>
      <w:bookmarkStart w:id="412" w:name="_Toc10621850"/>
      <w:bookmarkStart w:id="413" w:name="_Toc25895"/>
      <w:r>
        <w:rPr>
          <w:b/>
          <w:color w:val="000000"/>
          <w:sz w:val="40"/>
          <w:u w:val="single"/>
        </w:rPr>
        <w:t xml:space="preserve">                            </w:t>
      </w:r>
      <w:r>
        <w:rPr>
          <w:rFonts w:hint="eastAsia"/>
          <w:b/>
          <w:color w:val="000000"/>
          <w:sz w:val="40"/>
          <w:u w:val="none"/>
          <w:lang w:val="en-US" w:eastAsia="zh-CN"/>
        </w:rPr>
        <w:t>项</w:t>
      </w:r>
      <w:r>
        <w:rPr>
          <w:b/>
          <w:color w:val="000000"/>
          <w:sz w:val="40"/>
        </w:rPr>
        <w:t>目</w:t>
      </w:r>
    </w:p>
    <w:p w14:paraId="69F51E4F">
      <w:pPr>
        <w:pStyle w:val="94"/>
        <w:spacing w:line="360" w:lineRule="auto"/>
        <w:jc w:val="center"/>
        <w:rPr>
          <w:rFonts w:hint="default"/>
          <w:b/>
          <w:sz w:val="36"/>
        </w:rPr>
      </w:pPr>
    </w:p>
    <w:p w14:paraId="36C1B741">
      <w:pPr>
        <w:pStyle w:val="94"/>
        <w:spacing w:line="360" w:lineRule="auto"/>
        <w:jc w:val="center"/>
        <w:rPr>
          <w:rFonts w:hint="default"/>
          <w:b/>
          <w:sz w:val="36"/>
        </w:rPr>
      </w:pPr>
    </w:p>
    <w:p w14:paraId="1070C164">
      <w:pPr>
        <w:pStyle w:val="94"/>
        <w:spacing w:line="360" w:lineRule="auto"/>
        <w:jc w:val="center"/>
        <w:rPr>
          <w:rFonts w:hint="default"/>
          <w:b/>
          <w:sz w:val="36"/>
        </w:rPr>
      </w:pPr>
    </w:p>
    <w:p w14:paraId="07EDA42B">
      <w:pPr>
        <w:pStyle w:val="94"/>
        <w:spacing w:line="360" w:lineRule="auto"/>
        <w:jc w:val="both"/>
        <w:rPr>
          <w:rFonts w:hint="default"/>
          <w:b/>
          <w:sz w:val="84"/>
        </w:rPr>
      </w:pPr>
    </w:p>
    <w:p w14:paraId="556620D7">
      <w:pPr>
        <w:pStyle w:val="94"/>
        <w:spacing w:line="360" w:lineRule="auto"/>
        <w:jc w:val="both"/>
        <w:rPr>
          <w:rFonts w:hint="default"/>
          <w:b/>
          <w:sz w:val="84"/>
        </w:rPr>
      </w:pPr>
    </w:p>
    <w:p w14:paraId="1FB7B48E">
      <w:pPr>
        <w:pStyle w:val="94"/>
        <w:spacing w:line="360" w:lineRule="auto"/>
        <w:jc w:val="both"/>
        <w:rPr>
          <w:rFonts w:hint="default"/>
        </w:rPr>
      </w:pPr>
      <w:r>
        <w:rPr>
          <w:b/>
          <w:sz w:val="84"/>
        </w:rPr>
        <w:t xml:space="preserve"> </w:t>
      </w:r>
    </w:p>
    <w:p w14:paraId="3EA2F707">
      <w:pPr>
        <w:pStyle w:val="94"/>
        <w:spacing w:line="360" w:lineRule="auto"/>
        <w:jc w:val="center"/>
        <w:rPr>
          <w:rFonts w:hint="default"/>
        </w:rPr>
      </w:pPr>
      <w:r>
        <w:rPr>
          <w:b/>
          <w:sz w:val="84"/>
        </w:rPr>
        <w:t>采购合同</w:t>
      </w:r>
    </w:p>
    <w:p w14:paraId="4B0EF70B">
      <w:pPr>
        <w:pStyle w:val="94"/>
        <w:spacing w:line="360" w:lineRule="auto"/>
        <w:ind w:firstLine="1285" w:firstLineChars="400"/>
        <w:jc w:val="both"/>
        <w:rPr>
          <w:rFonts w:hint="default"/>
        </w:rPr>
      </w:pPr>
      <w:r>
        <w:rPr>
          <w:b/>
          <w:sz w:val="32"/>
        </w:rPr>
        <w:t>项目编号：</w:t>
      </w:r>
      <w:r>
        <w:rPr>
          <w:b/>
          <w:sz w:val="32"/>
          <w:u w:val="single"/>
        </w:rPr>
        <w:t xml:space="preserve">                     </w:t>
      </w:r>
    </w:p>
    <w:p w14:paraId="5B526C97">
      <w:pPr>
        <w:pStyle w:val="94"/>
        <w:spacing w:line="360" w:lineRule="auto"/>
        <w:jc w:val="center"/>
        <w:rPr>
          <w:rFonts w:hint="default"/>
        </w:rPr>
      </w:pPr>
      <w:r>
        <w:rPr>
          <w:b/>
          <w:sz w:val="36"/>
        </w:rPr>
        <w:t xml:space="preserve"> </w:t>
      </w:r>
    </w:p>
    <w:p w14:paraId="08844C4A">
      <w:pPr>
        <w:pStyle w:val="94"/>
        <w:spacing w:line="360" w:lineRule="auto"/>
        <w:jc w:val="both"/>
        <w:rPr>
          <w:rFonts w:hint="default"/>
        </w:rPr>
      </w:pPr>
      <w:r>
        <w:rPr>
          <w:b/>
          <w:sz w:val="32"/>
        </w:rPr>
        <w:t xml:space="preserve"> </w:t>
      </w:r>
    </w:p>
    <w:p w14:paraId="02E3F03B">
      <w:pPr>
        <w:pStyle w:val="94"/>
        <w:spacing w:line="360" w:lineRule="auto"/>
        <w:jc w:val="both"/>
        <w:rPr>
          <w:rFonts w:hint="default"/>
        </w:rPr>
      </w:pPr>
      <w:r>
        <w:rPr>
          <w:b/>
          <w:sz w:val="32"/>
        </w:rPr>
        <w:t xml:space="preserve"> </w:t>
      </w:r>
    </w:p>
    <w:p w14:paraId="7270580B">
      <w:pPr>
        <w:pStyle w:val="94"/>
        <w:spacing w:line="360" w:lineRule="auto"/>
        <w:jc w:val="both"/>
        <w:rPr>
          <w:rFonts w:hint="default"/>
        </w:rPr>
      </w:pPr>
      <w:r>
        <w:rPr>
          <w:b/>
          <w:sz w:val="32"/>
        </w:rPr>
        <w:t xml:space="preserve"> </w:t>
      </w:r>
    </w:p>
    <w:p w14:paraId="0E89B883">
      <w:pPr>
        <w:pStyle w:val="94"/>
        <w:spacing w:line="360" w:lineRule="auto"/>
        <w:jc w:val="both"/>
        <w:rPr>
          <w:rFonts w:hint="default"/>
        </w:rPr>
      </w:pPr>
      <w:r>
        <w:rPr>
          <w:b/>
          <w:sz w:val="32"/>
        </w:rPr>
        <w:t xml:space="preserve"> </w:t>
      </w:r>
    </w:p>
    <w:p w14:paraId="2AC11859">
      <w:pPr>
        <w:pStyle w:val="94"/>
        <w:spacing w:line="360" w:lineRule="auto"/>
        <w:ind w:firstLine="1124"/>
        <w:rPr>
          <w:rFonts w:hint="eastAsia" w:eastAsia="宋体"/>
          <w:lang w:val="en-US" w:eastAsia="zh-CN"/>
        </w:rPr>
      </w:pPr>
      <w:r>
        <w:rPr>
          <w:b/>
          <w:sz w:val="32"/>
        </w:rPr>
        <w:t>甲   方：</w:t>
      </w:r>
      <w:r>
        <w:rPr>
          <w:rFonts w:hint="eastAsia"/>
          <w:b/>
          <w:sz w:val="32"/>
        </w:rPr>
        <w:t xml:space="preserve"> </w:t>
      </w:r>
      <w:r>
        <w:rPr>
          <w:rFonts w:hint="eastAsia"/>
          <w:b/>
          <w:sz w:val="32"/>
          <w:lang w:eastAsia="zh-CN"/>
        </w:rPr>
        <w:t>陕西能源职业技术学院</w:t>
      </w:r>
    </w:p>
    <w:p w14:paraId="712D36FB">
      <w:pPr>
        <w:pStyle w:val="94"/>
        <w:spacing w:line="360" w:lineRule="auto"/>
        <w:ind w:firstLine="1124"/>
        <w:rPr>
          <w:rFonts w:hint="default"/>
        </w:rPr>
      </w:pPr>
      <w:r>
        <w:rPr>
          <w:b/>
          <w:sz w:val="32"/>
        </w:rPr>
        <w:t>乙   方：</w:t>
      </w:r>
      <w:r>
        <w:rPr>
          <w:b/>
          <w:sz w:val="32"/>
          <w:u w:val="single"/>
        </w:rPr>
        <w:t xml:space="preserve">                             </w:t>
      </w:r>
    </w:p>
    <w:p w14:paraId="62B1F324">
      <w:pPr>
        <w:pStyle w:val="94"/>
        <w:spacing w:line="360" w:lineRule="auto"/>
        <w:jc w:val="center"/>
        <w:rPr>
          <w:rFonts w:hint="default"/>
        </w:rPr>
      </w:pPr>
      <w:r>
        <w:rPr>
          <w:b/>
          <w:sz w:val="36"/>
        </w:rPr>
        <w:t xml:space="preserve"> 二〇二</w:t>
      </w:r>
      <w:r>
        <w:rPr>
          <w:b/>
          <w:sz w:val="36"/>
          <w:u w:val="single"/>
        </w:rPr>
        <w:t xml:space="preserve">   </w:t>
      </w:r>
      <w:r>
        <w:rPr>
          <w:b/>
          <w:sz w:val="36"/>
        </w:rPr>
        <w:t>年 月 日</w:t>
      </w:r>
    </w:p>
    <w:p w14:paraId="6B906E56">
      <w:pPr>
        <w:pStyle w:val="94"/>
        <w:spacing w:line="360" w:lineRule="auto"/>
        <w:jc w:val="center"/>
        <w:rPr>
          <w:rFonts w:hint="default"/>
        </w:rPr>
      </w:pPr>
    </w:p>
    <w:p w14:paraId="0EE91F0E">
      <w:pPr>
        <w:pStyle w:val="94"/>
        <w:spacing w:line="360" w:lineRule="auto"/>
        <w:jc w:val="center"/>
        <w:rPr>
          <w:b/>
          <w:sz w:val="44"/>
        </w:rPr>
      </w:pPr>
    </w:p>
    <w:p w14:paraId="41C6DD37">
      <w:pPr>
        <w:pStyle w:val="94"/>
        <w:spacing w:line="360" w:lineRule="auto"/>
        <w:jc w:val="center"/>
        <w:rPr>
          <w:rFonts w:hint="default"/>
        </w:rPr>
      </w:pPr>
      <w:r>
        <w:rPr>
          <w:b/>
          <w:sz w:val="44"/>
        </w:rPr>
        <w:t>采购合同</w:t>
      </w:r>
    </w:p>
    <w:p w14:paraId="636ED297">
      <w:pPr>
        <w:pStyle w:val="94"/>
        <w:spacing w:line="360" w:lineRule="auto"/>
        <w:ind w:firstLine="472"/>
        <w:jc w:val="both"/>
        <w:rPr>
          <w:rFonts w:hint="eastAsia" w:eastAsia="宋体"/>
          <w:lang w:eastAsia="zh-CN"/>
        </w:rPr>
      </w:pPr>
      <w:r>
        <w:rPr>
          <w:b/>
          <w:sz w:val="24"/>
        </w:rPr>
        <w:t>甲方：</w:t>
      </w:r>
      <w:r>
        <w:rPr>
          <w:rFonts w:hint="eastAsia"/>
          <w:b/>
          <w:sz w:val="24"/>
        </w:rPr>
        <w:t xml:space="preserve"> </w:t>
      </w:r>
      <w:r>
        <w:rPr>
          <w:rFonts w:hint="eastAsia"/>
          <w:b/>
          <w:sz w:val="24"/>
          <w:lang w:eastAsia="zh-CN"/>
        </w:rPr>
        <w:t>陕西能源职业技术学院</w:t>
      </w:r>
    </w:p>
    <w:p w14:paraId="1C15EF10">
      <w:pPr>
        <w:pStyle w:val="94"/>
        <w:spacing w:line="360" w:lineRule="auto"/>
        <w:ind w:firstLine="482"/>
        <w:jc w:val="both"/>
        <w:rPr>
          <w:rFonts w:hint="default"/>
        </w:rPr>
      </w:pPr>
      <w:r>
        <w:rPr>
          <w:b/>
          <w:sz w:val="24"/>
        </w:rPr>
        <w:t>地址：陕西省咸阳市文林路中段</w:t>
      </w:r>
    </w:p>
    <w:p w14:paraId="34FD3A7F">
      <w:pPr>
        <w:pStyle w:val="94"/>
        <w:spacing w:line="360" w:lineRule="auto"/>
        <w:ind w:firstLine="482"/>
        <w:jc w:val="both"/>
        <w:rPr>
          <w:rFonts w:hint="default"/>
        </w:rPr>
      </w:pPr>
      <w:r>
        <w:rPr>
          <w:b/>
          <w:sz w:val="24"/>
        </w:rPr>
        <w:t>联系人：</w:t>
      </w:r>
      <w:r>
        <w:rPr>
          <w:b/>
          <w:sz w:val="24"/>
          <w:u w:val="single"/>
        </w:rPr>
        <w:t xml:space="preserve">                        </w:t>
      </w:r>
    </w:p>
    <w:p w14:paraId="3AB72C9C">
      <w:pPr>
        <w:pStyle w:val="94"/>
        <w:spacing w:line="360" w:lineRule="auto"/>
        <w:ind w:firstLine="482"/>
        <w:jc w:val="both"/>
        <w:rPr>
          <w:rFonts w:hint="default"/>
        </w:rPr>
      </w:pPr>
      <w:r>
        <w:rPr>
          <w:b/>
          <w:sz w:val="24"/>
        </w:rPr>
        <w:t>E-mail：</w:t>
      </w:r>
      <w:r>
        <w:rPr>
          <w:b/>
          <w:sz w:val="24"/>
          <w:u w:val="single"/>
        </w:rPr>
        <w:t xml:space="preserve">                        </w:t>
      </w:r>
    </w:p>
    <w:p w14:paraId="6B332659">
      <w:pPr>
        <w:pStyle w:val="94"/>
        <w:spacing w:line="360" w:lineRule="auto"/>
        <w:ind w:firstLine="482"/>
        <w:jc w:val="both"/>
        <w:rPr>
          <w:rFonts w:hint="default"/>
        </w:rPr>
      </w:pPr>
      <w:r>
        <w:rPr>
          <w:b/>
          <w:sz w:val="24"/>
        </w:rPr>
        <w:t>联系电话：</w:t>
      </w:r>
      <w:r>
        <w:rPr>
          <w:b/>
          <w:sz w:val="24"/>
          <w:u w:val="single"/>
        </w:rPr>
        <w:t xml:space="preserve">                       </w:t>
      </w:r>
    </w:p>
    <w:p w14:paraId="098D93ED">
      <w:pPr>
        <w:pStyle w:val="94"/>
        <w:spacing w:line="360" w:lineRule="auto"/>
        <w:ind w:firstLine="482"/>
        <w:jc w:val="both"/>
        <w:rPr>
          <w:rFonts w:hint="default"/>
        </w:rPr>
      </w:pPr>
      <w:r>
        <w:rPr>
          <w:b/>
          <w:sz w:val="24"/>
        </w:rPr>
        <w:t>传真：</w:t>
      </w:r>
      <w:r>
        <w:rPr>
          <w:b/>
          <w:sz w:val="24"/>
          <w:u w:val="single"/>
        </w:rPr>
        <w:t xml:space="preserve">                          </w:t>
      </w:r>
    </w:p>
    <w:p w14:paraId="49E8AF84">
      <w:pPr>
        <w:pStyle w:val="94"/>
        <w:spacing w:line="360" w:lineRule="auto"/>
        <w:ind w:firstLine="482"/>
        <w:jc w:val="both"/>
        <w:rPr>
          <w:rFonts w:hint="default"/>
        </w:rPr>
      </w:pPr>
      <w:r>
        <w:rPr>
          <w:b/>
          <w:sz w:val="24"/>
        </w:rPr>
        <w:t xml:space="preserve"> </w:t>
      </w:r>
    </w:p>
    <w:p w14:paraId="5DA66429">
      <w:pPr>
        <w:pStyle w:val="94"/>
        <w:spacing w:line="360" w:lineRule="auto"/>
        <w:ind w:firstLine="482"/>
        <w:jc w:val="both"/>
        <w:rPr>
          <w:rFonts w:hint="default"/>
        </w:rPr>
      </w:pPr>
      <w:r>
        <w:rPr>
          <w:b/>
          <w:sz w:val="24"/>
        </w:rPr>
        <w:t>乙方：</w:t>
      </w:r>
      <w:r>
        <w:rPr>
          <w:b/>
          <w:sz w:val="24"/>
          <w:u w:val="single"/>
        </w:rPr>
        <w:t xml:space="preserve">                          </w:t>
      </w:r>
    </w:p>
    <w:p w14:paraId="25254C57">
      <w:pPr>
        <w:pStyle w:val="94"/>
        <w:spacing w:line="360" w:lineRule="auto"/>
        <w:ind w:firstLine="482"/>
        <w:jc w:val="both"/>
        <w:rPr>
          <w:rFonts w:hint="default"/>
        </w:rPr>
      </w:pPr>
      <w:r>
        <w:rPr>
          <w:b/>
          <w:sz w:val="24"/>
        </w:rPr>
        <w:t>地址：</w:t>
      </w:r>
      <w:r>
        <w:rPr>
          <w:b/>
          <w:sz w:val="24"/>
          <w:u w:val="single"/>
        </w:rPr>
        <w:t xml:space="preserve">                          </w:t>
      </w:r>
    </w:p>
    <w:p w14:paraId="0A00B23B">
      <w:pPr>
        <w:pStyle w:val="94"/>
        <w:spacing w:line="360" w:lineRule="auto"/>
        <w:ind w:firstLine="482"/>
        <w:jc w:val="both"/>
        <w:rPr>
          <w:rFonts w:hint="default"/>
        </w:rPr>
      </w:pPr>
      <w:r>
        <w:rPr>
          <w:b/>
          <w:sz w:val="24"/>
        </w:rPr>
        <w:t>联系人：</w:t>
      </w:r>
      <w:r>
        <w:rPr>
          <w:b/>
          <w:sz w:val="24"/>
          <w:u w:val="single"/>
        </w:rPr>
        <w:t xml:space="preserve">                          </w:t>
      </w:r>
      <w:r>
        <w:rPr>
          <w:sz w:val="24"/>
        </w:rPr>
        <w:t xml:space="preserve">   </w:t>
      </w:r>
    </w:p>
    <w:p w14:paraId="3106D716">
      <w:pPr>
        <w:pStyle w:val="94"/>
        <w:spacing w:line="360" w:lineRule="auto"/>
        <w:ind w:firstLine="482"/>
        <w:jc w:val="both"/>
        <w:rPr>
          <w:rFonts w:hint="default"/>
        </w:rPr>
      </w:pPr>
      <w:r>
        <w:rPr>
          <w:b/>
          <w:sz w:val="24"/>
        </w:rPr>
        <w:t>E-mail：</w:t>
      </w:r>
      <w:r>
        <w:rPr>
          <w:b/>
          <w:sz w:val="24"/>
          <w:u w:val="single"/>
        </w:rPr>
        <w:t xml:space="preserve">                          </w:t>
      </w:r>
    </w:p>
    <w:p w14:paraId="176C71D6">
      <w:pPr>
        <w:pStyle w:val="94"/>
        <w:spacing w:line="360" w:lineRule="auto"/>
        <w:ind w:firstLine="482"/>
        <w:jc w:val="both"/>
        <w:rPr>
          <w:rFonts w:hint="default"/>
        </w:rPr>
      </w:pPr>
      <w:r>
        <w:rPr>
          <w:b/>
          <w:sz w:val="24"/>
        </w:rPr>
        <w:t>联系电话：</w:t>
      </w:r>
      <w:r>
        <w:rPr>
          <w:b/>
          <w:sz w:val="24"/>
          <w:u w:val="single"/>
        </w:rPr>
        <w:t xml:space="preserve">                         </w:t>
      </w:r>
    </w:p>
    <w:p w14:paraId="5C42E5AE">
      <w:pPr>
        <w:pStyle w:val="94"/>
        <w:spacing w:line="360" w:lineRule="auto"/>
        <w:ind w:firstLine="482"/>
        <w:jc w:val="both"/>
        <w:rPr>
          <w:rFonts w:hint="default"/>
        </w:rPr>
      </w:pPr>
      <w:r>
        <w:rPr>
          <w:b/>
          <w:sz w:val="24"/>
        </w:rPr>
        <w:t>传真：</w:t>
      </w:r>
      <w:r>
        <w:rPr>
          <w:b/>
          <w:sz w:val="24"/>
          <w:u w:val="single"/>
        </w:rPr>
        <w:t xml:space="preserve">                          </w:t>
      </w:r>
    </w:p>
    <w:p w14:paraId="2DBFCD82">
      <w:pPr>
        <w:pStyle w:val="94"/>
        <w:spacing w:line="360" w:lineRule="auto"/>
        <w:jc w:val="both"/>
        <w:rPr>
          <w:rFonts w:hint="default"/>
        </w:rPr>
      </w:pPr>
      <w:r>
        <w:rPr>
          <w:b/>
          <w:sz w:val="24"/>
        </w:rPr>
        <w:t xml:space="preserve"> </w:t>
      </w:r>
    </w:p>
    <w:p w14:paraId="5A038C2F">
      <w:pPr>
        <w:pStyle w:val="94"/>
        <w:spacing w:line="360" w:lineRule="auto"/>
        <w:ind w:firstLine="470"/>
        <w:jc w:val="both"/>
        <w:rPr>
          <w:rFonts w:hint="default"/>
        </w:rPr>
      </w:pPr>
      <w:r>
        <w:rPr>
          <w:sz w:val="24"/>
        </w:rPr>
        <w:t>甲、乙双根据《中华人民共和国民法典》及其他有关法律法规的规定，甲方通过公开招标，选定乙方为</w:t>
      </w:r>
      <w:r>
        <w:rPr>
          <w:sz w:val="24"/>
          <w:u w:val="single"/>
        </w:rPr>
        <w:t xml:space="preserve">     </w:t>
      </w:r>
      <w:r>
        <w:rPr>
          <w:sz w:val="24"/>
        </w:rPr>
        <w:t>的中标人。双遵循自愿、公平、诚实信用的原则，经平等协商，特订立本合同，供双履行。</w:t>
      </w:r>
    </w:p>
    <w:p w14:paraId="0577ACF3">
      <w:pPr>
        <w:pStyle w:val="94"/>
        <w:spacing w:line="360" w:lineRule="auto"/>
        <w:jc w:val="both"/>
        <w:rPr>
          <w:rFonts w:hint="eastAsia" w:eastAsia="宋体"/>
          <w:lang w:eastAsia="zh-CN"/>
        </w:rPr>
      </w:pPr>
      <w:r>
        <w:rPr>
          <w:b/>
          <w:sz w:val="24"/>
        </w:rPr>
        <w:t>一、合同</w:t>
      </w:r>
      <w:r>
        <w:rPr>
          <w:rFonts w:hint="eastAsia"/>
          <w:b/>
          <w:sz w:val="24"/>
          <w:lang w:val="en-US" w:eastAsia="zh-CN"/>
        </w:rPr>
        <w:t>服务内容</w:t>
      </w:r>
    </w:p>
    <w:p w14:paraId="58E6F0D6">
      <w:pPr>
        <w:pStyle w:val="94"/>
        <w:spacing w:line="360" w:lineRule="auto"/>
        <w:ind w:firstLine="480"/>
        <w:jc w:val="both"/>
        <w:rPr>
          <w:rFonts w:hint="eastAsia"/>
          <w:u w:val="single"/>
          <w:lang w:val="en-US" w:eastAsia="zh-CN"/>
        </w:rPr>
      </w:pPr>
      <w:r>
        <w:rPr>
          <w:sz w:val="24"/>
          <w:u w:val="single"/>
        </w:rPr>
        <w:t xml:space="preserve"> </w:t>
      </w:r>
      <w:r>
        <w:rPr>
          <w:rFonts w:hint="eastAsia"/>
          <w:u w:val="single"/>
          <w:lang w:val="en-US" w:eastAsia="zh-CN"/>
        </w:rPr>
        <w:t xml:space="preserve">                                                  </w:t>
      </w:r>
    </w:p>
    <w:p w14:paraId="4B9484B7">
      <w:pPr>
        <w:pStyle w:val="94"/>
        <w:spacing w:line="360" w:lineRule="auto"/>
        <w:jc w:val="both"/>
        <w:rPr>
          <w:rFonts w:hint="default"/>
        </w:rPr>
      </w:pPr>
      <w:r>
        <w:rPr>
          <w:b/>
          <w:sz w:val="24"/>
        </w:rPr>
        <w:t>二、采购内容</w:t>
      </w:r>
    </w:p>
    <w:p w14:paraId="5891AD6B">
      <w:pPr>
        <w:pStyle w:val="94"/>
        <w:spacing w:line="360" w:lineRule="auto"/>
        <w:ind w:firstLine="480"/>
        <w:rPr>
          <w:rFonts w:hint="default"/>
        </w:rPr>
      </w:pPr>
      <w:r>
        <w:rPr>
          <w:rFonts w:hint="eastAsia" w:cs="宋体"/>
          <w:sz w:val="24"/>
          <w:lang w:val="en-US" w:eastAsia="zh-CN"/>
        </w:rPr>
        <w:t>陕西能源职业技术学院2026年煤矿安全类虚拟仿真课程建设项目</w:t>
      </w:r>
      <w:r>
        <w:rPr>
          <w:rFonts w:hint="eastAsia" w:ascii="宋体" w:hAnsi="宋体" w:eastAsia="宋体" w:cs="宋体"/>
          <w:sz w:val="24"/>
          <w:lang w:val="en-US" w:eastAsia="zh-CN"/>
        </w:rPr>
        <w:t>磋商</w:t>
      </w:r>
      <w:r>
        <w:rPr>
          <w:rFonts w:hint="eastAsia" w:ascii="宋体" w:hAnsi="宋体" w:eastAsia="宋体" w:cs="宋体"/>
          <w:sz w:val="24"/>
        </w:rPr>
        <w:t>文件、澄清文件及采购合同所涵盖的全部内容</w:t>
      </w:r>
    </w:p>
    <w:p w14:paraId="7CB6B5E3">
      <w:pPr>
        <w:pStyle w:val="94"/>
        <w:spacing w:line="360" w:lineRule="auto"/>
        <w:jc w:val="both"/>
        <w:rPr>
          <w:rFonts w:hint="default"/>
        </w:rPr>
      </w:pPr>
      <w:r>
        <w:rPr>
          <w:sz w:val="24"/>
        </w:rPr>
        <w:t>三、</w:t>
      </w:r>
      <w:r>
        <w:rPr>
          <w:b/>
          <w:sz w:val="24"/>
        </w:rPr>
        <w:t>时间地点交货条件</w:t>
      </w:r>
    </w:p>
    <w:p w14:paraId="6C22D180">
      <w:pPr>
        <w:pStyle w:val="94"/>
        <w:spacing w:line="360" w:lineRule="auto"/>
        <w:ind w:firstLine="480"/>
        <w:jc w:val="both"/>
        <w:rPr>
          <w:rFonts w:hint="default"/>
        </w:rPr>
      </w:pPr>
      <w:r>
        <w:rPr>
          <w:sz w:val="24"/>
        </w:rPr>
        <w:t xml:space="preserve">3.1 </w:t>
      </w:r>
      <w:r>
        <w:rPr>
          <w:rFonts w:hint="eastAsia"/>
          <w:sz w:val="24"/>
          <w:lang w:val="en-US" w:eastAsia="zh-CN"/>
        </w:rPr>
        <w:t>服务</w:t>
      </w:r>
      <w:r>
        <w:rPr>
          <w:sz w:val="24"/>
        </w:rPr>
        <w:t>地点：采购人指定地点。</w:t>
      </w:r>
    </w:p>
    <w:p w14:paraId="14A1EB6C">
      <w:pPr>
        <w:pStyle w:val="94"/>
        <w:spacing w:line="360" w:lineRule="auto"/>
        <w:ind w:firstLine="480"/>
        <w:jc w:val="both"/>
        <w:rPr>
          <w:rFonts w:hint="default"/>
        </w:rPr>
      </w:pPr>
      <w:r>
        <w:rPr>
          <w:sz w:val="24"/>
        </w:rPr>
        <w:t xml:space="preserve">3.2 </w:t>
      </w:r>
      <w:r>
        <w:rPr>
          <w:rFonts w:hint="eastAsia"/>
          <w:sz w:val="24"/>
          <w:lang w:val="en-US" w:eastAsia="zh-CN"/>
        </w:rPr>
        <w:t>服务</w:t>
      </w:r>
      <w:r>
        <w:rPr>
          <w:sz w:val="24"/>
        </w:rPr>
        <w:t>期限：</w:t>
      </w:r>
      <w:r>
        <w:rPr>
          <w:sz w:val="24"/>
          <w:u w:val="single"/>
        </w:rPr>
        <w:t xml:space="preserve">                 </w:t>
      </w:r>
      <w:r>
        <w:rPr>
          <w:sz w:val="24"/>
        </w:rPr>
        <w:t>。</w:t>
      </w:r>
    </w:p>
    <w:p w14:paraId="46F067C4">
      <w:pPr>
        <w:pStyle w:val="94"/>
        <w:spacing w:line="360" w:lineRule="auto"/>
        <w:jc w:val="both"/>
        <w:rPr>
          <w:rFonts w:hint="default"/>
        </w:rPr>
      </w:pPr>
      <w:r>
        <w:rPr>
          <w:b/>
          <w:sz w:val="24"/>
        </w:rPr>
        <w:t>四、合同价格</w:t>
      </w:r>
    </w:p>
    <w:p w14:paraId="3613B172">
      <w:pPr>
        <w:pStyle w:val="94"/>
        <w:spacing w:line="360" w:lineRule="auto"/>
        <w:ind w:firstLine="480"/>
        <w:jc w:val="both"/>
        <w:rPr>
          <w:rFonts w:hint="default"/>
        </w:rPr>
      </w:pPr>
      <w:r>
        <w:rPr>
          <w:sz w:val="24"/>
        </w:rPr>
        <w:t>合同总价：</w:t>
      </w:r>
      <w:r>
        <w:rPr>
          <w:sz w:val="24"/>
          <w:u w:val="single"/>
        </w:rPr>
        <w:t xml:space="preserve">大写：     </w:t>
      </w:r>
    </w:p>
    <w:p w14:paraId="1610753E">
      <w:pPr>
        <w:pStyle w:val="94"/>
        <w:spacing w:line="360" w:lineRule="auto"/>
        <w:ind w:firstLine="1680"/>
        <w:jc w:val="both"/>
        <w:rPr>
          <w:rFonts w:hint="default"/>
        </w:rPr>
      </w:pPr>
      <w:r>
        <w:rPr>
          <w:sz w:val="24"/>
          <w:u w:val="single"/>
        </w:rPr>
        <w:t xml:space="preserve">小写：     </w:t>
      </w:r>
    </w:p>
    <w:p w14:paraId="61239928">
      <w:pPr>
        <w:pStyle w:val="94"/>
        <w:spacing w:line="360" w:lineRule="auto"/>
        <w:ind w:firstLine="480"/>
        <w:jc w:val="both"/>
        <w:rPr>
          <w:rFonts w:hint="default"/>
        </w:rPr>
      </w:pPr>
      <w:r>
        <w:rPr>
          <w:sz w:val="24"/>
        </w:rPr>
        <w:t>合同总价包括：</w:t>
      </w:r>
      <w:r>
        <w:rPr>
          <w:rFonts w:hint="eastAsia"/>
          <w:sz w:val="24"/>
          <w:lang w:val="en-US" w:eastAsia="zh-CN"/>
        </w:rPr>
        <w:t>包括但不限于人工费、材料费、服务费、规费、税金、利润、专用工具使用费等与之相关的一切直接费、间接费</w:t>
      </w:r>
      <w:r>
        <w:rPr>
          <w:sz w:val="24"/>
        </w:rPr>
        <w:t>。</w:t>
      </w:r>
    </w:p>
    <w:p w14:paraId="07BDADF9">
      <w:pPr>
        <w:pStyle w:val="93"/>
        <w:spacing w:line="360" w:lineRule="auto"/>
        <w:ind w:firstLine="0"/>
        <w:jc w:val="both"/>
        <w:rPr>
          <w:rFonts w:hint="eastAsia" w:ascii="宋体" w:hAnsi="宋体" w:eastAsia="宋体" w:cs="宋体"/>
          <w:b/>
          <w:bCs w:val="0"/>
          <w:kern w:val="2"/>
          <w:sz w:val="24"/>
          <w:szCs w:val="21"/>
          <w:lang w:val="en-US" w:eastAsia="zh-CN" w:bidi="ar-SA"/>
        </w:rPr>
      </w:pPr>
      <w:r>
        <w:rPr>
          <w:rFonts w:hint="eastAsia" w:ascii="宋体" w:hAnsi="宋体" w:eastAsia="宋体" w:cs="宋体"/>
          <w:b/>
          <w:bCs w:val="0"/>
          <w:kern w:val="2"/>
          <w:sz w:val="24"/>
          <w:szCs w:val="21"/>
          <w:lang w:val="en-US" w:eastAsia="zh-CN" w:bidi="ar-SA"/>
        </w:rPr>
        <w:t>五.付款方式：</w:t>
      </w:r>
    </w:p>
    <w:p w14:paraId="41E3DEB2">
      <w:pPr>
        <w:pStyle w:val="93"/>
        <w:spacing w:before="0" w:after="0" w:line="360" w:lineRule="auto"/>
        <w:ind w:left="0" w:right="0" w:firstLine="482"/>
        <w:jc w:val="both"/>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合同签订后甲方支付合同总价 40% 预付款；乙方供货服务完成并经甲方初验收合格，乙方提供全额发票后，甲方支付剩余 60%。</w:t>
      </w:r>
    </w:p>
    <w:p w14:paraId="07D8B6CA">
      <w:pPr>
        <w:pStyle w:val="94"/>
        <w:spacing w:line="360" w:lineRule="auto"/>
        <w:jc w:val="both"/>
        <w:rPr>
          <w:rFonts w:hint="default"/>
        </w:rPr>
      </w:pPr>
      <w:r>
        <w:rPr>
          <w:rFonts w:hint="eastAsia"/>
          <w:b/>
          <w:sz w:val="24"/>
          <w:lang w:val="en-US" w:eastAsia="zh-CN"/>
        </w:rPr>
        <w:t>六</w:t>
      </w:r>
      <w:r>
        <w:rPr>
          <w:b/>
          <w:sz w:val="24"/>
        </w:rPr>
        <w:t>、违约责任</w:t>
      </w:r>
    </w:p>
    <w:p w14:paraId="55ADD895">
      <w:pPr>
        <w:pStyle w:val="94"/>
        <w:spacing w:line="360" w:lineRule="auto"/>
        <w:ind w:firstLine="480"/>
        <w:jc w:val="both"/>
        <w:rPr>
          <w:rFonts w:hint="default"/>
          <w:sz w:val="24"/>
        </w:rPr>
      </w:pPr>
      <w:r>
        <w:rPr>
          <w:rFonts w:hint="default"/>
          <w:sz w:val="24"/>
        </w:rPr>
        <w:t>甲方权利与义务</w:t>
      </w:r>
    </w:p>
    <w:p w14:paraId="147CB120">
      <w:pPr>
        <w:pStyle w:val="94"/>
        <w:spacing w:line="360" w:lineRule="auto"/>
        <w:ind w:firstLine="480"/>
        <w:jc w:val="both"/>
        <w:rPr>
          <w:rFonts w:hint="default"/>
          <w:sz w:val="24"/>
        </w:rPr>
      </w:pPr>
      <w:r>
        <w:rPr>
          <w:rFonts w:hint="default"/>
          <w:sz w:val="24"/>
        </w:rPr>
        <w:t>有权对乙方的服务进行监督和检查，提出合理的意见和建议。</w:t>
      </w:r>
    </w:p>
    <w:p w14:paraId="5BA332C5">
      <w:pPr>
        <w:pStyle w:val="94"/>
        <w:spacing w:line="360" w:lineRule="auto"/>
        <w:ind w:firstLine="480"/>
        <w:jc w:val="both"/>
        <w:rPr>
          <w:rFonts w:hint="default"/>
          <w:sz w:val="24"/>
        </w:rPr>
      </w:pPr>
      <w:r>
        <w:rPr>
          <w:rFonts w:hint="default"/>
          <w:sz w:val="24"/>
        </w:rPr>
        <w:t>按照本合同的约定向乙方支付服务费用。</w:t>
      </w:r>
    </w:p>
    <w:p w14:paraId="6170427A">
      <w:pPr>
        <w:pStyle w:val="94"/>
        <w:spacing w:line="360" w:lineRule="auto"/>
        <w:ind w:firstLine="480"/>
        <w:jc w:val="both"/>
        <w:rPr>
          <w:rFonts w:hint="default"/>
          <w:sz w:val="24"/>
        </w:rPr>
      </w:pPr>
      <w:r>
        <w:rPr>
          <w:rFonts w:hint="default"/>
          <w:sz w:val="24"/>
        </w:rPr>
        <w:t>向乙方提供必要的信息和资料，协助乙方开展工作，包括但不限于学校的相关规章制度、</w:t>
      </w:r>
      <w:r>
        <w:rPr>
          <w:rFonts w:hint="eastAsia"/>
          <w:sz w:val="24"/>
          <w:lang w:val="en-US" w:eastAsia="zh-CN"/>
        </w:rPr>
        <w:t>课程</w:t>
      </w:r>
      <w:r>
        <w:rPr>
          <w:rFonts w:hint="default"/>
          <w:sz w:val="24"/>
        </w:rPr>
        <w:t>信息等。</w:t>
      </w:r>
    </w:p>
    <w:p w14:paraId="19E97C21">
      <w:pPr>
        <w:pStyle w:val="94"/>
        <w:spacing w:line="360" w:lineRule="auto"/>
        <w:ind w:firstLine="480"/>
        <w:jc w:val="both"/>
        <w:rPr>
          <w:rFonts w:hint="default"/>
          <w:sz w:val="24"/>
        </w:rPr>
      </w:pPr>
      <w:r>
        <w:rPr>
          <w:rFonts w:hint="default"/>
          <w:sz w:val="24"/>
        </w:rPr>
        <w:t>乙方权利与义务</w:t>
      </w:r>
    </w:p>
    <w:p w14:paraId="3B925608">
      <w:pPr>
        <w:pStyle w:val="94"/>
        <w:spacing w:line="360" w:lineRule="auto"/>
        <w:ind w:firstLine="480"/>
        <w:jc w:val="both"/>
        <w:rPr>
          <w:rFonts w:hint="default"/>
          <w:sz w:val="24"/>
        </w:rPr>
      </w:pPr>
      <w:r>
        <w:rPr>
          <w:rFonts w:hint="default"/>
          <w:sz w:val="24"/>
        </w:rPr>
        <w:t>有权要求甲方按照合同约定支付服务费用。</w:t>
      </w:r>
    </w:p>
    <w:p w14:paraId="5F62A048">
      <w:pPr>
        <w:pStyle w:val="94"/>
        <w:spacing w:line="360" w:lineRule="auto"/>
        <w:ind w:firstLine="480"/>
        <w:jc w:val="both"/>
        <w:rPr>
          <w:rFonts w:hint="default"/>
          <w:sz w:val="24"/>
        </w:rPr>
      </w:pPr>
      <w:r>
        <w:rPr>
          <w:rFonts w:hint="default"/>
          <w:sz w:val="24"/>
        </w:rPr>
        <w:t>按照本合同约定的服务内容和标准，按时、高质量地完成各项服务工作，确保</w:t>
      </w:r>
      <w:r>
        <w:rPr>
          <w:rFonts w:hint="eastAsia"/>
          <w:sz w:val="24"/>
          <w:lang w:val="en-US" w:eastAsia="zh-CN"/>
        </w:rPr>
        <w:t>项目</w:t>
      </w:r>
      <w:r>
        <w:rPr>
          <w:rFonts w:hint="default"/>
          <w:sz w:val="24"/>
        </w:rPr>
        <w:t>的顺利进行。</w:t>
      </w:r>
    </w:p>
    <w:p w14:paraId="4851B125">
      <w:pPr>
        <w:pStyle w:val="94"/>
        <w:spacing w:line="360" w:lineRule="auto"/>
        <w:ind w:firstLine="480"/>
        <w:jc w:val="both"/>
        <w:rPr>
          <w:rFonts w:hint="default"/>
          <w:sz w:val="24"/>
        </w:rPr>
      </w:pPr>
      <w:r>
        <w:rPr>
          <w:rFonts w:hint="default"/>
          <w:sz w:val="24"/>
        </w:rPr>
        <w:t>未经甲方书面同意，乙方不得将本合同项下的权利和义务转让给第三方。</w:t>
      </w:r>
    </w:p>
    <w:p w14:paraId="03F15FEE">
      <w:pPr>
        <w:pStyle w:val="94"/>
        <w:spacing w:line="360" w:lineRule="auto"/>
        <w:ind w:firstLine="480"/>
        <w:jc w:val="both"/>
        <w:rPr>
          <w:rFonts w:hint="default"/>
          <w:sz w:val="24"/>
        </w:rPr>
      </w:pPr>
      <w:r>
        <w:rPr>
          <w:rFonts w:hint="default"/>
          <w:sz w:val="24"/>
        </w:rPr>
        <w:t>对在服务过程中知悉的甲方商业秘密、信息等予以保密，不得泄露给任何第三方。</w:t>
      </w:r>
    </w:p>
    <w:p w14:paraId="1C3E580D">
      <w:pPr>
        <w:pStyle w:val="94"/>
        <w:spacing w:line="360" w:lineRule="auto"/>
        <w:jc w:val="both"/>
        <w:rPr>
          <w:rFonts w:hint="default"/>
        </w:rPr>
      </w:pPr>
      <w:r>
        <w:rPr>
          <w:rFonts w:hint="eastAsia"/>
          <w:b/>
          <w:sz w:val="24"/>
          <w:lang w:val="en-US" w:eastAsia="zh-CN"/>
        </w:rPr>
        <w:t>七</w:t>
      </w:r>
      <w:r>
        <w:rPr>
          <w:b/>
          <w:sz w:val="24"/>
        </w:rPr>
        <w:t>、不可抗力</w:t>
      </w:r>
    </w:p>
    <w:p w14:paraId="0AC198FC">
      <w:pPr>
        <w:pStyle w:val="94"/>
        <w:spacing w:line="360" w:lineRule="auto"/>
        <w:ind w:firstLine="480"/>
        <w:jc w:val="both"/>
        <w:rPr>
          <w:rFonts w:hint="default"/>
        </w:rPr>
      </w:pPr>
      <w:r>
        <w:rPr>
          <w:sz w:val="24"/>
        </w:rPr>
        <w:t>7.1 如果合同双因不可抗力而导致合同实施延误或合同无法实施，不应该承担误期赔偿或不能履行合同义务的责任。</w:t>
      </w:r>
    </w:p>
    <w:p w14:paraId="28648894">
      <w:pPr>
        <w:pStyle w:val="94"/>
        <w:spacing w:line="360" w:lineRule="auto"/>
        <w:ind w:firstLine="480"/>
        <w:jc w:val="both"/>
        <w:rPr>
          <w:rFonts w:hint="default"/>
        </w:rPr>
      </w:pPr>
      <w:r>
        <w:rPr>
          <w:sz w:val="24"/>
        </w:rPr>
        <w:t>7.2 本条所述不可抗力是指本合同生效后，发生不能预见并且对其发生和后果不能防止或避免的事件，如水灾、火灾、地震、台风、战争、海关检查、进口手续及厂商供货延迟等不可抗拒的原因，导致合同不能全部或部分履行（或适当履行）的。</w:t>
      </w:r>
    </w:p>
    <w:p w14:paraId="11352474">
      <w:pPr>
        <w:pStyle w:val="94"/>
        <w:spacing w:line="360" w:lineRule="auto"/>
        <w:ind w:firstLine="480"/>
        <w:jc w:val="both"/>
        <w:rPr>
          <w:rFonts w:hint="default"/>
        </w:rPr>
      </w:pPr>
      <w:r>
        <w:rPr>
          <w:sz w:val="24"/>
        </w:rPr>
        <w:t>7.3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5B46A119">
      <w:pPr>
        <w:pStyle w:val="94"/>
        <w:spacing w:line="360" w:lineRule="auto"/>
        <w:jc w:val="both"/>
        <w:rPr>
          <w:rFonts w:hint="default"/>
        </w:rPr>
      </w:pPr>
      <w:r>
        <w:rPr>
          <w:rFonts w:hint="eastAsia"/>
          <w:b/>
          <w:sz w:val="24"/>
          <w:lang w:val="en-US" w:eastAsia="zh-CN"/>
        </w:rPr>
        <w:t>八</w:t>
      </w:r>
      <w:r>
        <w:rPr>
          <w:b/>
          <w:sz w:val="24"/>
        </w:rPr>
        <w:t>、合同文件的组成</w:t>
      </w:r>
    </w:p>
    <w:p w14:paraId="1507A679">
      <w:pPr>
        <w:pStyle w:val="94"/>
        <w:spacing w:line="360" w:lineRule="auto"/>
        <w:ind w:firstLine="480"/>
        <w:jc w:val="both"/>
        <w:rPr>
          <w:rFonts w:hint="default"/>
        </w:rPr>
      </w:pPr>
      <w:r>
        <w:rPr>
          <w:sz w:val="24"/>
        </w:rPr>
        <w:t>8.1 本合同内容及附件；</w:t>
      </w:r>
    </w:p>
    <w:p w14:paraId="27841527">
      <w:pPr>
        <w:pStyle w:val="94"/>
        <w:spacing w:line="360" w:lineRule="auto"/>
        <w:ind w:firstLine="480"/>
        <w:jc w:val="both"/>
        <w:rPr>
          <w:rFonts w:hint="default"/>
        </w:rPr>
      </w:pPr>
      <w:r>
        <w:rPr>
          <w:sz w:val="24"/>
        </w:rPr>
        <w:t>8.2 合同订立及履行过程中形成的双签字并加盖章认可的文件。</w:t>
      </w:r>
    </w:p>
    <w:p w14:paraId="100BA8CD">
      <w:pPr>
        <w:pStyle w:val="94"/>
        <w:spacing w:line="360" w:lineRule="auto"/>
        <w:jc w:val="both"/>
        <w:rPr>
          <w:rFonts w:hint="default"/>
        </w:rPr>
      </w:pPr>
      <w:r>
        <w:rPr>
          <w:rFonts w:hint="eastAsia"/>
          <w:b/>
          <w:sz w:val="24"/>
          <w:lang w:val="en-US" w:eastAsia="zh-CN"/>
        </w:rPr>
        <w:t>九</w:t>
      </w:r>
      <w:r>
        <w:rPr>
          <w:b/>
          <w:sz w:val="24"/>
        </w:rPr>
        <w:t>、合同争议的解决</w:t>
      </w:r>
    </w:p>
    <w:p w14:paraId="05E86714">
      <w:pPr>
        <w:pStyle w:val="94"/>
        <w:spacing w:line="360" w:lineRule="auto"/>
        <w:ind w:firstLine="480"/>
        <w:jc w:val="both"/>
        <w:rPr>
          <w:rFonts w:hint="default"/>
        </w:rPr>
      </w:pPr>
      <w:r>
        <w:rPr>
          <w:sz w:val="24"/>
        </w:rPr>
        <w:t>合同一经签订，不得随意变更、中止或终止。对确需变更、调整或者中止、终止合同的，应按规定履行相应的手续。</w:t>
      </w:r>
    </w:p>
    <w:p w14:paraId="4A8E7DEB">
      <w:pPr>
        <w:pStyle w:val="94"/>
        <w:spacing w:line="360" w:lineRule="auto"/>
        <w:ind w:firstLine="480"/>
        <w:jc w:val="both"/>
        <w:rPr>
          <w:rFonts w:hint="default"/>
        </w:rPr>
      </w:pPr>
      <w:r>
        <w:rPr>
          <w:sz w:val="24"/>
        </w:rPr>
        <w:t>合同执行中发生争议的，甲、乙双应协商解决，协商达不成一致时，可向甲方所在地人民法院提请诉讼。</w:t>
      </w:r>
    </w:p>
    <w:p w14:paraId="781417BF">
      <w:pPr>
        <w:pStyle w:val="94"/>
        <w:spacing w:line="360" w:lineRule="auto"/>
        <w:jc w:val="both"/>
        <w:rPr>
          <w:rFonts w:hint="default"/>
        </w:rPr>
      </w:pPr>
      <w:r>
        <w:rPr>
          <w:b/>
          <w:sz w:val="24"/>
        </w:rPr>
        <w:t>十、其它事项</w:t>
      </w:r>
    </w:p>
    <w:p w14:paraId="127ED7E3">
      <w:pPr>
        <w:pStyle w:val="94"/>
        <w:spacing w:line="360" w:lineRule="auto"/>
        <w:ind w:firstLine="480"/>
        <w:jc w:val="both"/>
        <w:rPr>
          <w:rFonts w:hint="default"/>
        </w:rPr>
      </w:pPr>
      <w:r>
        <w:rPr>
          <w:sz w:val="24"/>
        </w:rPr>
        <w:t>10.1 甲、乙双作为合同执行的主体，有义务及时完全履行合同。</w:t>
      </w:r>
    </w:p>
    <w:p w14:paraId="4DCB6363">
      <w:pPr>
        <w:pStyle w:val="94"/>
        <w:spacing w:line="360" w:lineRule="auto"/>
        <w:ind w:firstLine="480"/>
        <w:jc w:val="both"/>
        <w:rPr>
          <w:rFonts w:hint="default"/>
        </w:rPr>
      </w:pPr>
      <w:r>
        <w:rPr>
          <w:sz w:val="24"/>
        </w:rPr>
        <w:t>10.2 合同未尽事宜，由甲、乙双进行协商并在协商一致的前提下制作补充协议，补充协议作为本合同不可分割的组成部分，与本合同具有同等法律效力。</w:t>
      </w:r>
    </w:p>
    <w:p w14:paraId="53CF17CE">
      <w:pPr>
        <w:pStyle w:val="94"/>
        <w:spacing w:line="360" w:lineRule="auto"/>
        <w:ind w:firstLine="480"/>
        <w:jc w:val="both"/>
        <w:rPr>
          <w:rFonts w:hint="default"/>
        </w:rPr>
      </w:pPr>
      <w:r>
        <w:rPr>
          <w:sz w:val="24"/>
        </w:rPr>
        <w:t>10.3 合同一式肆份，甲方执贰份，乙方执贰份，双签字盖章后生效，均具有同等法律效力。（以下无正文，为合同签署页）</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80"/>
        <w:gridCol w:w="3525"/>
      </w:tblGrid>
      <w:tr w14:paraId="3B9E20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19197E3">
            <w:pPr>
              <w:pStyle w:val="94"/>
              <w:spacing w:line="480" w:lineRule="auto"/>
              <w:jc w:val="both"/>
              <w:rPr>
                <w:rFonts w:hint="eastAsia" w:eastAsia="宋体"/>
                <w:lang w:eastAsia="zh-CN"/>
              </w:rPr>
            </w:pPr>
            <w:r>
              <w:t>甲方（签章）：</w:t>
            </w:r>
            <w:r>
              <w:rPr>
                <w:rFonts w:hint="eastAsia"/>
              </w:rPr>
              <w:t xml:space="preserve"> </w:t>
            </w:r>
          </w:p>
        </w:tc>
        <w:tc>
          <w:tcPr>
            <w:tcW w:w="3525" w:type="dxa"/>
            <w:tcBorders>
              <w:top w:val="nil"/>
              <w:left w:val="nil"/>
              <w:bottom w:val="nil"/>
              <w:right w:val="nil"/>
            </w:tcBorders>
            <w:tcMar>
              <w:top w:w="0" w:type="dxa"/>
              <w:left w:w="108" w:type="dxa"/>
              <w:bottom w:w="0" w:type="dxa"/>
              <w:right w:w="108" w:type="dxa"/>
            </w:tcMar>
          </w:tcPr>
          <w:p w14:paraId="657421E2">
            <w:pPr>
              <w:pStyle w:val="94"/>
              <w:spacing w:line="360" w:lineRule="auto"/>
              <w:jc w:val="both"/>
              <w:rPr>
                <w:rFonts w:hint="default"/>
              </w:rPr>
            </w:pPr>
            <w:r>
              <w:t>乙方（签章）：</w:t>
            </w:r>
          </w:p>
        </w:tc>
      </w:tr>
      <w:tr w14:paraId="12048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F8CD2E3">
            <w:pPr>
              <w:pStyle w:val="94"/>
              <w:spacing w:line="480" w:lineRule="auto"/>
              <w:jc w:val="both"/>
              <w:rPr>
                <w:rFonts w:hint="default"/>
              </w:rPr>
            </w:pPr>
            <w:r>
              <w:t>地址：</w:t>
            </w:r>
          </w:p>
        </w:tc>
        <w:tc>
          <w:tcPr>
            <w:tcW w:w="3525" w:type="dxa"/>
            <w:tcBorders>
              <w:top w:val="nil"/>
              <w:left w:val="nil"/>
              <w:bottom w:val="nil"/>
              <w:right w:val="nil"/>
            </w:tcBorders>
            <w:tcMar>
              <w:top w:w="0" w:type="dxa"/>
              <w:left w:w="108" w:type="dxa"/>
              <w:bottom w:w="0" w:type="dxa"/>
              <w:right w:w="108" w:type="dxa"/>
            </w:tcMar>
          </w:tcPr>
          <w:p w14:paraId="3499D346">
            <w:pPr>
              <w:pStyle w:val="94"/>
              <w:spacing w:line="360" w:lineRule="auto"/>
              <w:jc w:val="both"/>
              <w:rPr>
                <w:rFonts w:hint="default"/>
              </w:rPr>
            </w:pPr>
            <w:r>
              <w:t>地址：</w:t>
            </w:r>
          </w:p>
        </w:tc>
      </w:tr>
      <w:tr w14:paraId="4EA40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2AB6BC8">
            <w:pPr>
              <w:pStyle w:val="94"/>
              <w:spacing w:line="480" w:lineRule="auto"/>
              <w:jc w:val="both"/>
              <w:rPr>
                <w:rFonts w:hint="default"/>
              </w:rPr>
            </w:pPr>
            <w:r>
              <w:t>代理人签字：</w:t>
            </w:r>
          </w:p>
        </w:tc>
        <w:tc>
          <w:tcPr>
            <w:tcW w:w="3525" w:type="dxa"/>
            <w:tcBorders>
              <w:top w:val="nil"/>
              <w:left w:val="nil"/>
              <w:bottom w:val="nil"/>
              <w:right w:val="nil"/>
            </w:tcBorders>
            <w:tcMar>
              <w:top w:w="0" w:type="dxa"/>
              <w:left w:w="108" w:type="dxa"/>
              <w:bottom w:w="0" w:type="dxa"/>
              <w:right w:w="108" w:type="dxa"/>
            </w:tcMar>
          </w:tcPr>
          <w:p w14:paraId="5847BCBB">
            <w:pPr>
              <w:pStyle w:val="94"/>
              <w:spacing w:line="480" w:lineRule="auto"/>
              <w:jc w:val="both"/>
              <w:rPr>
                <w:rFonts w:hint="default"/>
              </w:rPr>
            </w:pPr>
            <w:r>
              <w:t>代理人签字：</w:t>
            </w:r>
          </w:p>
        </w:tc>
      </w:tr>
      <w:tr w14:paraId="2FDDA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AA2E70B">
            <w:pPr>
              <w:pStyle w:val="94"/>
              <w:spacing w:line="480" w:lineRule="auto"/>
              <w:jc w:val="both"/>
              <w:rPr>
                <w:rFonts w:hint="default"/>
              </w:rPr>
            </w:pPr>
            <w:r>
              <w:t>联系电话：</w:t>
            </w:r>
          </w:p>
        </w:tc>
        <w:tc>
          <w:tcPr>
            <w:tcW w:w="3525" w:type="dxa"/>
            <w:tcBorders>
              <w:top w:val="nil"/>
              <w:left w:val="nil"/>
              <w:bottom w:val="nil"/>
              <w:right w:val="nil"/>
            </w:tcBorders>
            <w:tcMar>
              <w:top w:w="0" w:type="dxa"/>
              <w:left w:w="108" w:type="dxa"/>
              <w:bottom w:w="0" w:type="dxa"/>
              <w:right w:w="108" w:type="dxa"/>
            </w:tcMar>
          </w:tcPr>
          <w:p w14:paraId="02A958F8">
            <w:pPr>
              <w:pStyle w:val="94"/>
              <w:spacing w:line="480" w:lineRule="auto"/>
              <w:jc w:val="both"/>
              <w:rPr>
                <w:rFonts w:hint="default"/>
              </w:rPr>
            </w:pPr>
            <w:r>
              <w:t>联系电话：</w:t>
            </w:r>
          </w:p>
        </w:tc>
      </w:tr>
      <w:tr w14:paraId="2498C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48CB066">
            <w:pPr>
              <w:pStyle w:val="94"/>
              <w:spacing w:line="480" w:lineRule="auto"/>
              <w:jc w:val="both"/>
              <w:rPr>
                <w:rFonts w:hint="default"/>
              </w:rPr>
            </w:pPr>
            <w:r>
              <w:t>开户行：</w:t>
            </w:r>
          </w:p>
        </w:tc>
        <w:tc>
          <w:tcPr>
            <w:tcW w:w="3525" w:type="dxa"/>
            <w:tcBorders>
              <w:top w:val="nil"/>
              <w:left w:val="nil"/>
              <w:bottom w:val="nil"/>
              <w:right w:val="nil"/>
            </w:tcBorders>
            <w:tcMar>
              <w:top w:w="0" w:type="dxa"/>
              <w:left w:w="108" w:type="dxa"/>
              <w:bottom w:w="0" w:type="dxa"/>
              <w:right w:w="108" w:type="dxa"/>
            </w:tcMar>
          </w:tcPr>
          <w:p w14:paraId="48474B95">
            <w:pPr>
              <w:pStyle w:val="94"/>
              <w:spacing w:line="480" w:lineRule="auto"/>
              <w:jc w:val="both"/>
              <w:rPr>
                <w:rFonts w:hint="default"/>
              </w:rPr>
            </w:pPr>
            <w:r>
              <w:t>开户行：</w:t>
            </w:r>
          </w:p>
        </w:tc>
      </w:tr>
      <w:tr w14:paraId="238B3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5A2429DC">
            <w:pPr>
              <w:pStyle w:val="94"/>
              <w:spacing w:line="480" w:lineRule="auto"/>
              <w:jc w:val="both"/>
              <w:rPr>
                <w:rFonts w:hint="default"/>
              </w:rPr>
            </w:pPr>
            <w:r>
              <w:t>账号：</w:t>
            </w:r>
          </w:p>
        </w:tc>
        <w:tc>
          <w:tcPr>
            <w:tcW w:w="3525" w:type="dxa"/>
            <w:tcBorders>
              <w:top w:val="nil"/>
              <w:left w:val="nil"/>
              <w:bottom w:val="nil"/>
              <w:right w:val="nil"/>
            </w:tcBorders>
            <w:tcMar>
              <w:top w:w="0" w:type="dxa"/>
              <w:left w:w="108" w:type="dxa"/>
              <w:bottom w:w="0" w:type="dxa"/>
              <w:right w:w="108" w:type="dxa"/>
            </w:tcMar>
          </w:tcPr>
          <w:p w14:paraId="155BC30B">
            <w:pPr>
              <w:pStyle w:val="94"/>
              <w:spacing w:line="360" w:lineRule="auto"/>
              <w:jc w:val="both"/>
              <w:rPr>
                <w:rFonts w:hint="default"/>
              </w:rPr>
            </w:pPr>
            <w:r>
              <w:t>账号：</w:t>
            </w:r>
          </w:p>
          <w:p w14:paraId="7F9C55E3">
            <w:pPr>
              <w:pStyle w:val="94"/>
              <w:jc w:val="both"/>
              <w:rPr>
                <w:rFonts w:hint="default"/>
              </w:rPr>
            </w:pPr>
            <w:r>
              <w:t xml:space="preserve"> </w:t>
            </w:r>
          </w:p>
        </w:tc>
      </w:tr>
      <w:tr w14:paraId="79B5C8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A081ABC">
            <w:pPr>
              <w:pStyle w:val="94"/>
              <w:spacing w:line="480" w:lineRule="auto"/>
              <w:jc w:val="both"/>
              <w:rPr>
                <w:rFonts w:hint="default"/>
              </w:rPr>
            </w:pPr>
            <w:r>
              <w:t>日期：    年   月   日</w:t>
            </w:r>
          </w:p>
        </w:tc>
        <w:tc>
          <w:tcPr>
            <w:tcW w:w="3525" w:type="dxa"/>
            <w:tcBorders>
              <w:top w:val="nil"/>
              <w:left w:val="nil"/>
              <w:bottom w:val="nil"/>
              <w:right w:val="nil"/>
            </w:tcBorders>
            <w:tcMar>
              <w:top w:w="0" w:type="dxa"/>
              <w:left w:w="108" w:type="dxa"/>
              <w:bottom w:w="0" w:type="dxa"/>
              <w:right w:w="108" w:type="dxa"/>
            </w:tcMar>
          </w:tcPr>
          <w:p w14:paraId="0FA8B5C5">
            <w:pPr>
              <w:pStyle w:val="94"/>
              <w:spacing w:line="480" w:lineRule="auto"/>
              <w:jc w:val="both"/>
              <w:rPr>
                <w:rFonts w:hint="default"/>
              </w:rPr>
            </w:pPr>
            <w:r>
              <w:t>日期：  年  月  日</w:t>
            </w:r>
          </w:p>
        </w:tc>
      </w:tr>
    </w:tbl>
    <w:p w14:paraId="23F21385">
      <w:pPr>
        <w:spacing w:line="440" w:lineRule="exact"/>
        <w:jc w:val="center"/>
        <w:rPr>
          <w:rFonts w:hint="eastAsia" w:ascii="宋体" w:hAnsi="宋体" w:cs="宋体"/>
          <w:sz w:val="24"/>
          <w:szCs w:val="24"/>
          <w:lang w:val="en-US" w:eastAsia="zh-CN"/>
        </w:rPr>
      </w:pPr>
      <w:r>
        <w:rPr>
          <w:rFonts w:hint="eastAsia" w:ascii="宋体" w:hAnsi="宋体" w:cs="宋体"/>
          <w:sz w:val="24"/>
          <w:szCs w:val="24"/>
          <w:lang w:val="en-US" w:eastAsia="zh-CN"/>
        </w:rPr>
        <w:br w:type="page"/>
      </w:r>
    </w:p>
    <w:bookmarkEnd w:id="408"/>
    <w:bookmarkEnd w:id="409"/>
    <w:bookmarkEnd w:id="410"/>
    <w:bookmarkEnd w:id="411"/>
    <w:bookmarkEnd w:id="412"/>
    <w:bookmarkEnd w:id="413"/>
    <w:p w14:paraId="50ED942A">
      <w:pPr>
        <w:pStyle w:val="2"/>
        <w:jc w:val="center"/>
        <w:rPr>
          <w:rFonts w:hint="eastAsia" w:ascii="黑体" w:hAnsi="黑体" w:eastAsia="黑体" w:cs="黑体"/>
          <w:b/>
          <w:bCs/>
          <w:color w:val="000000"/>
          <w:kern w:val="0"/>
          <w:sz w:val="32"/>
          <w:szCs w:val="32"/>
          <w:highlight w:val="none"/>
        </w:rPr>
      </w:pPr>
      <w:bookmarkStart w:id="414" w:name="_Toc24064"/>
      <w:bookmarkStart w:id="415" w:name="_Toc29857"/>
      <w:bookmarkStart w:id="416" w:name="_Toc17590"/>
      <w:bookmarkStart w:id="417" w:name="_Toc31756"/>
      <w:bookmarkStart w:id="418" w:name="_Toc670"/>
      <w:bookmarkStart w:id="419" w:name="_Toc7023"/>
      <w:bookmarkStart w:id="420" w:name="_Toc3738"/>
      <w:bookmarkStart w:id="421" w:name="_Toc5896"/>
      <w:bookmarkStart w:id="422" w:name="_Toc3390"/>
      <w:bookmarkStart w:id="423" w:name="_Toc18656"/>
      <w:bookmarkStart w:id="424" w:name="_Toc1358"/>
      <w:r>
        <w:rPr>
          <w:rFonts w:hint="eastAsia" w:ascii="黑体" w:hAnsi="黑体" w:eastAsia="黑体" w:cs="黑体"/>
          <w:b/>
          <w:bCs/>
          <w:color w:val="000000"/>
          <w:kern w:val="0"/>
          <w:sz w:val="32"/>
          <w:szCs w:val="32"/>
          <w:highlight w:val="none"/>
        </w:rPr>
        <w:t xml:space="preserve">第六章  </w:t>
      </w:r>
      <w:r>
        <w:rPr>
          <w:rFonts w:hint="eastAsia" w:ascii="黑体" w:hAnsi="黑体" w:cs="黑体"/>
          <w:b/>
          <w:bCs/>
          <w:color w:val="000000"/>
          <w:kern w:val="0"/>
          <w:sz w:val="32"/>
          <w:szCs w:val="32"/>
          <w:highlight w:val="none"/>
          <w:lang w:val="en-US" w:eastAsia="zh-CN"/>
        </w:rPr>
        <w:t>响应</w:t>
      </w:r>
      <w:r>
        <w:rPr>
          <w:rFonts w:hint="eastAsia" w:ascii="黑体" w:hAnsi="黑体" w:eastAsia="黑体" w:cs="黑体"/>
          <w:b/>
          <w:bCs/>
          <w:color w:val="000000"/>
          <w:kern w:val="0"/>
          <w:sz w:val="32"/>
          <w:szCs w:val="32"/>
          <w:highlight w:val="none"/>
        </w:rPr>
        <w:t>文件格式</w:t>
      </w:r>
      <w:bookmarkEnd w:id="414"/>
      <w:bookmarkEnd w:id="415"/>
      <w:bookmarkEnd w:id="416"/>
      <w:bookmarkEnd w:id="417"/>
      <w:bookmarkEnd w:id="418"/>
      <w:bookmarkEnd w:id="419"/>
      <w:bookmarkEnd w:id="420"/>
      <w:bookmarkEnd w:id="421"/>
      <w:bookmarkEnd w:id="422"/>
      <w:bookmarkEnd w:id="423"/>
      <w:bookmarkEnd w:id="424"/>
    </w:p>
    <w:p w14:paraId="19EE157F">
      <w:pPr>
        <w:spacing w:line="240" w:lineRule="auto"/>
        <w:jc w:val="center"/>
        <w:rPr>
          <w:rFonts w:hint="eastAsia" w:ascii="黑体" w:hAnsi="黑体" w:cs="黑体"/>
          <w:color w:val="000000"/>
          <w:szCs w:val="32"/>
        </w:rPr>
      </w:pPr>
    </w:p>
    <w:p w14:paraId="08B205FA">
      <w:pPr>
        <w:jc w:val="right"/>
        <w:rPr>
          <w:rFonts w:hint="eastAsia" w:ascii="宋体" w:hAnsi="宋体"/>
          <w:b/>
          <w:color w:val="000000"/>
          <w:sz w:val="44"/>
          <w:szCs w:val="44"/>
        </w:rPr>
      </w:pPr>
    </w:p>
    <w:p w14:paraId="3BB172F1">
      <w:pPr>
        <w:tabs>
          <w:tab w:val="left" w:pos="420"/>
        </w:tabs>
        <w:jc w:val="center"/>
        <w:rPr>
          <w:rFonts w:hint="eastAsia" w:ascii="宋体" w:hAnsi="宋体"/>
          <w:b/>
          <w:color w:val="000000"/>
          <w:sz w:val="18"/>
          <w:szCs w:val="18"/>
        </w:rPr>
      </w:pPr>
      <w:r>
        <w:rPr>
          <w:rFonts w:hint="eastAsia" w:ascii="宋体" w:hAnsi="宋体"/>
          <w:b/>
          <w:color w:val="000000"/>
          <w:sz w:val="32"/>
          <w:szCs w:val="32"/>
        </w:rPr>
        <w:t>响应文件编制说明</w:t>
      </w:r>
    </w:p>
    <w:p w14:paraId="007CC225">
      <w:pPr>
        <w:spacing w:line="360" w:lineRule="auto"/>
        <w:rPr>
          <w:rFonts w:hint="eastAsia" w:ascii="宋体" w:hAnsi="宋体"/>
          <w:color w:val="000000"/>
          <w:sz w:val="24"/>
          <w:szCs w:val="24"/>
          <w:highlight w:val="magenta"/>
        </w:rPr>
      </w:pPr>
    </w:p>
    <w:p w14:paraId="6068D684">
      <w:pPr>
        <w:spacing w:line="360" w:lineRule="auto"/>
        <w:ind w:left="105" w:leftChars="50" w:firstLine="494" w:firstLineChars="205"/>
        <w:rPr>
          <w:rFonts w:hint="eastAsia" w:ascii="宋体" w:hAnsi="宋体"/>
          <w:b/>
          <w:color w:val="000000"/>
          <w:sz w:val="24"/>
          <w:szCs w:val="24"/>
        </w:rPr>
      </w:pPr>
      <w:r>
        <w:rPr>
          <w:rFonts w:hint="eastAsia" w:ascii="宋体" w:hAnsi="宋体"/>
          <w:b/>
          <w:color w:val="000000"/>
          <w:sz w:val="24"/>
          <w:szCs w:val="24"/>
        </w:rPr>
        <w:t>1</w:t>
      </w:r>
      <w:r>
        <w:rPr>
          <w:rFonts w:hint="eastAsia" w:ascii="宋体" w:hAnsi="宋体"/>
          <w:color w:val="000000"/>
          <w:sz w:val="24"/>
          <w:szCs w:val="24"/>
        </w:rPr>
        <w:t>．</w:t>
      </w:r>
      <w:r>
        <w:rPr>
          <w:rFonts w:hint="eastAsia" w:ascii="宋体" w:hAnsi="宋体"/>
          <w:b/>
          <w:color w:val="000000"/>
          <w:sz w:val="24"/>
          <w:szCs w:val="24"/>
        </w:rPr>
        <w:t>编制响应文件前，请详细阅读竞争性磋商文件的全部内容，理解文件中的每一项要求。</w:t>
      </w:r>
    </w:p>
    <w:p w14:paraId="460ED20E">
      <w:pPr>
        <w:spacing w:line="360" w:lineRule="auto"/>
        <w:ind w:left="120" w:hanging="120" w:hangingChars="50"/>
        <w:rPr>
          <w:rFonts w:hint="eastAsia" w:ascii="宋体" w:hAnsi="宋体"/>
          <w:b/>
          <w:color w:val="000000"/>
          <w:sz w:val="24"/>
          <w:szCs w:val="24"/>
        </w:rPr>
      </w:pPr>
      <w:r>
        <w:rPr>
          <w:rFonts w:hint="eastAsia" w:ascii="宋体" w:hAnsi="宋体"/>
          <w:b/>
          <w:color w:val="000000"/>
          <w:sz w:val="24"/>
          <w:szCs w:val="24"/>
        </w:rPr>
        <w:t xml:space="preserve">     2</w:t>
      </w:r>
      <w:r>
        <w:rPr>
          <w:rFonts w:hint="eastAsia" w:ascii="宋体" w:hAnsi="宋体"/>
          <w:color w:val="000000"/>
          <w:sz w:val="24"/>
          <w:szCs w:val="24"/>
        </w:rPr>
        <w:t>．</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2ABD8024">
      <w:pPr>
        <w:jc w:val="left"/>
        <w:rPr>
          <w:rFonts w:hint="eastAsia" w:ascii="宋体" w:hAnsi="宋体"/>
          <w:b/>
          <w:color w:val="000000"/>
          <w:sz w:val="44"/>
          <w:szCs w:val="44"/>
        </w:rPr>
      </w:pPr>
    </w:p>
    <w:p w14:paraId="46AE864A">
      <w:pPr>
        <w:pStyle w:val="38"/>
        <w:ind w:firstLine="442"/>
        <w:rPr>
          <w:rFonts w:hint="eastAsia" w:ascii="宋体" w:hAnsi="宋体"/>
          <w:b/>
          <w:color w:val="000000"/>
          <w:sz w:val="44"/>
          <w:szCs w:val="44"/>
        </w:rPr>
      </w:pPr>
    </w:p>
    <w:p w14:paraId="510DD1F0">
      <w:pPr>
        <w:pStyle w:val="38"/>
        <w:ind w:firstLine="442"/>
        <w:rPr>
          <w:rFonts w:hint="eastAsia" w:ascii="宋体" w:hAnsi="宋体"/>
          <w:b/>
          <w:color w:val="000000"/>
          <w:sz w:val="44"/>
          <w:szCs w:val="44"/>
        </w:rPr>
      </w:pPr>
    </w:p>
    <w:p w14:paraId="0EC690B6">
      <w:pPr>
        <w:pStyle w:val="38"/>
        <w:ind w:firstLine="442"/>
        <w:rPr>
          <w:rFonts w:hint="eastAsia" w:ascii="宋体" w:hAnsi="宋体"/>
          <w:b/>
          <w:color w:val="000000"/>
          <w:sz w:val="44"/>
          <w:szCs w:val="44"/>
        </w:rPr>
      </w:pPr>
    </w:p>
    <w:p w14:paraId="74053943">
      <w:pPr>
        <w:jc w:val="right"/>
        <w:rPr>
          <w:rFonts w:hint="eastAsia" w:ascii="宋体" w:hAnsi="宋体"/>
          <w:b/>
          <w:color w:val="000000"/>
          <w:sz w:val="44"/>
          <w:szCs w:val="44"/>
        </w:rPr>
      </w:pPr>
    </w:p>
    <w:p w14:paraId="7649D88C">
      <w:pPr>
        <w:jc w:val="right"/>
        <w:rPr>
          <w:rFonts w:hint="eastAsia" w:ascii="宋体" w:hAnsi="宋体"/>
          <w:b/>
          <w:color w:val="000000"/>
          <w:sz w:val="44"/>
          <w:szCs w:val="44"/>
        </w:rPr>
      </w:pPr>
    </w:p>
    <w:p w14:paraId="607D6296">
      <w:pPr>
        <w:jc w:val="right"/>
        <w:rPr>
          <w:rFonts w:hint="eastAsia" w:ascii="宋体" w:hAnsi="宋体"/>
          <w:b/>
          <w:color w:val="000000"/>
          <w:sz w:val="44"/>
          <w:szCs w:val="44"/>
        </w:rPr>
      </w:pPr>
    </w:p>
    <w:p w14:paraId="25246E0A">
      <w:pPr>
        <w:jc w:val="right"/>
        <w:rPr>
          <w:rFonts w:hint="eastAsia" w:ascii="宋体" w:hAnsi="宋体"/>
          <w:b/>
          <w:color w:val="000000"/>
          <w:sz w:val="44"/>
          <w:szCs w:val="44"/>
        </w:rPr>
      </w:pPr>
    </w:p>
    <w:p w14:paraId="66E50B9F">
      <w:pPr>
        <w:jc w:val="right"/>
        <w:rPr>
          <w:rFonts w:hint="eastAsia" w:ascii="宋体" w:hAnsi="宋体"/>
          <w:b/>
          <w:color w:val="000000"/>
          <w:sz w:val="44"/>
          <w:szCs w:val="44"/>
        </w:rPr>
      </w:pPr>
    </w:p>
    <w:p w14:paraId="22AD8CCF">
      <w:pPr>
        <w:jc w:val="right"/>
        <w:rPr>
          <w:rFonts w:hint="eastAsia" w:ascii="宋体" w:hAnsi="宋体"/>
          <w:b/>
          <w:color w:val="000000"/>
          <w:sz w:val="44"/>
          <w:szCs w:val="44"/>
        </w:rPr>
      </w:pPr>
    </w:p>
    <w:p w14:paraId="167EE75A">
      <w:pPr>
        <w:jc w:val="right"/>
        <w:rPr>
          <w:rFonts w:hint="eastAsia" w:ascii="宋体" w:hAnsi="宋体"/>
          <w:b/>
          <w:color w:val="000000"/>
          <w:sz w:val="44"/>
          <w:szCs w:val="44"/>
        </w:rPr>
      </w:pPr>
    </w:p>
    <w:p w14:paraId="26F2EDEC">
      <w:pPr>
        <w:spacing w:line="360" w:lineRule="auto"/>
        <w:jc w:val="right"/>
        <w:rPr>
          <w:rFonts w:hint="eastAsia" w:ascii="宋体" w:hAnsi="宋体" w:cs="宋体"/>
          <w:b/>
          <w:bCs/>
          <w:spacing w:val="26"/>
          <w:sz w:val="24"/>
          <w:szCs w:val="24"/>
        </w:rPr>
      </w:pPr>
    </w:p>
    <w:p w14:paraId="1C6CD566">
      <w:pPr>
        <w:spacing w:line="360" w:lineRule="auto"/>
        <w:jc w:val="right"/>
        <w:rPr>
          <w:rFonts w:hint="eastAsia" w:ascii="宋体" w:hAnsi="宋体" w:cs="宋体"/>
          <w:b/>
          <w:bCs/>
          <w:spacing w:val="26"/>
          <w:sz w:val="24"/>
          <w:szCs w:val="24"/>
        </w:rPr>
      </w:pPr>
    </w:p>
    <w:p w14:paraId="5C29A914">
      <w:pPr>
        <w:spacing w:line="360" w:lineRule="auto"/>
        <w:jc w:val="right"/>
        <w:rPr>
          <w:rFonts w:hint="eastAsia" w:ascii="宋体" w:hAnsi="宋体" w:cs="宋体"/>
          <w:b/>
          <w:bCs/>
          <w:spacing w:val="26"/>
          <w:sz w:val="24"/>
          <w:szCs w:val="24"/>
        </w:rPr>
      </w:pPr>
    </w:p>
    <w:p w14:paraId="4C0DCB0A">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6429FEC6">
      <w:pPr>
        <w:pStyle w:val="9"/>
        <w:ind w:firstLine="803"/>
        <w:jc w:val="center"/>
        <w:rPr>
          <w:rFonts w:hint="eastAsia" w:ascii="宋体" w:hAnsi="宋体" w:cs="宋体"/>
          <w:b/>
          <w:bCs/>
          <w:color w:val="000000"/>
          <w:sz w:val="40"/>
          <w:szCs w:val="40"/>
          <w:u w:val="single"/>
        </w:rPr>
      </w:pPr>
    </w:p>
    <w:p w14:paraId="099BF533">
      <w:pPr>
        <w:pStyle w:val="9"/>
        <w:ind w:firstLine="803"/>
        <w:jc w:val="center"/>
        <w:rPr>
          <w:rFonts w:hint="eastAsia" w:ascii="宋体" w:hAnsi="宋体" w:cs="宋体"/>
          <w:b/>
          <w:bCs/>
          <w:color w:val="000000"/>
          <w:sz w:val="40"/>
          <w:szCs w:val="40"/>
          <w:u w:val="single"/>
        </w:rPr>
      </w:pPr>
    </w:p>
    <w:p w14:paraId="68FC33D8">
      <w:pPr>
        <w:pStyle w:val="9"/>
        <w:ind w:firstLine="803"/>
        <w:jc w:val="center"/>
        <w:rPr>
          <w:color w:val="000000"/>
          <w:u w:val="single"/>
        </w:rPr>
      </w:pPr>
      <w:r>
        <w:rPr>
          <w:rFonts w:hint="eastAsia" w:ascii="宋体" w:hAnsi="宋体" w:cs="宋体"/>
          <w:b/>
          <w:bCs/>
          <w:color w:val="000000"/>
          <w:sz w:val="40"/>
          <w:szCs w:val="40"/>
          <w:u w:val="single"/>
        </w:rPr>
        <w:t xml:space="preserve">                  项目名称</w:t>
      </w:r>
    </w:p>
    <w:p w14:paraId="378A0B14">
      <w:pPr>
        <w:pStyle w:val="9"/>
        <w:ind w:firstLine="400"/>
        <w:rPr>
          <w:rFonts w:hint="eastAsia"/>
          <w:color w:val="000000"/>
        </w:rPr>
      </w:pPr>
    </w:p>
    <w:p w14:paraId="274E9C2F">
      <w:pPr>
        <w:pStyle w:val="9"/>
        <w:ind w:firstLine="400"/>
        <w:rPr>
          <w:rFonts w:hint="eastAsia"/>
          <w:color w:val="000000"/>
        </w:rPr>
      </w:pPr>
    </w:p>
    <w:p w14:paraId="67B911BB">
      <w:pPr>
        <w:pStyle w:val="9"/>
        <w:ind w:firstLine="400"/>
        <w:rPr>
          <w:rFonts w:hint="eastAsia"/>
          <w:color w:val="000000"/>
        </w:rPr>
      </w:pPr>
    </w:p>
    <w:p w14:paraId="4AE89301">
      <w:pPr>
        <w:pStyle w:val="9"/>
        <w:ind w:firstLine="400"/>
        <w:rPr>
          <w:rFonts w:hint="eastAsia"/>
          <w:color w:val="000000"/>
        </w:rPr>
      </w:pPr>
    </w:p>
    <w:p w14:paraId="0AE5111E">
      <w:pPr>
        <w:pStyle w:val="9"/>
        <w:ind w:firstLine="400"/>
        <w:rPr>
          <w:rFonts w:hint="eastAsia"/>
          <w:color w:val="000000"/>
        </w:rPr>
      </w:pPr>
    </w:p>
    <w:p w14:paraId="241621C0">
      <w:pPr>
        <w:pStyle w:val="9"/>
        <w:ind w:firstLine="400"/>
        <w:rPr>
          <w:rFonts w:hint="eastAsia"/>
          <w:color w:val="000000"/>
        </w:rPr>
      </w:pPr>
    </w:p>
    <w:p w14:paraId="014FE705">
      <w:pPr>
        <w:pStyle w:val="9"/>
        <w:ind w:firstLine="400"/>
        <w:rPr>
          <w:rFonts w:hint="eastAsia"/>
          <w:color w:val="000000"/>
        </w:rPr>
      </w:pPr>
    </w:p>
    <w:p w14:paraId="20A4C18A">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1FCEFEEB">
      <w:pPr>
        <w:spacing w:line="600" w:lineRule="auto"/>
        <w:jc w:val="center"/>
        <w:rPr>
          <w:rFonts w:hint="eastAsia" w:ascii="宋体" w:hAnsi="宋体" w:cs="宋体"/>
          <w:b/>
          <w:bCs/>
          <w:color w:val="000000"/>
          <w:spacing w:val="26"/>
          <w:szCs w:val="21"/>
        </w:rPr>
      </w:pPr>
    </w:p>
    <w:p w14:paraId="48D2B263">
      <w:pPr>
        <w:pStyle w:val="38"/>
        <w:ind w:firstLine="263"/>
        <w:rPr>
          <w:rFonts w:hint="eastAsia" w:ascii="宋体" w:hAnsi="宋体" w:cs="宋体"/>
          <w:b/>
          <w:bCs/>
          <w:color w:val="000000"/>
          <w:spacing w:val="26"/>
          <w:szCs w:val="21"/>
        </w:rPr>
      </w:pPr>
    </w:p>
    <w:p w14:paraId="1B5D2FC8">
      <w:pPr>
        <w:pStyle w:val="38"/>
        <w:ind w:firstLine="263"/>
        <w:rPr>
          <w:rFonts w:hint="eastAsia" w:ascii="宋体" w:hAnsi="宋体" w:cs="宋体"/>
          <w:b/>
          <w:bCs/>
          <w:color w:val="000000"/>
          <w:spacing w:val="26"/>
          <w:szCs w:val="21"/>
        </w:rPr>
      </w:pPr>
    </w:p>
    <w:p w14:paraId="562A5A47">
      <w:pPr>
        <w:pStyle w:val="38"/>
        <w:ind w:firstLine="263"/>
        <w:rPr>
          <w:rFonts w:hint="eastAsia" w:ascii="宋体" w:hAnsi="宋体" w:cs="宋体"/>
          <w:b/>
          <w:bCs/>
          <w:color w:val="000000"/>
          <w:spacing w:val="26"/>
          <w:szCs w:val="21"/>
        </w:rPr>
      </w:pPr>
    </w:p>
    <w:p w14:paraId="7CA0B865">
      <w:pPr>
        <w:pStyle w:val="9"/>
        <w:ind w:firstLine="0" w:firstLineChars="0"/>
        <w:rPr>
          <w:rFonts w:hint="eastAsia" w:ascii="宋体" w:hAnsi="宋体" w:cs="宋体"/>
          <w:b/>
          <w:bCs/>
          <w:color w:val="000000"/>
          <w:spacing w:val="26"/>
          <w:sz w:val="36"/>
          <w:szCs w:val="36"/>
        </w:rPr>
      </w:pPr>
    </w:p>
    <w:p w14:paraId="29F52B98">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12FD39B2">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1CCE7421">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73B262C4">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5CFB0B89">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101C279D">
      <w:pPr>
        <w:spacing w:line="600" w:lineRule="auto"/>
        <w:ind w:firstLine="2332" w:firstLineChars="700"/>
        <w:rPr>
          <w:rFonts w:hint="eastAsia"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58BBCFD9">
      <w:pPr>
        <w:ind w:firstLine="211"/>
        <w:jc w:val="center"/>
        <w:rPr>
          <w:rFonts w:hint="eastAsia" w:ascii="宋体" w:hAnsi="宋体"/>
          <w:b/>
          <w:bCs/>
          <w:color w:val="000000"/>
          <w:sz w:val="44"/>
          <w:szCs w:val="44"/>
        </w:rPr>
      </w:pPr>
      <w:r>
        <w:rPr>
          <w:rFonts w:hint="eastAsia" w:ascii="宋体" w:hAnsi="宋体"/>
          <w:b/>
          <w:bCs/>
          <w:color w:val="000000"/>
          <w:sz w:val="44"/>
          <w:szCs w:val="44"/>
        </w:rPr>
        <w:t>目   录</w:t>
      </w:r>
    </w:p>
    <w:p w14:paraId="73A5A9C6">
      <w:pPr>
        <w:pStyle w:val="14"/>
        <w:jc w:val="center"/>
        <w:rPr>
          <w:rFonts w:hint="eastAsia" w:ascii="宋体" w:hAnsi="宋体"/>
          <w:b/>
          <w:bCs/>
          <w:color w:val="000000"/>
          <w:sz w:val="44"/>
          <w:szCs w:val="44"/>
        </w:rPr>
      </w:pPr>
    </w:p>
    <w:p w14:paraId="24C40AB3">
      <w:pPr>
        <w:jc w:val="center"/>
        <w:rPr>
          <w:b/>
          <w:bCs/>
          <w:color w:val="000000"/>
          <w:sz w:val="28"/>
          <w:szCs w:val="28"/>
          <w:lang w:val="zh-CN"/>
        </w:rPr>
      </w:pPr>
      <w:r>
        <w:rPr>
          <w:rFonts w:hint="eastAsia" w:ascii="宋体" w:hAnsi="宋体"/>
          <w:b/>
          <w:bCs/>
          <w:color w:val="000000"/>
          <w:sz w:val="28"/>
          <w:szCs w:val="28"/>
        </w:rPr>
        <w:t>【供应商根据文件格式要求编辑】</w:t>
      </w:r>
    </w:p>
    <w:p w14:paraId="013506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
          <w:color w:val="000000"/>
          <w:sz w:val="36"/>
          <w:szCs w:val="36"/>
        </w:rPr>
      </w:pPr>
      <w:r>
        <w:rPr>
          <w:b/>
          <w:bCs/>
          <w:color w:val="000000"/>
          <w:sz w:val="28"/>
          <w:szCs w:val="28"/>
          <w:lang w:val="zh-CN"/>
        </w:rPr>
        <w:br w:type="page"/>
      </w:r>
      <w:bookmarkStart w:id="425" w:name="_Toc12377630"/>
      <w:bookmarkStart w:id="426" w:name="_Toc10563645"/>
      <w:bookmarkStart w:id="427" w:name="_Toc10563606"/>
      <w:bookmarkStart w:id="428" w:name="_Toc47418255"/>
      <w:bookmarkStart w:id="429" w:name="_Toc47262069"/>
      <w:bookmarkStart w:id="430" w:name="_Toc48791235"/>
      <w:bookmarkStart w:id="431" w:name="_Toc49019236"/>
      <w:bookmarkStart w:id="432" w:name="_Toc193187104"/>
      <w:bookmarkStart w:id="433" w:name="_Toc193126888"/>
      <w:bookmarkStart w:id="434" w:name="_Toc194663925"/>
      <w:bookmarkStart w:id="435" w:name="_Toc49019497"/>
      <w:bookmarkStart w:id="436" w:name="_Toc47418938"/>
      <w:bookmarkStart w:id="437" w:name="_Toc188808839"/>
      <w:bookmarkStart w:id="438" w:name="_Toc48995851"/>
      <w:bookmarkStart w:id="439" w:name="_Toc47261885"/>
      <w:bookmarkStart w:id="440" w:name="_Toc47418731"/>
      <w:bookmarkStart w:id="441" w:name="_Toc47261690"/>
      <w:r>
        <w:rPr>
          <w:rFonts w:hint="eastAsia" w:ascii="宋体" w:hAnsi="宋体" w:eastAsia="宋体" w:cs="Times New Roman"/>
          <w:b/>
          <w:color w:val="auto"/>
          <w:sz w:val="32"/>
          <w:szCs w:val="32"/>
          <w:highlight w:val="none"/>
          <w:lang w:eastAsia="zh-CN"/>
        </w:rPr>
        <w:t>1.磋商函</w:t>
      </w:r>
      <w:bookmarkEnd w:id="425"/>
      <w:bookmarkEnd w:id="426"/>
      <w:bookmarkEnd w:id="427"/>
    </w:p>
    <w:p w14:paraId="36E01D46">
      <w:pPr>
        <w:adjustRightInd w:val="0"/>
        <w:snapToGrid w:val="0"/>
        <w:spacing w:line="336" w:lineRule="auto"/>
        <w:rPr>
          <w:rFonts w:hint="eastAsia"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5740CE0A">
      <w:pPr>
        <w:adjustRightInd w:val="0"/>
        <w:snapToGrid w:val="0"/>
        <w:spacing w:line="336" w:lineRule="auto"/>
        <w:ind w:firstLine="480" w:firstLineChars="200"/>
        <w:rPr>
          <w:rFonts w:hint="eastAsia"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1A6747CB">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1CFE12EE">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2B6A5799">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2EF7D8B3">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0EAB9C25">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5538217C">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596BEEE9">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287F1D47">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6CD310CF">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1B38005A">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75D6DA02">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04766387">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30C43CD3">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6D3DBB94">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2AA696E8">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7D586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000000"/>
          <w:sz w:val="28"/>
          <w:szCs w:val="28"/>
        </w:rPr>
      </w:pPr>
      <w:r>
        <w:rPr>
          <w:rFonts w:ascii="宋体" w:hAnsi="宋体"/>
          <w:b/>
          <w:color w:val="000000"/>
          <w:sz w:val="24"/>
          <w:szCs w:val="24"/>
        </w:rPr>
        <w:br w:type="page"/>
      </w:r>
      <w:bookmarkStart w:id="442" w:name="_Toc10563607"/>
      <w:bookmarkStart w:id="443" w:name="_Toc10563646"/>
      <w:bookmarkStart w:id="444" w:name="_Toc19858"/>
      <w:bookmarkStart w:id="445" w:name="_Toc12377631"/>
      <w:r>
        <w:rPr>
          <w:rFonts w:hint="eastAsia" w:ascii="宋体" w:hAnsi="宋体" w:eastAsia="宋体" w:cs="Times New Roman"/>
          <w:b/>
          <w:color w:val="auto"/>
          <w:sz w:val="32"/>
          <w:szCs w:val="32"/>
          <w:highlight w:val="none"/>
          <w:lang w:eastAsia="zh-CN"/>
        </w:rPr>
        <w:t>2.</w:t>
      </w:r>
      <w:bookmarkEnd w:id="442"/>
      <w:bookmarkEnd w:id="443"/>
      <w:bookmarkEnd w:id="444"/>
      <w:bookmarkEnd w:id="445"/>
      <w:r>
        <w:rPr>
          <w:rFonts w:hint="eastAsia" w:ascii="宋体" w:hAnsi="宋体" w:eastAsia="宋体" w:cs="Times New Roman"/>
          <w:b/>
          <w:color w:val="auto"/>
          <w:sz w:val="32"/>
          <w:szCs w:val="32"/>
          <w:highlight w:val="none"/>
          <w:lang w:eastAsia="zh-CN"/>
        </w:rPr>
        <w:t>磋商一次报价表</w:t>
      </w:r>
    </w:p>
    <w:p w14:paraId="5B1FD29E">
      <w:pPr>
        <w:spacing w:line="360" w:lineRule="auto"/>
        <w:rPr>
          <w:rFonts w:hint="eastAsia" w:ascii="宋体" w:hAnsi="宋体"/>
          <w:bCs/>
          <w:color w:val="000000"/>
          <w:sz w:val="24"/>
          <w:szCs w:val="24"/>
        </w:rPr>
      </w:pPr>
    </w:p>
    <w:p w14:paraId="78B3B9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9"/>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2566"/>
        <w:gridCol w:w="1454"/>
        <w:gridCol w:w="1293"/>
        <w:gridCol w:w="973"/>
      </w:tblGrid>
      <w:tr w14:paraId="0BE9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noWrap w:val="0"/>
            <w:vAlign w:val="center"/>
          </w:tcPr>
          <w:p w14:paraId="3507B7AE">
            <w:pPr>
              <w:jc w:val="center"/>
              <w:rPr>
                <w:rFonts w:hint="eastAsia" w:ascii="宋体" w:hAnsi="宋体" w:cs="宋体"/>
                <w:b/>
                <w:bCs/>
                <w:color w:val="000000"/>
                <w:sz w:val="24"/>
                <w:szCs w:val="24"/>
              </w:rPr>
            </w:pPr>
            <w:r>
              <w:rPr>
                <w:rFonts w:hint="eastAsia" w:ascii="宋体" w:hAnsi="宋体" w:cs="宋体"/>
                <w:b/>
                <w:bCs/>
                <w:color w:val="000000"/>
                <w:sz w:val="24"/>
                <w:szCs w:val="24"/>
              </w:rPr>
              <w:t>竞争性磋商</w:t>
            </w:r>
          </w:p>
          <w:p w14:paraId="355E77DD">
            <w:pPr>
              <w:jc w:val="center"/>
              <w:rPr>
                <w:rFonts w:hint="eastAsia" w:ascii="宋体" w:hAnsi="宋体" w:cs="宋体"/>
                <w:b/>
                <w:color w:val="000000"/>
                <w:sz w:val="24"/>
                <w:szCs w:val="24"/>
              </w:rPr>
            </w:pPr>
            <w:r>
              <w:rPr>
                <w:rFonts w:hint="eastAsia" w:ascii="宋体" w:hAnsi="宋体" w:cs="宋体"/>
                <w:b/>
                <w:bCs/>
                <w:color w:val="000000"/>
                <w:sz w:val="24"/>
                <w:szCs w:val="24"/>
              </w:rPr>
              <w:t>一次总报价</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元</w:t>
            </w:r>
            <w:r>
              <w:rPr>
                <w:rFonts w:hint="eastAsia" w:ascii="宋体" w:hAnsi="宋体" w:eastAsia="宋体" w:cs="宋体"/>
                <w:b/>
                <w:bCs/>
                <w:caps w:val="0"/>
                <w:color w:val="auto"/>
                <w:sz w:val="24"/>
                <w:szCs w:val="24"/>
                <w:highlight w:val="none"/>
                <w:lang w:eastAsia="zh-CN"/>
              </w:rPr>
              <w:t>）</w:t>
            </w:r>
          </w:p>
        </w:tc>
        <w:tc>
          <w:tcPr>
            <w:tcW w:w="2566" w:type="dxa"/>
            <w:noWrap w:val="0"/>
            <w:vAlign w:val="center"/>
          </w:tcPr>
          <w:p w14:paraId="5622BEC4">
            <w:pPr>
              <w:ind w:left="1" w:leftChars="-2" w:hanging="5" w:hangingChars="2"/>
              <w:jc w:val="center"/>
              <w:rPr>
                <w:rFonts w:hint="eastAsia" w:ascii="宋体" w:hAnsi="宋体" w:cs="宋体"/>
                <w:b/>
                <w:bCs/>
                <w:color w:val="000000"/>
                <w:sz w:val="24"/>
                <w:szCs w:val="24"/>
              </w:rPr>
            </w:pPr>
            <w:r>
              <w:rPr>
                <w:rFonts w:hint="eastAsia" w:ascii="宋体" w:hAnsi="宋体" w:cs="宋体"/>
                <w:b/>
                <w:bCs/>
                <w:color w:val="000000"/>
                <w:sz w:val="24"/>
                <w:szCs w:val="24"/>
              </w:rPr>
              <w:t>服务期限</w:t>
            </w:r>
          </w:p>
        </w:tc>
        <w:tc>
          <w:tcPr>
            <w:tcW w:w="1454" w:type="dxa"/>
            <w:noWrap w:val="0"/>
            <w:vAlign w:val="center"/>
          </w:tcPr>
          <w:p w14:paraId="2C3F7BA4">
            <w:pPr>
              <w:jc w:val="center"/>
              <w:rPr>
                <w:rFonts w:hint="eastAsia" w:ascii="宋体" w:hAnsi="宋体" w:cs="宋体"/>
                <w:b/>
                <w:color w:val="000000"/>
                <w:sz w:val="24"/>
                <w:szCs w:val="24"/>
              </w:rPr>
            </w:pPr>
            <w:r>
              <w:rPr>
                <w:rFonts w:hint="eastAsia" w:ascii="宋体" w:hAnsi="宋体" w:cs="宋体"/>
                <w:b/>
                <w:bCs/>
                <w:color w:val="000000"/>
                <w:sz w:val="24"/>
                <w:szCs w:val="24"/>
              </w:rPr>
              <w:t>质量要求</w:t>
            </w:r>
          </w:p>
        </w:tc>
        <w:tc>
          <w:tcPr>
            <w:tcW w:w="1293" w:type="dxa"/>
            <w:noWrap w:val="0"/>
            <w:vAlign w:val="center"/>
          </w:tcPr>
          <w:p w14:paraId="1861DE97">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noWrap w:val="0"/>
            <w:vAlign w:val="center"/>
          </w:tcPr>
          <w:p w14:paraId="46B24A76">
            <w:pPr>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1FB4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noWrap w:val="0"/>
            <w:vAlign w:val="center"/>
          </w:tcPr>
          <w:p w14:paraId="6089A92E">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513B997F">
            <w:pPr>
              <w:adjustRightInd w:val="0"/>
              <w:snapToGrid w:val="0"/>
              <w:spacing w:line="360" w:lineRule="auto"/>
              <w:jc w:val="left"/>
              <w:rPr>
                <w:rFonts w:hint="eastAsia" w:ascii="宋体" w:hAnsi="宋体" w:cs="宋体"/>
                <w:bCs/>
                <w:color w:val="000000"/>
                <w:sz w:val="24"/>
                <w:szCs w:val="24"/>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2566" w:type="dxa"/>
            <w:noWrap w:val="0"/>
            <w:vAlign w:val="center"/>
          </w:tcPr>
          <w:p w14:paraId="3044D049">
            <w:pPr>
              <w:spacing w:line="360" w:lineRule="auto"/>
              <w:jc w:val="both"/>
              <w:rPr>
                <w:rFonts w:hint="eastAsia" w:ascii="宋体" w:hAnsi="宋体" w:cs="宋体"/>
                <w:bCs/>
                <w:color w:val="000000"/>
                <w:sz w:val="24"/>
                <w:szCs w:val="24"/>
                <w:highlight w:val="magenta"/>
              </w:rPr>
            </w:pPr>
          </w:p>
        </w:tc>
        <w:tc>
          <w:tcPr>
            <w:tcW w:w="1454" w:type="dxa"/>
            <w:noWrap w:val="0"/>
            <w:vAlign w:val="center"/>
          </w:tcPr>
          <w:p w14:paraId="5FD6790A">
            <w:pPr>
              <w:spacing w:line="360" w:lineRule="auto"/>
              <w:jc w:val="center"/>
              <w:rPr>
                <w:rFonts w:hint="eastAsia" w:ascii="宋体" w:hAnsi="宋体" w:cs="宋体"/>
                <w:bCs/>
                <w:color w:val="000000"/>
                <w:sz w:val="24"/>
                <w:szCs w:val="24"/>
                <w:highlight w:val="magenta"/>
              </w:rPr>
            </w:pPr>
          </w:p>
        </w:tc>
        <w:tc>
          <w:tcPr>
            <w:tcW w:w="1293" w:type="dxa"/>
            <w:noWrap w:val="0"/>
            <w:vAlign w:val="center"/>
          </w:tcPr>
          <w:p w14:paraId="4CBA1C8A">
            <w:pPr>
              <w:spacing w:line="360" w:lineRule="auto"/>
              <w:jc w:val="center"/>
              <w:rPr>
                <w:rFonts w:hint="eastAsia" w:ascii="宋体" w:hAnsi="宋体" w:cs="宋体"/>
                <w:bCs/>
                <w:color w:val="000000"/>
                <w:sz w:val="24"/>
                <w:szCs w:val="24"/>
              </w:rPr>
            </w:pPr>
          </w:p>
        </w:tc>
        <w:tc>
          <w:tcPr>
            <w:tcW w:w="973" w:type="dxa"/>
            <w:noWrap w:val="0"/>
            <w:vAlign w:val="center"/>
          </w:tcPr>
          <w:p w14:paraId="64666A9A">
            <w:pPr>
              <w:spacing w:line="360" w:lineRule="auto"/>
              <w:jc w:val="center"/>
              <w:rPr>
                <w:rFonts w:hint="eastAsia" w:ascii="宋体" w:hAnsi="宋体" w:cs="宋体"/>
                <w:bCs/>
                <w:color w:val="000000"/>
                <w:sz w:val="24"/>
                <w:szCs w:val="24"/>
              </w:rPr>
            </w:pPr>
          </w:p>
        </w:tc>
      </w:tr>
    </w:tbl>
    <w:p w14:paraId="0281AC99">
      <w:pPr>
        <w:spacing w:line="600" w:lineRule="auto"/>
        <w:rPr>
          <w:rFonts w:hint="eastAsia" w:ascii="宋体" w:hAnsi="宋体"/>
          <w:b/>
          <w:color w:val="000000"/>
          <w:sz w:val="24"/>
          <w:szCs w:val="24"/>
        </w:rPr>
      </w:pPr>
      <w:r>
        <w:rPr>
          <w:rFonts w:hint="eastAsia" w:ascii="宋体" w:hAnsi="宋体"/>
          <w:b/>
          <w:color w:val="000000"/>
          <w:sz w:val="24"/>
          <w:szCs w:val="24"/>
        </w:rPr>
        <w:t>备注：所有磋商报价均含税，且用人民币表示，单位为元，精确到小数点后两位；</w:t>
      </w:r>
    </w:p>
    <w:p w14:paraId="209338C5">
      <w:pPr>
        <w:spacing w:line="600" w:lineRule="auto"/>
        <w:ind w:firstLine="5280" w:firstLineChars="2200"/>
        <w:rPr>
          <w:rFonts w:hint="eastAsia" w:ascii="宋体" w:hAnsi="宋体"/>
          <w:bCs/>
          <w:color w:val="000000"/>
          <w:sz w:val="24"/>
          <w:szCs w:val="24"/>
        </w:rPr>
      </w:pPr>
      <w:r>
        <w:rPr>
          <w:rFonts w:hint="eastAsia" w:ascii="宋体" w:hAnsi="宋体"/>
          <w:bCs/>
          <w:color w:val="000000"/>
          <w:sz w:val="24"/>
          <w:szCs w:val="24"/>
        </w:rPr>
        <w:t xml:space="preserve"> </w:t>
      </w:r>
      <w:bookmarkStart w:id="446" w:name="_Toc12377632"/>
      <w:bookmarkStart w:id="447" w:name="_Toc23344"/>
      <w:bookmarkStart w:id="448" w:name="_Toc10563608"/>
      <w:bookmarkStart w:id="449" w:name="_Toc10563647"/>
      <w:r>
        <w:rPr>
          <w:rFonts w:hint="eastAsia" w:ascii="宋体" w:hAnsi="宋体"/>
          <w:bCs/>
          <w:color w:val="000000"/>
          <w:sz w:val="24"/>
          <w:szCs w:val="24"/>
        </w:rPr>
        <w:t>供应商：</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1DE190AC">
      <w:pPr>
        <w:adjustRightInd w:val="0"/>
        <w:snapToGrid w:val="0"/>
        <w:spacing w:line="480" w:lineRule="auto"/>
        <w:ind w:firstLine="480" w:firstLineChars="200"/>
        <w:jc w:val="right"/>
        <w:rPr>
          <w:rFonts w:hint="eastAsia"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444F83E6">
      <w:pPr>
        <w:adjustRightInd w:val="0"/>
        <w:snapToGrid w:val="0"/>
        <w:spacing w:line="480" w:lineRule="auto"/>
        <w:ind w:firstLine="3240" w:firstLineChars="1350"/>
        <w:jc w:val="right"/>
        <w:rPr>
          <w:rFonts w:hint="eastAsia"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1B722064">
      <w:pPr>
        <w:spacing w:line="360" w:lineRule="auto"/>
        <w:rPr>
          <w:rFonts w:hint="eastAsia" w:ascii="宋体" w:hAnsi="宋体"/>
          <w:color w:val="000000"/>
          <w:sz w:val="24"/>
          <w:szCs w:val="24"/>
        </w:rPr>
      </w:pPr>
    </w:p>
    <w:p w14:paraId="2FF207AF">
      <w:pPr>
        <w:spacing w:line="360" w:lineRule="auto"/>
        <w:rPr>
          <w:rFonts w:hint="eastAsia" w:ascii="宋体" w:hAnsi="宋体"/>
          <w:color w:val="000000"/>
          <w:sz w:val="24"/>
          <w:szCs w:val="24"/>
        </w:rPr>
      </w:pPr>
    </w:p>
    <w:p w14:paraId="1A1B77D5">
      <w:pPr>
        <w:pStyle w:val="14"/>
        <w:rPr>
          <w:rFonts w:hint="eastAsia"/>
          <w:color w:val="000000"/>
        </w:rPr>
      </w:pPr>
    </w:p>
    <w:bookmarkEnd w:id="446"/>
    <w:bookmarkEnd w:id="447"/>
    <w:bookmarkEnd w:id="448"/>
    <w:bookmarkEnd w:id="449"/>
    <w:p w14:paraId="7A50F079">
      <w:pPr>
        <w:pStyle w:val="3"/>
        <w:adjustRightInd w:val="0"/>
        <w:snapToGrid w:val="0"/>
        <w:spacing w:before="0" w:after="0" w:line="360" w:lineRule="auto"/>
        <w:ind w:firstLine="482" w:firstLineChars="200"/>
        <w:jc w:val="center"/>
        <w:rPr>
          <w:rFonts w:hint="eastAsia" w:ascii="宋体" w:hAnsi="宋体" w:eastAsia="宋体" w:cs="宋体"/>
          <w:bCs w:val="0"/>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50" w:name="_Toc12377634"/>
      <w:bookmarkStart w:id="451" w:name="_Toc7248"/>
      <w:bookmarkStart w:id="452" w:name="_Toc10563610"/>
      <w:bookmarkStart w:id="453" w:name="_Toc10563649"/>
    </w:p>
    <w:p w14:paraId="3ABA83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3.服务费用说明一览表</w:t>
      </w:r>
    </w:p>
    <w:p w14:paraId="7610DEC0">
      <w:pPr>
        <w:adjustRightInd w:val="0"/>
        <w:snapToGrid w:val="0"/>
        <w:spacing w:line="360" w:lineRule="auto"/>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9"/>
        <w:tblW w:w="9216" w:type="dxa"/>
        <w:jc w:val="center"/>
        <w:tblLayout w:type="fixed"/>
        <w:tblCellMar>
          <w:top w:w="0" w:type="dxa"/>
          <w:left w:w="28" w:type="dxa"/>
          <w:bottom w:w="0" w:type="dxa"/>
          <w:right w:w="28" w:type="dxa"/>
        </w:tblCellMar>
      </w:tblPr>
      <w:tblGrid>
        <w:gridCol w:w="722"/>
        <w:gridCol w:w="1354"/>
        <w:gridCol w:w="1384"/>
        <w:gridCol w:w="1384"/>
        <w:gridCol w:w="1386"/>
        <w:gridCol w:w="1493"/>
        <w:gridCol w:w="1493"/>
      </w:tblGrid>
      <w:tr w14:paraId="22836AAF">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6" w:space="0"/>
            </w:tcBorders>
            <w:noWrap w:val="0"/>
            <w:vAlign w:val="center"/>
          </w:tcPr>
          <w:p w14:paraId="720448B2">
            <w:pPr>
              <w:spacing w:line="0" w:lineRule="atLeast"/>
              <w:jc w:val="center"/>
              <w:rPr>
                <w:rFonts w:hint="eastAsia" w:ascii="宋体" w:hAnsi="宋体"/>
                <w:b/>
                <w:color w:val="000000"/>
                <w:sz w:val="24"/>
                <w:szCs w:val="24"/>
              </w:rPr>
            </w:pPr>
            <w:bookmarkStart w:id="454" w:name="_Toc10563648"/>
            <w:bookmarkStart w:id="455" w:name="_Toc10563609"/>
            <w:bookmarkStart w:id="456" w:name="_Toc12377633"/>
            <w:bookmarkStart w:id="457" w:name="_Toc10851"/>
            <w:r>
              <w:rPr>
                <w:rFonts w:hint="eastAsia" w:ascii="宋体" w:hAnsi="宋体"/>
                <w:b/>
                <w:color w:val="000000"/>
                <w:sz w:val="24"/>
                <w:szCs w:val="24"/>
              </w:rPr>
              <w:t>序号</w:t>
            </w:r>
          </w:p>
        </w:tc>
        <w:tc>
          <w:tcPr>
            <w:tcW w:w="1354" w:type="dxa"/>
            <w:tcBorders>
              <w:top w:val="single" w:color="auto" w:sz="6" w:space="0"/>
              <w:left w:val="single" w:color="auto" w:sz="6" w:space="0"/>
              <w:bottom w:val="single" w:color="auto" w:sz="6" w:space="0"/>
              <w:right w:val="single" w:color="auto" w:sz="6" w:space="0"/>
            </w:tcBorders>
            <w:noWrap w:val="0"/>
            <w:vAlign w:val="center"/>
          </w:tcPr>
          <w:p w14:paraId="1DB702D7">
            <w:pPr>
              <w:spacing w:line="0" w:lineRule="atLeast"/>
              <w:jc w:val="center"/>
              <w:rPr>
                <w:rFonts w:hint="eastAsia" w:ascii="宋体" w:hAnsi="宋体"/>
                <w:b/>
                <w:color w:val="000000"/>
                <w:sz w:val="24"/>
                <w:szCs w:val="24"/>
              </w:rPr>
            </w:pPr>
            <w:r>
              <w:rPr>
                <w:rFonts w:hint="eastAsia" w:ascii="宋体" w:hAnsi="宋体"/>
                <w:b/>
                <w:color w:val="000000"/>
                <w:sz w:val="24"/>
                <w:szCs w:val="24"/>
              </w:rPr>
              <w:t>服务名称</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1F2CF21F">
            <w:pPr>
              <w:spacing w:line="0" w:lineRule="atLeast"/>
              <w:jc w:val="center"/>
              <w:rPr>
                <w:rFonts w:hint="eastAsia" w:ascii="宋体" w:hAnsi="宋体"/>
                <w:b/>
                <w:color w:val="000000"/>
                <w:sz w:val="24"/>
                <w:szCs w:val="24"/>
              </w:rPr>
            </w:pPr>
            <w:r>
              <w:rPr>
                <w:rFonts w:hint="eastAsia" w:ascii="宋体" w:hAnsi="宋体"/>
                <w:b/>
                <w:color w:val="000000"/>
                <w:sz w:val="24"/>
                <w:szCs w:val="24"/>
              </w:rPr>
              <w:t>服务内容</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0334B886">
            <w:pPr>
              <w:spacing w:line="0" w:lineRule="atLeast"/>
              <w:jc w:val="center"/>
              <w:rPr>
                <w:rFonts w:hint="eastAsia" w:ascii="宋体" w:hAnsi="宋体"/>
                <w:b/>
                <w:color w:val="000000"/>
                <w:sz w:val="24"/>
                <w:szCs w:val="24"/>
              </w:rPr>
            </w:pPr>
            <w:r>
              <w:rPr>
                <w:rFonts w:hint="eastAsia" w:ascii="宋体" w:hAnsi="宋体"/>
                <w:b/>
                <w:color w:val="000000"/>
                <w:sz w:val="24"/>
                <w:szCs w:val="24"/>
              </w:rPr>
              <w:t>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14:paraId="5075F914">
            <w:pPr>
              <w:spacing w:line="0" w:lineRule="atLeast"/>
              <w:jc w:val="center"/>
              <w:rPr>
                <w:rFonts w:hint="eastAsia" w:ascii="宋体" w:hAnsi="宋体"/>
                <w:b/>
                <w:color w:val="000000"/>
                <w:sz w:val="24"/>
                <w:szCs w:val="24"/>
              </w:rPr>
            </w:pPr>
            <w:r>
              <w:rPr>
                <w:rFonts w:hint="eastAsia" w:ascii="宋体" w:hAnsi="宋体"/>
                <w:b/>
                <w:color w:val="000000"/>
                <w:sz w:val="24"/>
                <w:szCs w:val="24"/>
              </w:rPr>
              <w:t>单价（元）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09F599EF">
            <w:pPr>
              <w:spacing w:line="0" w:lineRule="atLeast"/>
              <w:jc w:val="center"/>
              <w:rPr>
                <w:rFonts w:hint="eastAsia" w:ascii="宋体" w:hAnsi="宋体"/>
                <w:b/>
                <w:bCs/>
                <w:color w:val="000000"/>
                <w:sz w:val="24"/>
                <w:szCs w:val="24"/>
              </w:rPr>
            </w:pPr>
            <w:r>
              <w:rPr>
                <w:rFonts w:hint="eastAsia" w:ascii="宋体" w:hAnsi="宋体"/>
                <w:b/>
                <w:bCs/>
                <w:color w:val="000000"/>
                <w:sz w:val="24"/>
                <w:szCs w:val="24"/>
              </w:rPr>
              <w:t>合价（元）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6A863E99">
            <w:pPr>
              <w:spacing w:line="0" w:lineRule="atLeast"/>
              <w:jc w:val="center"/>
              <w:rPr>
                <w:rFonts w:ascii="宋体" w:hAnsi="宋体"/>
                <w:b/>
                <w:bCs/>
                <w:color w:val="000000"/>
                <w:sz w:val="24"/>
                <w:szCs w:val="24"/>
              </w:rPr>
            </w:pPr>
            <w:r>
              <w:rPr>
                <w:rFonts w:hint="eastAsia" w:ascii="宋体" w:hAnsi="宋体"/>
                <w:b/>
                <w:bCs/>
                <w:color w:val="000000"/>
                <w:sz w:val="24"/>
                <w:szCs w:val="24"/>
              </w:rPr>
              <w:t>备注</w:t>
            </w:r>
          </w:p>
        </w:tc>
      </w:tr>
      <w:tr w14:paraId="5B539B51">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4" w:space="0"/>
            </w:tcBorders>
            <w:noWrap w:val="0"/>
            <w:vAlign w:val="center"/>
          </w:tcPr>
          <w:p w14:paraId="6B3DC86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354" w:type="dxa"/>
            <w:tcBorders>
              <w:top w:val="single" w:color="auto" w:sz="6" w:space="0"/>
              <w:left w:val="single" w:color="auto" w:sz="6" w:space="0"/>
              <w:bottom w:val="single" w:color="auto" w:sz="4" w:space="0"/>
              <w:right w:val="single" w:color="auto" w:sz="6" w:space="0"/>
            </w:tcBorders>
            <w:noWrap w:val="0"/>
            <w:vAlign w:val="center"/>
          </w:tcPr>
          <w:p w14:paraId="72D54EE2">
            <w:pPr>
              <w:adjustRightInd w:val="0"/>
              <w:snapToGrid w:val="0"/>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2726C5D2">
            <w:pPr>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5144DB74">
            <w:pPr>
              <w:spacing w:line="0" w:lineRule="atLeast"/>
              <w:jc w:val="center"/>
              <w:rPr>
                <w:rFonts w:hint="eastAsia" w:ascii="宋体" w:hAnsi="宋体"/>
                <w:color w:val="000000"/>
                <w:sz w:val="24"/>
                <w:szCs w:val="24"/>
              </w:rPr>
            </w:pPr>
          </w:p>
        </w:tc>
        <w:tc>
          <w:tcPr>
            <w:tcW w:w="1386" w:type="dxa"/>
            <w:tcBorders>
              <w:top w:val="single" w:color="auto" w:sz="6" w:space="0"/>
              <w:left w:val="single" w:color="auto" w:sz="6" w:space="0"/>
              <w:bottom w:val="single" w:color="auto" w:sz="4" w:space="0"/>
              <w:right w:val="single" w:color="auto" w:sz="6" w:space="0"/>
            </w:tcBorders>
            <w:noWrap w:val="0"/>
            <w:vAlign w:val="center"/>
          </w:tcPr>
          <w:p w14:paraId="62CEA4C6">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1CF80A22">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55E0E6E6">
            <w:pPr>
              <w:spacing w:line="0" w:lineRule="atLeast"/>
              <w:jc w:val="center"/>
              <w:rPr>
                <w:rFonts w:hint="eastAsia" w:ascii="宋体" w:hAnsi="宋体"/>
                <w:color w:val="000000"/>
                <w:sz w:val="24"/>
                <w:szCs w:val="24"/>
              </w:rPr>
            </w:pPr>
          </w:p>
        </w:tc>
      </w:tr>
      <w:tr w14:paraId="275EBD9A">
        <w:tblPrEx>
          <w:tblCellMar>
            <w:top w:w="0" w:type="dxa"/>
            <w:left w:w="28" w:type="dxa"/>
            <w:bottom w:w="0" w:type="dxa"/>
            <w:right w:w="28" w:type="dxa"/>
          </w:tblCellMar>
        </w:tblPrEx>
        <w:trPr>
          <w:trHeight w:val="729" w:hRule="atLeast"/>
          <w:jc w:val="center"/>
        </w:trPr>
        <w:tc>
          <w:tcPr>
            <w:tcW w:w="722" w:type="dxa"/>
            <w:tcBorders>
              <w:top w:val="single" w:color="auto" w:sz="4" w:space="0"/>
              <w:left w:val="single" w:color="auto" w:sz="6" w:space="0"/>
              <w:bottom w:val="single" w:color="auto" w:sz="6" w:space="0"/>
            </w:tcBorders>
            <w:noWrap w:val="0"/>
            <w:vAlign w:val="center"/>
          </w:tcPr>
          <w:p w14:paraId="582BBB3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5B20F9ED">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1FCE3C7D">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055A5CA2">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5665D4AD">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E2D432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D0D1712">
            <w:pPr>
              <w:spacing w:line="0" w:lineRule="atLeast"/>
              <w:jc w:val="center"/>
              <w:rPr>
                <w:rFonts w:hint="eastAsia" w:ascii="宋体" w:hAnsi="宋体"/>
                <w:color w:val="000000"/>
                <w:sz w:val="24"/>
                <w:szCs w:val="24"/>
              </w:rPr>
            </w:pPr>
          </w:p>
        </w:tc>
      </w:tr>
      <w:tr w14:paraId="075A5D36">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2355B6E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1F45C26B">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7EB24335">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2D4310B">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605248C">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054CA5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4478967">
            <w:pPr>
              <w:spacing w:line="0" w:lineRule="atLeast"/>
              <w:jc w:val="center"/>
              <w:rPr>
                <w:rFonts w:hint="eastAsia" w:ascii="宋体" w:hAnsi="宋体"/>
                <w:color w:val="000000"/>
                <w:sz w:val="24"/>
                <w:szCs w:val="24"/>
              </w:rPr>
            </w:pPr>
          </w:p>
        </w:tc>
      </w:tr>
      <w:tr w14:paraId="61959209">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0DDB52E6">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6E1465AC">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48E23A6C">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34C6F9D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FDF3DAE">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4883056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CFEF5ED">
            <w:pPr>
              <w:spacing w:line="0" w:lineRule="atLeast"/>
              <w:jc w:val="center"/>
              <w:rPr>
                <w:rFonts w:hint="eastAsia" w:ascii="宋体" w:hAnsi="宋体"/>
                <w:color w:val="000000"/>
                <w:sz w:val="24"/>
                <w:szCs w:val="24"/>
              </w:rPr>
            </w:pPr>
          </w:p>
        </w:tc>
      </w:tr>
      <w:tr w14:paraId="16C436F7">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18D643B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04F0BF8D">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w:t>
            </w: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61AC41B">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F2CD72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22C8C7F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DC14A56">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F99EBA6">
            <w:pPr>
              <w:spacing w:line="0" w:lineRule="atLeast"/>
              <w:jc w:val="center"/>
              <w:rPr>
                <w:rFonts w:hint="eastAsia" w:ascii="宋体" w:hAnsi="宋体"/>
                <w:color w:val="000000"/>
                <w:sz w:val="24"/>
                <w:szCs w:val="24"/>
              </w:rPr>
            </w:pPr>
          </w:p>
        </w:tc>
      </w:tr>
      <w:tr w14:paraId="35BA1B22">
        <w:tblPrEx>
          <w:tblCellMar>
            <w:top w:w="0" w:type="dxa"/>
            <w:left w:w="28" w:type="dxa"/>
            <w:bottom w:w="0" w:type="dxa"/>
            <w:right w:w="28" w:type="dxa"/>
          </w:tblCellMar>
        </w:tblPrEx>
        <w:trPr>
          <w:trHeight w:val="1111" w:hRule="atLeast"/>
          <w:jc w:val="center"/>
        </w:trPr>
        <w:tc>
          <w:tcPr>
            <w:tcW w:w="722" w:type="dxa"/>
            <w:tcBorders>
              <w:top w:val="single" w:color="auto" w:sz="4" w:space="0"/>
              <w:left w:val="single" w:color="auto" w:sz="6" w:space="0"/>
              <w:bottom w:val="single" w:color="auto" w:sz="4" w:space="0"/>
              <w:right w:val="single" w:color="auto" w:sz="4" w:space="0"/>
            </w:tcBorders>
            <w:noWrap w:val="0"/>
            <w:vAlign w:val="center"/>
          </w:tcPr>
          <w:p w14:paraId="375134BD">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合计</w:t>
            </w:r>
          </w:p>
          <w:p w14:paraId="029DCD13">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总价</w:t>
            </w:r>
          </w:p>
        </w:tc>
        <w:tc>
          <w:tcPr>
            <w:tcW w:w="7001" w:type="dxa"/>
            <w:gridSpan w:val="5"/>
            <w:tcBorders>
              <w:top w:val="single" w:color="auto" w:sz="4" w:space="0"/>
              <w:left w:val="single" w:color="auto" w:sz="6" w:space="0"/>
              <w:bottom w:val="single" w:color="auto" w:sz="4" w:space="0"/>
              <w:right w:val="single" w:color="auto" w:sz="4" w:space="0"/>
            </w:tcBorders>
            <w:noWrap w:val="0"/>
            <w:vAlign w:val="center"/>
          </w:tcPr>
          <w:p w14:paraId="2A3FBB45">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（小写）：</w:t>
            </w:r>
          </w:p>
          <w:p w14:paraId="7EA0E1BE">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（大写）：</w:t>
            </w:r>
          </w:p>
        </w:tc>
        <w:tc>
          <w:tcPr>
            <w:tcW w:w="1493" w:type="dxa"/>
            <w:tcBorders>
              <w:top w:val="single" w:color="auto" w:sz="4" w:space="0"/>
              <w:left w:val="single" w:color="auto" w:sz="6" w:space="0"/>
              <w:bottom w:val="single" w:color="auto" w:sz="4" w:space="0"/>
              <w:right w:val="single" w:color="auto" w:sz="4" w:space="0"/>
            </w:tcBorders>
            <w:noWrap w:val="0"/>
            <w:vAlign w:val="center"/>
          </w:tcPr>
          <w:p w14:paraId="397A9FE7">
            <w:pPr>
              <w:adjustRightInd w:val="0"/>
              <w:snapToGrid w:val="0"/>
              <w:spacing w:line="0" w:lineRule="atLeast"/>
              <w:jc w:val="left"/>
              <w:rPr>
                <w:rFonts w:hint="eastAsia" w:ascii="宋体" w:hAnsi="宋体"/>
                <w:color w:val="000000"/>
                <w:sz w:val="24"/>
                <w:szCs w:val="24"/>
              </w:rPr>
            </w:pPr>
          </w:p>
        </w:tc>
      </w:tr>
    </w:tbl>
    <w:p w14:paraId="006D97A6">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说明：</w:t>
      </w:r>
    </w:p>
    <w:p w14:paraId="13B6F718">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1.所有磋商报价均含税，且用人民币表示，单位为元，精确到小数点后两位；</w:t>
      </w:r>
    </w:p>
    <w:p w14:paraId="6A82AF4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w:t>
      </w:r>
      <w:r>
        <w:rPr>
          <w:rFonts w:hint="eastAsia" w:ascii="宋体" w:hAnsi="宋体" w:eastAsia="宋体" w:cs="宋体"/>
          <w:b/>
          <w:bCs/>
          <w:color w:val="auto"/>
          <w:sz w:val="24"/>
          <w:szCs w:val="24"/>
          <w:highlight w:val="none"/>
          <w:lang w:val="en-US" w:eastAsia="zh-CN"/>
        </w:rPr>
        <w:t>该表中包含供应商认为完成本项目所需的所有费用,合计总价应与磋商</w:t>
      </w:r>
      <w:r>
        <w:rPr>
          <w:rFonts w:hint="eastAsia" w:ascii="宋体" w:hAnsi="宋体" w:cs="宋体"/>
          <w:b/>
          <w:bCs/>
          <w:sz w:val="24"/>
          <w:szCs w:val="24"/>
        </w:rPr>
        <w:t>一次报价表中</w:t>
      </w:r>
      <w:r>
        <w:rPr>
          <w:rFonts w:hint="eastAsia" w:ascii="宋体" w:hAnsi="宋体" w:cs="宋体"/>
          <w:b/>
          <w:bCs/>
          <w:sz w:val="24"/>
          <w:szCs w:val="24"/>
          <w:lang w:eastAsia="zh-CN"/>
        </w:rPr>
        <w:t>磋商</w:t>
      </w:r>
      <w:r>
        <w:rPr>
          <w:rFonts w:hint="eastAsia" w:ascii="宋体" w:hAnsi="宋体" w:cs="宋体"/>
          <w:b/>
          <w:bCs/>
          <w:sz w:val="24"/>
          <w:szCs w:val="24"/>
          <w:lang w:val="en-US" w:eastAsia="zh-CN"/>
        </w:rPr>
        <w:t>一次总</w:t>
      </w:r>
      <w:r>
        <w:rPr>
          <w:rFonts w:hint="eastAsia" w:ascii="宋体" w:hAnsi="宋体" w:cs="宋体"/>
          <w:b/>
          <w:bCs/>
          <w:sz w:val="24"/>
          <w:szCs w:val="24"/>
          <w:lang w:eastAsia="zh-CN"/>
        </w:rPr>
        <w:t>报价</w:t>
      </w:r>
      <w:r>
        <w:rPr>
          <w:rFonts w:hint="eastAsia" w:ascii="宋体" w:hAnsi="宋体" w:cs="宋体"/>
          <w:b/>
          <w:bCs/>
          <w:sz w:val="24"/>
          <w:szCs w:val="24"/>
        </w:rPr>
        <w:t>金额一致。</w:t>
      </w:r>
    </w:p>
    <w:p w14:paraId="6929F211">
      <w:pPr>
        <w:adjustRightInd w:val="0"/>
        <w:snapToGrid w:val="0"/>
        <w:spacing w:line="360" w:lineRule="auto"/>
        <w:ind w:firstLine="480" w:firstLineChars="200"/>
        <w:jc w:val="right"/>
        <w:rPr>
          <w:rFonts w:hint="eastAsia" w:ascii="宋体" w:hAnsi="宋体" w:cs="宋体"/>
          <w:color w:val="000000"/>
          <w:sz w:val="24"/>
          <w:szCs w:val="24"/>
        </w:rPr>
      </w:pPr>
    </w:p>
    <w:p w14:paraId="112B489D">
      <w:pPr>
        <w:adjustRightInd w:val="0"/>
        <w:snapToGrid w:val="0"/>
        <w:spacing w:line="360" w:lineRule="auto"/>
        <w:ind w:firstLine="480" w:firstLineChars="200"/>
        <w:jc w:val="right"/>
        <w:rPr>
          <w:rFonts w:hint="eastAsia" w:ascii="宋体" w:hAnsi="宋体" w:cs="宋体"/>
          <w:color w:val="000000"/>
          <w:sz w:val="24"/>
          <w:szCs w:val="24"/>
        </w:rPr>
      </w:pPr>
    </w:p>
    <w:p w14:paraId="43713AE7">
      <w:pPr>
        <w:adjustRightInd w:val="0"/>
        <w:snapToGrid w:val="0"/>
        <w:spacing w:line="36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FDE90C1">
      <w:pPr>
        <w:adjustRightInd w:val="0"/>
        <w:snapToGrid w:val="0"/>
        <w:spacing w:line="36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AFB721B">
      <w:pPr>
        <w:adjustRightInd w:val="0"/>
        <w:snapToGrid w:val="0"/>
        <w:spacing w:line="360" w:lineRule="auto"/>
        <w:ind w:firstLine="480" w:firstLineChars="200"/>
        <w:jc w:val="right"/>
        <w:rPr>
          <w:rFonts w:hint="eastAsia" w:ascii="宋体" w:hAnsi="宋体" w:cs="宋体"/>
          <w:color w:val="000000"/>
          <w:sz w:val="24"/>
          <w:szCs w:val="24"/>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bookmarkEnd w:id="454"/>
    <w:bookmarkEnd w:id="455"/>
    <w:bookmarkEnd w:id="456"/>
    <w:bookmarkEnd w:id="457"/>
    <w:p w14:paraId="2B2FB2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4.</w:t>
      </w:r>
      <w:r>
        <w:rPr>
          <w:rFonts w:hint="eastAsia" w:ascii="宋体" w:hAnsi="宋体" w:eastAsia="宋体" w:cs="Times New Roman"/>
          <w:b/>
          <w:color w:val="auto"/>
          <w:sz w:val="32"/>
          <w:szCs w:val="32"/>
          <w:highlight w:val="none"/>
          <w:lang w:val="en-US" w:eastAsia="zh-CN"/>
        </w:rPr>
        <w:t>服务</w:t>
      </w:r>
      <w:r>
        <w:rPr>
          <w:rFonts w:hint="eastAsia" w:ascii="宋体" w:hAnsi="宋体" w:eastAsia="宋体" w:cs="Times New Roman"/>
          <w:b/>
          <w:color w:val="auto"/>
          <w:sz w:val="32"/>
          <w:szCs w:val="32"/>
          <w:highlight w:val="none"/>
          <w:lang w:eastAsia="zh-CN"/>
        </w:rPr>
        <w:t>条款响应偏离表</w:t>
      </w:r>
    </w:p>
    <w:p w14:paraId="0A18F76D">
      <w:pPr>
        <w:adjustRightInd w:val="0"/>
        <w:snapToGrid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09BA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037B6B0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471" w:type="dxa"/>
            <w:noWrap w:val="0"/>
            <w:tcMar>
              <w:top w:w="57" w:type="dxa"/>
              <w:left w:w="28" w:type="dxa"/>
              <w:bottom w:w="57" w:type="dxa"/>
              <w:right w:w="28" w:type="dxa"/>
            </w:tcMar>
            <w:vAlign w:val="center"/>
          </w:tcPr>
          <w:p w14:paraId="3333B8C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竞争性磋商文件</w:t>
            </w:r>
          </w:p>
          <w:p w14:paraId="790BEF48">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服务要求</w:t>
            </w:r>
          </w:p>
        </w:tc>
        <w:tc>
          <w:tcPr>
            <w:tcW w:w="2064" w:type="dxa"/>
            <w:noWrap w:val="0"/>
            <w:tcMar>
              <w:top w:w="57" w:type="dxa"/>
              <w:left w:w="28" w:type="dxa"/>
              <w:bottom w:w="57" w:type="dxa"/>
              <w:right w:w="28" w:type="dxa"/>
            </w:tcMar>
            <w:vAlign w:val="center"/>
          </w:tcPr>
          <w:p w14:paraId="7C043CB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757" w:type="dxa"/>
            <w:noWrap w:val="0"/>
            <w:tcMar>
              <w:top w:w="57" w:type="dxa"/>
              <w:left w:w="28" w:type="dxa"/>
              <w:bottom w:w="57" w:type="dxa"/>
              <w:right w:w="28" w:type="dxa"/>
            </w:tcMar>
            <w:vAlign w:val="center"/>
          </w:tcPr>
          <w:p w14:paraId="3222BFC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偏离情况</w:t>
            </w:r>
          </w:p>
          <w:p w14:paraId="7BA1C1A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（正偏离/无偏离/负偏离）</w:t>
            </w:r>
          </w:p>
        </w:tc>
        <w:tc>
          <w:tcPr>
            <w:tcW w:w="1073" w:type="dxa"/>
            <w:noWrap w:val="0"/>
            <w:tcMar>
              <w:top w:w="57" w:type="dxa"/>
              <w:left w:w="28" w:type="dxa"/>
              <w:bottom w:w="57" w:type="dxa"/>
              <w:right w:w="28" w:type="dxa"/>
            </w:tcMar>
            <w:vAlign w:val="center"/>
          </w:tcPr>
          <w:p w14:paraId="401E36CA">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备注</w:t>
            </w:r>
          </w:p>
        </w:tc>
      </w:tr>
      <w:tr w14:paraId="03C0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B1A55E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1</w:t>
            </w:r>
          </w:p>
        </w:tc>
        <w:tc>
          <w:tcPr>
            <w:tcW w:w="2471" w:type="dxa"/>
            <w:noWrap w:val="0"/>
            <w:tcMar>
              <w:top w:w="57" w:type="dxa"/>
              <w:left w:w="28" w:type="dxa"/>
              <w:bottom w:w="57" w:type="dxa"/>
              <w:right w:w="28" w:type="dxa"/>
            </w:tcMar>
            <w:vAlign w:val="center"/>
          </w:tcPr>
          <w:p w14:paraId="088E83C9">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B92707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1475AA99">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3E137171">
            <w:pPr>
              <w:adjustRightInd w:val="0"/>
              <w:snapToGrid w:val="0"/>
              <w:spacing w:line="360" w:lineRule="auto"/>
              <w:jc w:val="center"/>
              <w:rPr>
                <w:rFonts w:hint="eastAsia" w:ascii="宋体" w:hAnsi="宋体" w:cs="宋体"/>
                <w:b/>
                <w:bCs/>
                <w:color w:val="000000"/>
                <w:sz w:val="24"/>
                <w:szCs w:val="24"/>
              </w:rPr>
            </w:pPr>
          </w:p>
        </w:tc>
      </w:tr>
      <w:tr w14:paraId="6BCC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C854ED9">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2</w:t>
            </w:r>
          </w:p>
        </w:tc>
        <w:tc>
          <w:tcPr>
            <w:tcW w:w="2471" w:type="dxa"/>
            <w:noWrap w:val="0"/>
            <w:tcMar>
              <w:top w:w="57" w:type="dxa"/>
              <w:left w:w="28" w:type="dxa"/>
              <w:bottom w:w="57" w:type="dxa"/>
              <w:right w:w="28" w:type="dxa"/>
            </w:tcMar>
            <w:vAlign w:val="center"/>
          </w:tcPr>
          <w:p w14:paraId="3F76B64F">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677415F">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4651FAF">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63D5E799">
            <w:pPr>
              <w:adjustRightInd w:val="0"/>
              <w:snapToGrid w:val="0"/>
              <w:spacing w:line="360" w:lineRule="auto"/>
              <w:jc w:val="center"/>
              <w:rPr>
                <w:rFonts w:hint="eastAsia" w:ascii="宋体" w:hAnsi="宋体" w:cs="宋体"/>
                <w:b/>
                <w:bCs/>
                <w:color w:val="000000"/>
                <w:sz w:val="24"/>
                <w:szCs w:val="24"/>
              </w:rPr>
            </w:pPr>
          </w:p>
        </w:tc>
      </w:tr>
      <w:tr w14:paraId="4B5A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21B046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3</w:t>
            </w:r>
          </w:p>
        </w:tc>
        <w:tc>
          <w:tcPr>
            <w:tcW w:w="2471" w:type="dxa"/>
            <w:noWrap w:val="0"/>
            <w:tcMar>
              <w:top w:w="57" w:type="dxa"/>
              <w:left w:w="28" w:type="dxa"/>
              <w:bottom w:w="57" w:type="dxa"/>
              <w:right w:w="28" w:type="dxa"/>
            </w:tcMar>
            <w:vAlign w:val="center"/>
          </w:tcPr>
          <w:p w14:paraId="10B28A54">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86863C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F1F4BEC">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079E2CF4">
            <w:pPr>
              <w:adjustRightInd w:val="0"/>
              <w:snapToGrid w:val="0"/>
              <w:spacing w:line="360" w:lineRule="auto"/>
              <w:jc w:val="center"/>
              <w:rPr>
                <w:rFonts w:hint="eastAsia" w:ascii="宋体" w:hAnsi="宋体" w:cs="宋体"/>
                <w:b/>
                <w:bCs/>
                <w:color w:val="000000"/>
                <w:sz w:val="24"/>
                <w:szCs w:val="24"/>
              </w:rPr>
            </w:pPr>
          </w:p>
        </w:tc>
      </w:tr>
      <w:tr w14:paraId="3C3B8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58FE56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471" w:type="dxa"/>
            <w:noWrap w:val="0"/>
            <w:tcMar>
              <w:top w:w="57" w:type="dxa"/>
              <w:left w:w="28" w:type="dxa"/>
              <w:bottom w:w="57" w:type="dxa"/>
              <w:right w:w="28" w:type="dxa"/>
            </w:tcMar>
            <w:vAlign w:val="center"/>
          </w:tcPr>
          <w:p w14:paraId="218CC7F7">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7CCA54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A3FBCF5">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67B4078">
            <w:pPr>
              <w:adjustRightInd w:val="0"/>
              <w:snapToGrid w:val="0"/>
              <w:spacing w:line="360" w:lineRule="auto"/>
              <w:jc w:val="center"/>
              <w:rPr>
                <w:rFonts w:hint="eastAsia" w:ascii="宋体" w:hAnsi="宋体" w:cs="宋体"/>
                <w:b/>
                <w:bCs/>
                <w:color w:val="000000"/>
                <w:sz w:val="24"/>
                <w:szCs w:val="24"/>
              </w:rPr>
            </w:pPr>
          </w:p>
        </w:tc>
      </w:tr>
      <w:tr w14:paraId="055A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36E3412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471" w:type="dxa"/>
            <w:noWrap w:val="0"/>
            <w:tcMar>
              <w:top w:w="57" w:type="dxa"/>
              <w:left w:w="28" w:type="dxa"/>
              <w:bottom w:w="57" w:type="dxa"/>
              <w:right w:w="28" w:type="dxa"/>
            </w:tcMar>
            <w:vAlign w:val="center"/>
          </w:tcPr>
          <w:p w14:paraId="2B193740">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9E617D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69F68094">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24A4E664">
            <w:pPr>
              <w:adjustRightInd w:val="0"/>
              <w:snapToGrid w:val="0"/>
              <w:spacing w:line="360" w:lineRule="auto"/>
              <w:jc w:val="center"/>
              <w:rPr>
                <w:rFonts w:hint="eastAsia" w:ascii="宋体" w:hAnsi="宋体" w:cs="宋体"/>
                <w:b/>
                <w:bCs/>
                <w:color w:val="000000"/>
                <w:sz w:val="24"/>
                <w:szCs w:val="24"/>
              </w:rPr>
            </w:pPr>
          </w:p>
        </w:tc>
      </w:tr>
      <w:tr w14:paraId="4E78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69C8679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471" w:type="dxa"/>
            <w:noWrap w:val="0"/>
            <w:tcMar>
              <w:top w:w="57" w:type="dxa"/>
              <w:left w:w="28" w:type="dxa"/>
              <w:bottom w:w="57" w:type="dxa"/>
              <w:right w:w="28" w:type="dxa"/>
            </w:tcMar>
            <w:vAlign w:val="center"/>
          </w:tcPr>
          <w:p w14:paraId="32219AE3">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w:t>
            </w:r>
          </w:p>
        </w:tc>
        <w:tc>
          <w:tcPr>
            <w:tcW w:w="2064" w:type="dxa"/>
            <w:noWrap w:val="0"/>
            <w:tcMar>
              <w:top w:w="57" w:type="dxa"/>
              <w:left w:w="28" w:type="dxa"/>
              <w:bottom w:w="57" w:type="dxa"/>
              <w:right w:w="28" w:type="dxa"/>
            </w:tcMar>
            <w:vAlign w:val="center"/>
          </w:tcPr>
          <w:p w14:paraId="54D75F66">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620CE81">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2F29B87">
            <w:pPr>
              <w:adjustRightInd w:val="0"/>
              <w:snapToGrid w:val="0"/>
              <w:spacing w:line="360" w:lineRule="auto"/>
              <w:jc w:val="center"/>
              <w:rPr>
                <w:rFonts w:hint="eastAsia" w:ascii="宋体" w:hAnsi="宋体" w:cs="宋体"/>
                <w:b/>
                <w:bCs/>
                <w:color w:val="000000"/>
                <w:sz w:val="24"/>
                <w:szCs w:val="24"/>
              </w:rPr>
            </w:pPr>
          </w:p>
        </w:tc>
      </w:tr>
    </w:tbl>
    <w:p w14:paraId="1604A82E">
      <w:pPr>
        <w:adjustRightInd w:val="0"/>
        <w:snapToGrid w:val="0"/>
        <w:spacing w:line="360" w:lineRule="auto"/>
        <w:ind w:firstLine="482" w:firstLineChars="200"/>
        <w:rPr>
          <w:rFonts w:hint="eastAsia"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b/>
          <w:bCs/>
          <w:sz w:val="24"/>
          <w:szCs w:val="22"/>
          <w:lang w:val="en-US" w:eastAsia="zh-CN"/>
        </w:rPr>
        <w:t>服务内容</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3F9C43B6">
      <w:pPr>
        <w:pStyle w:val="38"/>
        <w:adjustRightInd w:val="0"/>
        <w:snapToGrid w:val="0"/>
        <w:spacing w:after="0" w:line="360" w:lineRule="auto"/>
        <w:ind w:firstLine="480" w:firstLineChars="200"/>
        <w:rPr>
          <w:rFonts w:hint="eastAsia" w:ascii="宋体" w:hAnsi="宋体" w:cs="宋体"/>
          <w:color w:val="000000"/>
          <w:sz w:val="24"/>
        </w:rPr>
      </w:pPr>
    </w:p>
    <w:p w14:paraId="22D6EEEA">
      <w:pPr>
        <w:adjustRightInd w:val="0"/>
        <w:snapToGrid w:val="0"/>
        <w:spacing w:line="48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5A39B7AA">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0D132D9">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C90D25D">
      <w:pPr>
        <w:adjustRightInd w:val="0"/>
        <w:snapToGrid w:val="0"/>
        <w:spacing w:line="360" w:lineRule="auto"/>
        <w:ind w:firstLine="480" w:firstLineChars="200"/>
        <w:rPr>
          <w:rFonts w:hint="eastAsia" w:ascii="宋体" w:hAnsi="宋体" w:cs="宋体"/>
          <w:color w:val="000000"/>
          <w:sz w:val="24"/>
          <w:szCs w:val="24"/>
        </w:rPr>
      </w:pPr>
    </w:p>
    <w:p w14:paraId="57E954FB">
      <w:pPr>
        <w:adjustRightInd w:val="0"/>
        <w:snapToGrid w:val="0"/>
        <w:spacing w:line="360" w:lineRule="auto"/>
        <w:ind w:firstLine="480" w:firstLineChars="200"/>
        <w:rPr>
          <w:rFonts w:hint="eastAsia" w:ascii="宋体" w:hAnsi="宋体" w:cs="宋体"/>
          <w:color w:val="000000"/>
          <w:sz w:val="24"/>
          <w:szCs w:val="24"/>
        </w:rPr>
      </w:pPr>
    </w:p>
    <w:p w14:paraId="09637150">
      <w:pPr>
        <w:adjustRightInd w:val="0"/>
        <w:snapToGrid w:val="0"/>
        <w:spacing w:line="360" w:lineRule="auto"/>
        <w:ind w:firstLine="480" w:firstLineChars="200"/>
        <w:rPr>
          <w:rFonts w:hint="eastAsia" w:ascii="宋体" w:hAnsi="宋体" w:cs="宋体"/>
          <w:color w:val="000000"/>
          <w:sz w:val="24"/>
          <w:szCs w:val="24"/>
        </w:rPr>
      </w:pPr>
    </w:p>
    <w:p w14:paraId="1AE80B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5.商务条款响应偏离表</w:t>
      </w:r>
    </w:p>
    <w:p w14:paraId="6997AC1C">
      <w:pPr>
        <w:adjustRightInd w:val="0"/>
        <w:snapToGrid w:val="0"/>
        <w:spacing w:line="360" w:lineRule="auto"/>
        <w:ind w:firstLine="480" w:firstLineChars="200"/>
        <w:jc w:val="left"/>
        <w:rPr>
          <w:rFonts w:hint="eastAsia"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9"/>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2B0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430D0249">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588" w:type="dxa"/>
            <w:noWrap w:val="0"/>
            <w:tcMar>
              <w:top w:w="57" w:type="dxa"/>
              <w:left w:w="28" w:type="dxa"/>
              <w:bottom w:w="57" w:type="dxa"/>
              <w:right w:w="28" w:type="dxa"/>
            </w:tcMar>
            <w:vAlign w:val="center"/>
          </w:tcPr>
          <w:p w14:paraId="2B9A147F">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竞争性磋商文件</w:t>
            </w:r>
          </w:p>
          <w:p w14:paraId="0E443B6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商务要求</w:t>
            </w:r>
          </w:p>
        </w:tc>
        <w:tc>
          <w:tcPr>
            <w:tcW w:w="2330" w:type="dxa"/>
            <w:noWrap w:val="0"/>
            <w:tcMar>
              <w:top w:w="57" w:type="dxa"/>
              <w:left w:w="28" w:type="dxa"/>
              <w:bottom w:w="57" w:type="dxa"/>
              <w:right w:w="28" w:type="dxa"/>
            </w:tcMar>
            <w:vAlign w:val="center"/>
          </w:tcPr>
          <w:p w14:paraId="18E95A88">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响应文件</w:t>
            </w:r>
          </w:p>
          <w:p w14:paraId="7687DADE">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商务响应</w:t>
            </w:r>
          </w:p>
        </w:tc>
        <w:tc>
          <w:tcPr>
            <w:tcW w:w="2113" w:type="dxa"/>
            <w:noWrap w:val="0"/>
            <w:tcMar>
              <w:top w:w="57" w:type="dxa"/>
              <w:left w:w="28" w:type="dxa"/>
              <w:bottom w:w="57" w:type="dxa"/>
              <w:right w:w="28" w:type="dxa"/>
            </w:tcMar>
            <w:vAlign w:val="center"/>
          </w:tcPr>
          <w:p w14:paraId="5D64A77A">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偏离情况</w:t>
            </w:r>
          </w:p>
          <w:p w14:paraId="3CAF6915">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（正偏离/响应）</w:t>
            </w:r>
          </w:p>
        </w:tc>
        <w:tc>
          <w:tcPr>
            <w:tcW w:w="1127" w:type="dxa"/>
            <w:noWrap w:val="0"/>
            <w:vAlign w:val="center"/>
          </w:tcPr>
          <w:p w14:paraId="2A6B7191">
            <w:pPr>
              <w:adjustRightInd w:val="0"/>
              <w:snapToGrid w:val="0"/>
              <w:spacing w:line="360" w:lineRule="auto"/>
              <w:rPr>
                <w:rFonts w:hint="eastAsia" w:ascii="宋体" w:hAnsi="宋体" w:cs="宋体"/>
                <w:b/>
                <w:color w:val="000000"/>
                <w:sz w:val="24"/>
                <w:szCs w:val="24"/>
              </w:rPr>
            </w:pPr>
            <w:r>
              <w:rPr>
                <w:rFonts w:hint="eastAsia" w:ascii="宋体" w:hAnsi="宋体" w:cs="宋体"/>
                <w:b/>
                <w:color w:val="000000"/>
                <w:sz w:val="24"/>
                <w:szCs w:val="24"/>
              </w:rPr>
              <w:t>说明</w:t>
            </w:r>
          </w:p>
        </w:tc>
      </w:tr>
      <w:tr w14:paraId="2437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7CDA1E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2588" w:type="dxa"/>
            <w:noWrap w:val="0"/>
            <w:tcMar>
              <w:top w:w="57" w:type="dxa"/>
              <w:left w:w="28" w:type="dxa"/>
              <w:bottom w:w="57" w:type="dxa"/>
              <w:right w:w="28" w:type="dxa"/>
            </w:tcMar>
            <w:vAlign w:val="center"/>
          </w:tcPr>
          <w:p w14:paraId="58493A2E">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438B76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972CBAF">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0FAA5767">
            <w:pPr>
              <w:adjustRightInd w:val="0"/>
              <w:snapToGrid w:val="0"/>
              <w:spacing w:line="360" w:lineRule="auto"/>
              <w:rPr>
                <w:rFonts w:hint="eastAsia" w:ascii="宋体" w:hAnsi="宋体" w:cs="宋体"/>
                <w:color w:val="000000"/>
                <w:sz w:val="24"/>
                <w:szCs w:val="24"/>
              </w:rPr>
            </w:pPr>
          </w:p>
        </w:tc>
      </w:tr>
      <w:tr w14:paraId="6EE3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D9086E3">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2588" w:type="dxa"/>
            <w:noWrap w:val="0"/>
            <w:tcMar>
              <w:top w:w="57" w:type="dxa"/>
              <w:left w:w="28" w:type="dxa"/>
              <w:bottom w:w="57" w:type="dxa"/>
              <w:right w:w="28" w:type="dxa"/>
            </w:tcMar>
            <w:vAlign w:val="center"/>
          </w:tcPr>
          <w:p w14:paraId="469758EF">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7BCE880C">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996F33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A805421">
            <w:pPr>
              <w:adjustRightInd w:val="0"/>
              <w:snapToGrid w:val="0"/>
              <w:spacing w:line="360" w:lineRule="auto"/>
              <w:rPr>
                <w:rFonts w:hint="eastAsia" w:ascii="宋体" w:hAnsi="宋体" w:cs="宋体"/>
                <w:color w:val="000000"/>
                <w:sz w:val="24"/>
                <w:szCs w:val="24"/>
              </w:rPr>
            </w:pPr>
          </w:p>
        </w:tc>
      </w:tr>
      <w:tr w14:paraId="485C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09300E5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2588" w:type="dxa"/>
            <w:noWrap w:val="0"/>
            <w:tcMar>
              <w:top w:w="57" w:type="dxa"/>
              <w:left w:w="28" w:type="dxa"/>
              <w:bottom w:w="57" w:type="dxa"/>
              <w:right w:w="28" w:type="dxa"/>
            </w:tcMar>
            <w:vAlign w:val="center"/>
          </w:tcPr>
          <w:p w14:paraId="69262CC9">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42F47E9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3EFF3F5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5D0A4D36">
            <w:pPr>
              <w:adjustRightInd w:val="0"/>
              <w:snapToGrid w:val="0"/>
              <w:spacing w:line="360" w:lineRule="auto"/>
              <w:rPr>
                <w:rFonts w:hint="eastAsia" w:ascii="宋体" w:hAnsi="宋体" w:cs="宋体"/>
                <w:color w:val="000000"/>
                <w:sz w:val="24"/>
                <w:szCs w:val="24"/>
              </w:rPr>
            </w:pPr>
          </w:p>
        </w:tc>
      </w:tr>
      <w:tr w14:paraId="1686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10023F4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588" w:type="dxa"/>
            <w:noWrap w:val="0"/>
            <w:tcMar>
              <w:top w:w="57" w:type="dxa"/>
              <w:left w:w="28" w:type="dxa"/>
              <w:bottom w:w="57" w:type="dxa"/>
              <w:right w:w="28" w:type="dxa"/>
            </w:tcMar>
            <w:vAlign w:val="center"/>
          </w:tcPr>
          <w:p w14:paraId="1CA98FA6">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D6C9923">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7B02547D">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E2E01A7">
            <w:pPr>
              <w:adjustRightInd w:val="0"/>
              <w:snapToGrid w:val="0"/>
              <w:spacing w:line="360" w:lineRule="auto"/>
              <w:rPr>
                <w:rFonts w:hint="eastAsia" w:ascii="宋体" w:hAnsi="宋体" w:cs="宋体"/>
                <w:color w:val="000000"/>
                <w:sz w:val="24"/>
                <w:szCs w:val="24"/>
              </w:rPr>
            </w:pPr>
          </w:p>
        </w:tc>
      </w:tr>
      <w:tr w14:paraId="5EE1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A41F559">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588" w:type="dxa"/>
            <w:noWrap w:val="0"/>
            <w:tcMar>
              <w:top w:w="57" w:type="dxa"/>
              <w:left w:w="28" w:type="dxa"/>
              <w:bottom w:w="57" w:type="dxa"/>
              <w:right w:w="28" w:type="dxa"/>
            </w:tcMar>
            <w:vAlign w:val="center"/>
          </w:tcPr>
          <w:p w14:paraId="08EA9D5C">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2C3F74E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015E491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11634457">
            <w:pPr>
              <w:adjustRightInd w:val="0"/>
              <w:snapToGrid w:val="0"/>
              <w:spacing w:line="360" w:lineRule="auto"/>
              <w:rPr>
                <w:rFonts w:hint="eastAsia" w:ascii="宋体" w:hAnsi="宋体" w:cs="宋体"/>
                <w:color w:val="000000"/>
                <w:sz w:val="24"/>
                <w:szCs w:val="24"/>
              </w:rPr>
            </w:pPr>
          </w:p>
        </w:tc>
      </w:tr>
      <w:tr w14:paraId="2037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60C86F7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588" w:type="dxa"/>
            <w:noWrap w:val="0"/>
            <w:tcMar>
              <w:top w:w="57" w:type="dxa"/>
              <w:left w:w="28" w:type="dxa"/>
              <w:bottom w:w="57" w:type="dxa"/>
              <w:right w:w="28" w:type="dxa"/>
            </w:tcMar>
            <w:vAlign w:val="center"/>
          </w:tcPr>
          <w:p w14:paraId="63A4006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2330" w:type="dxa"/>
            <w:noWrap w:val="0"/>
            <w:tcMar>
              <w:top w:w="57" w:type="dxa"/>
              <w:left w:w="28" w:type="dxa"/>
              <w:bottom w:w="57" w:type="dxa"/>
              <w:right w:w="28" w:type="dxa"/>
            </w:tcMar>
            <w:vAlign w:val="center"/>
          </w:tcPr>
          <w:p w14:paraId="5BFC1FA7">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A56DDE1">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BE108F4">
            <w:pPr>
              <w:adjustRightInd w:val="0"/>
              <w:snapToGrid w:val="0"/>
              <w:spacing w:line="360" w:lineRule="auto"/>
              <w:rPr>
                <w:rFonts w:hint="eastAsia" w:ascii="宋体" w:hAnsi="宋体" w:cs="宋体"/>
                <w:color w:val="000000"/>
                <w:sz w:val="24"/>
                <w:szCs w:val="24"/>
              </w:rPr>
            </w:pPr>
          </w:p>
        </w:tc>
      </w:tr>
    </w:tbl>
    <w:p w14:paraId="2065E19B">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70ABDCE3">
      <w:pPr>
        <w:adjustRightInd w:val="0"/>
        <w:snapToGrid w:val="0"/>
        <w:spacing w:line="480" w:lineRule="auto"/>
        <w:ind w:firstLine="480" w:firstLineChars="200"/>
        <w:jc w:val="right"/>
        <w:rPr>
          <w:rFonts w:hint="eastAsia" w:ascii="宋体" w:hAnsi="宋体" w:cs="宋体"/>
          <w:color w:val="000000"/>
          <w:sz w:val="24"/>
          <w:szCs w:val="24"/>
        </w:rPr>
      </w:pPr>
    </w:p>
    <w:p w14:paraId="455645F1">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2C18AAD5">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AEF1893">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34E578F">
      <w:pPr>
        <w:adjustRightInd w:val="0"/>
        <w:snapToGrid w:val="0"/>
        <w:spacing w:line="360" w:lineRule="auto"/>
        <w:ind w:firstLine="482" w:firstLineChars="200"/>
        <w:jc w:val="right"/>
        <w:rPr>
          <w:rFonts w:hint="eastAsia" w:ascii="宋体" w:hAnsi="宋体" w:cs="宋体"/>
          <w:b/>
          <w:bCs/>
          <w:color w:val="000000"/>
          <w:sz w:val="24"/>
          <w:szCs w:val="24"/>
        </w:rPr>
      </w:pPr>
    </w:p>
    <w:p w14:paraId="1CBA9147">
      <w:pPr>
        <w:adjustRightInd w:val="0"/>
        <w:snapToGrid w:val="0"/>
        <w:spacing w:line="360" w:lineRule="auto"/>
        <w:ind w:firstLine="480" w:firstLineChars="200"/>
        <w:rPr>
          <w:rFonts w:hint="eastAsia" w:ascii="宋体" w:hAnsi="宋体" w:cs="宋体"/>
          <w:color w:val="000000"/>
          <w:sz w:val="24"/>
          <w:szCs w:val="24"/>
        </w:rPr>
      </w:pPr>
    </w:p>
    <w:p w14:paraId="460A805D">
      <w:pPr>
        <w:pStyle w:val="9"/>
        <w:adjustRightInd w:val="0"/>
        <w:snapToGrid w:val="0"/>
        <w:spacing w:line="360" w:lineRule="auto"/>
        <w:ind w:firstLine="482"/>
        <w:rPr>
          <w:rFonts w:hint="eastAsia" w:ascii="宋体" w:hAnsi="宋体" w:cs="宋体"/>
          <w:b/>
          <w:color w:val="000000"/>
          <w:sz w:val="24"/>
          <w:szCs w:val="24"/>
        </w:rPr>
      </w:pPr>
    </w:p>
    <w:bookmarkEnd w:id="450"/>
    <w:bookmarkEnd w:id="451"/>
    <w:bookmarkEnd w:id="452"/>
    <w:bookmarkEnd w:id="453"/>
    <w:p w14:paraId="7791BBC7">
      <w:pPr>
        <w:adjustRightInd w:val="0"/>
        <w:snapToGrid w:val="0"/>
        <w:spacing w:line="360" w:lineRule="auto"/>
        <w:ind w:firstLine="482" w:firstLineChars="200"/>
        <w:jc w:val="center"/>
        <w:rPr>
          <w:rFonts w:hint="eastAsia" w:ascii="宋体" w:hAnsi="宋体" w:cs="宋体"/>
          <w:b/>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58" w:name="_Toc188808838"/>
      <w:bookmarkStart w:id="459" w:name="_Toc193187103"/>
      <w:bookmarkStart w:id="460" w:name="_Toc10563611"/>
      <w:bookmarkStart w:id="461" w:name="_Toc4329"/>
      <w:bookmarkStart w:id="462" w:name="_Toc193126887"/>
      <w:bookmarkStart w:id="463" w:name="_Toc10563650"/>
      <w:bookmarkStart w:id="464" w:name="_Toc12377635"/>
      <w:bookmarkStart w:id="465" w:name="_Toc194663924"/>
    </w:p>
    <w:p w14:paraId="65F16B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6.</w:t>
      </w:r>
      <w:bookmarkEnd w:id="458"/>
      <w:bookmarkEnd w:id="459"/>
      <w:bookmarkEnd w:id="460"/>
      <w:bookmarkEnd w:id="461"/>
      <w:bookmarkEnd w:id="462"/>
      <w:bookmarkEnd w:id="463"/>
      <w:bookmarkEnd w:id="464"/>
      <w:bookmarkEnd w:id="465"/>
      <w:r>
        <w:rPr>
          <w:rFonts w:hint="eastAsia" w:ascii="宋体" w:hAnsi="宋体" w:eastAsia="宋体" w:cs="Times New Roman"/>
          <w:b/>
          <w:color w:val="auto"/>
          <w:sz w:val="32"/>
          <w:szCs w:val="32"/>
          <w:highlight w:val="none"/>
          <w:lang w:eastAsia="zh-CN"/>
        </w:rPr>
        <w:t>法定代表人证明书及授权书</w:t>
      </w:r>
    </w:p>
    <w:p w14:paraId="3AD2C20B">
      <w:pPr>
        <w:adjustRightInd w:val="0"/>
        <w:snapToGrid w:val="0"/>
        <w:spacing w:line="360" w:lineRule="auto"/>
        <w:ind w:firstLine="562" w:firstLineChars="200"/>
        <w:jc w:val="center"/>
        <w:rPr>
          <w:rFonts w:hint="eastAsia" w:ascii="宋体" w:hAnsi="宋体" w:cs="宋体"/>
          <w:b/>
          <w:color w:val="000000"/>
          <w:sz w:val="28"/>
          <w:szCs w:val="28"/>
        </w:rPr>
      </w:pPr>
      <w:bookmarkStart w:id="466" w:name="_Toc47261886"/>
      <w:bookmarkStart w:id="467" w:name="_Toc47261691"/>
      <w:bookmarkStart w:id="468" w:name="_Toc48791236"/>
      <w:bookmarkStart w:id="469" w:name="_Toc47418732"/>
      <w:bookmarkStart w:id="470" w:name="_Toc49019237"/>
      <w:bookmarkStart w:id="471" w:name="_Toc47262070"/>
      <w:bookmarkStart w:id="472" w:name="_Toc49019498"/>
      <w:bookmarkStart w:id="473" w:name="_Toc47418939"/>
      <w:bookmarkStart w:id="474" w:name="_Toc47418256"/>
      <w:bookmarkStart w:id="475" w:name="_Toc48995852"/>
      <w:r>
        <w:rPr>
          <w:rFonts w:hint="eastAsia" w:ascii="宋体" w:hAnsi="宋体" w:cs="宋体"/>
          <w:b/>
          <w:color w:val="000000"/>
          <w:sz w:val="28"/>
          <w:szCs w:val="28"/>
        </w:rPr>
        <w:t>6.1法定代表人证明书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6E56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2F9B7711">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5FC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6A407F3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企业</w:t>
            </w:r>
          </w:p>
          <w:p w14:paraId="705C03C1">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法人</w:t>
            </w:r>
          </w:p>
        </w:tc>
        <w:tc>
          <w:tcPr>
            <w:tcW w:w="2412" w:type="dxa"/>
            <w:noWrap w:val="0"/>
            <w:vAlign w:val="center"/>
          </w:tcPr>
          <w:p w14:paraId="6E80A744">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noWrap w:val="0"/>
            <w:vAlign w:val="center"/>
          </w:tcPr>
          <w:p w14:paraId="17685B4D">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D54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EBC03B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0DFE12F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noWrap w:val="0"/>
            <w:vAlign w:val="center"/>
          </w:tcPr>
          <w:p w14:paraId="21F9E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06DE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698F5449">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75942AED">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noWrap w:val="0"/>
            <w:vAlign w:val="center"/>
          </w:tcPr>
          <w:p w14:paraId="204B45A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46A4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7CDBD667">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20868BEA">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noWrap w:val="0"/>
            <w:vAlign w:val="center"/>
          </w:tcPr>
          <w:p w14:paraId="2191BCF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28B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1BC2506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508F75A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代表人</w:t>
            </w:r>
          </w:p>
        </w:tc>
        <w:tc>
          <w:tcPr>
            <w:tcW w:w="2412" w:type="dxa"/>
            <w:noWrap w:val="0"/>
            <w:vAlign w:val="center"/>
          </w:tcPr>
          <w:p w14:paraId="68C03B4E">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07" w:type="dxa"/>
            <w:noWrap w:val="0"/>
            <w:vAlign w:val="center"/>
          </w:tcPr>
          <w:p w14:paraId="71130BC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1074" w:type="dxa"/>
            <w:noWrap w:val="0"/>
            <w:vAlign w:val="center"/>
          </w:tcPr>
          <w:p w14:paraId="7A1610EC">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2291" w:type="dxa"/>
            <w:noWrap w:val="0"/>
            <w:vAlign w:val="center"/>
          </w:tcPr>
          <w:p w14:paraId="0AC8316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r>
      <w:tr w14:paraId="11F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5EE6188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3243BA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52B73C24">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4378E2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27B8DC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458AE61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677F4AF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代表人</w:t>
            </w:r>
          </w:p>
          <w:p w14:paraId="129B6F60">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身份证</w:t>
            </w:r>
          </w:p>
          <w:p w14:paraId="096F0B2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noWrap w:val="0"/>
            <w:vAlign w:val="center"/>
          </w:tcPr>
          <w:p w14:paraId="5154315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noWrap w:val="0"/>
            <w:vAlign w:val="center"/>
          </w:tcPr>
          <w:p w14:paraId="1B2F2BC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32C3C61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（法定代表人签字或盖章）</w:t>
            </w:r>
          </w:p>
        </w:tc>
      </w:tr>
      <w:tr w14:paraId="2B0C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6F3C1FC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4019" w:type="dxa"/>
            <w:gridSpan w:val="2"/>
            <w:vMerge w:val="continue"/>
            <w:noWrap w:val="0"/>
            <w:vAlign w:val="top"/>
          </w:tcPr>
          <w:p w14:paraId="55EB6E5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3365" w:type="dxa"/>
            <w:gridSpan w:val="2"/>
            <w:noWrap w:val="0"/>
            <w:vAlign w:val="top"/>
          </w:tcPr>
          <w:p w14:paraId="06F93DC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C51C2D0">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0F10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（供应商公章）</w:t>
            </w:r>
          </w:p>
          <w:p w14:paraId="5CFEC08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5D18A6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BF9D95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年  月  日</w:t>
            </w:r>
          </w:p>
        </w:tc>
      </w:tr>
    </w:tbl>
    <w:p w14:paraId="21C30119">
      <w:pPr>
        <w:adjustRightInd w:val="0"/>
        <w:snapToGrid w:val="0"/>
        <w:spacing w:line="360" w:lineRule="auto"/>
        <w:ind w:firstLine="482" w:firstLineChars="200"/>
        <w:jc w:val="center"/>
        <w:rPr>
          <w:rFonts w:hint="eastAsia" w:ascii="宋体" w:hAnsi="宋体" w:cs="宋体"/>
          <w:b/>
          <w:color w:val="000000"/>
          <w:sz w:val="24"/>
          <w:szCs w:val="24"/>
        </w:rPr>
      </w:pPr>
    </w:p>
    <w:p w14:paraId="758BBB99">
      <w:pPr>
        <w:adjustRightInd w:val="0"/>
        <w:snapToGrid w:val="0"/>
        <w:spacing w:line="360" w:lineRule="auto"/>
        <w:ind w:firstLine="482" w:firstLineChars="200"/>
        <w:jc w:val="center"/>
        <w:rPr>
          <w:rFonts w:hint="eastAsia" w:ascii="宋体" w:hAnsi="宋体" w:cs="宋体"/>
          <w:b/>
          <w:color w:val="000000"/>
          <w:sz w:val="24"/>
          <w:szCs w:val="24"/>
        </w:rPr>
      </w:pPr>
    </w:p>
    <w:p w14:paraId="36157DBC">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cs="宋体"/>
          <w:b/>
          <w:color w:val="000000"/>
          <w:sz w:val="28"/>
          <w:szCs w:val="28"/>
        </w:rPr>
        <w:br w:type="page"/>
      </w:r>
      <w:bookmarkEnd w:id="466"/>
      <w:bookmarkEnd w:id="467"/>
      <w:bookmarkEnd w:id="468"/>
      <w:bookmarkEnd w:id="469"/>
      <w:bookmarkEnd w:id="470"/>
      <w:bookmarkEnd w:id="471"/>
      <w:bookmarkEnd w:id="472"/>
      <w:bookmarkEnd w:id="473"/>
      <w:bookmarkEnd w:id="474"/>
      <w:bookmarkEnd w:id="475"/>
      <w:r>
        <w:rPr>
          <w:rFonts w:hint="eastAsia" w:ascii="宋体" w:hAnsi="宋体" w:eastAsia="宋体" w:cs="宋体"/>
          <w:b/>
          <w:color w:val="auto"/>
          <w:sz w:val="28"/>
          <w:szCs w:val="28"/>
          <w:highlight w:val="none"/>
        </w:rPr>
        <w:t>6.2 法定代表人授权书</w:t>
      </w:r>
    </w:p>
    <w:tbl>
      <w:tblPr>
        <w:tblStyle w:val="39"/>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3BDF3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27E60550">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2B8B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0A7E6E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5F3DEE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773C6C4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7C57367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362795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6D1933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23099F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08B852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7345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B3E25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BA5BF3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2C9FC57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73209A37">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24179C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BAF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noWrap w:val="0"/>
            <w:vAlign w:val="top"/>
          </w:tcPr>
          <w:p w14:paraId="2B61919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0600B4A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3606DA4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4668D6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413B8DC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6F628B9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48FBA3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0A4BEC2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659AC6D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4B14DDA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4EB1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noWrap w:val="0"/>
            <w:vAlign w:val="top"/>
          </w:tcPr>
          <w:p w14:paraId="4C90F78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62B255F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3746DB2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CAC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C6F52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0880EFB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0FF17117">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033E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F842DA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7DC291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7C8E135E">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56C3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E50841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45B7BD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621A7FDC">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3EED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1598BD0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21BF56E2">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2CBE0E3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06F322F6">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06DA47D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F30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0640877D">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77A34633">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4B04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noWrap w:val="0"/>
            <w:vAlign w:val="top"/>
          </w:tcPr>
          <w:p w14:paraId="0886D194">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28D5A41E">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95F5E85">
            <w:pPr>
              <w:tabs>
                <w:tab w:val="right" w:leader="dot" w:pos="9022"/>
              </w:tabs>
              <w:autoSpaceDE w:val="0"/>
              <w:autoSpaceDN w:val="0"/>
              <w:adjustRightInd w:val="0"/>
              <w:snapToGrid w:val="0"/>
              <w:spacing w:line="360" w:lineRule="auto"/>
              <w:jc w:val="left"/>
              <w:rPr>
                <w:rFonts w:hint="eastAsia"/>
                <w:highlight w:val="none"/>
              </w:rPr>
            </w:pPr>
            <w:r>
              <w:rPr>
                <w:rFonts w:hint="eastAsia" w:ascii="宋体" w:hAnsi="宋体" w:cs="宋体"/>
                <w:bCs/>
                <w:color w:val="auto"/>
                <w:sz w:val="24"/>
                <w:szCs w:val="24"/>
                <w:highlight w:val="none"/>
              </w:rPr>
              <w:t xml:space="preserve">        </w:t>
            </w:r>
          </w:p>
          <w:p w14:paraId="4720D205">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7FE70E9B">
            <w:pPr>
              <w:pStyle w:val="14"/>
              <w:rPr>
                <w:rFonts w:hint="eastAsia"/>
                <w:highlight w:val="none"/>
              </w:rPr>
            </w:pPr>
          </w:p>
          <w:p w14:paraId="662688F6">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23274B79">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70C991E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Cs w:val="0"/>
          <w:color w:val="000000"/>
          <w:sz w:val="24"/>
          <w:szCs w:val="24"/>
        </w:rPr>
      </w:pPr>
      <w:r>
        <w:rPr>
          <w:rFonts w:hint="eastAsia" w:ascii="宋体" w:hAnsi="宋体"/>
          <w:b w:val="0"/>
          <w:color w:val="000000"/>
          <w:sz w:val="36"/>
          <w:szCs w:val="36"/>
        </w:rPr>
        <w:br w:type="page"/>
      </w:r>
      <w:bookmarkStart w:id="476" w:name="_Toc22833"/>
      <w:bookmarkStart w:id="477" w:name="_Toc10563651"/>
      <w:bookmarkStart w:id="478" w:name="_Toc12377636"/>
      <w:bookmarkStart w:id="479" w:name="_Toc10563612"/>
      <w:r>
        <w:rPr>
          <w:rFonts w:hint="eastAsia" w:ascii="宋体" w:hAnsi="宋体" w:eastAsia="宋体" w:cs="Times New Roman"/>
          <w:b/>
          <w:color w:val="auto"/>
          <w:sz w:val="32"/>
          <w:szCs w:val="32"/>
          <w:highlight w:val="none"/>
          <w:lang w:eastAsia="zh-CN"/>
        </w:rPr>
        <w:t>7</w:t>
      </w:r>
      <w:r>
        <w:rPr>
          <w:rFonts w:hint="eastAsia" w:ascii="宋体" w:hAnsi="宋体" w:eastAsia="宋体" w:cs="Times New Roman"/>
          <w:b/>
          <w:color w:val="auto"/>
          <w:sz w:val="32"/>
          <w:szCs w:val="32"/>
          <w:highlight w:val="none"/>
          <w:lang w:val="en-US" w:eastAsia="zh-CN"/>
        </w:rPr>
        <w:t>.资</w:t>
      </w:r>
      <w:r>
        <w:rPr>
          <w:rFonts w:hint="eastAsia" w:ascii="宋体" w:hAnsi="宋体" w:eastAsia="宋体" w:cs="Times New Roman"/>
          <w:b/>
          <w:bCs w:val="0"/>
          <w:color w:val="auto"/>
          <w:kern w:val="2"/>
          <w:sz w:val="32"/>
          <w:szCs w:val="32"/>
          <w:highlight w:val="none"/>
          <w:lang w:val="en-US" w:eastAsia="zh-CN" w:bidi="ar-SA"/>
        </w:rPr>
        <w:t>格证明文件</w:t>
      </w:r>
    </w:p>
    <w:p w14:paraId="3B7FE7B0">
      <w:pPr>
        <w:spacing w:line="360" w:lineRule="auto"/>
        <w:ind w:firstLine="240" w:firstLineChars="100"/>
        <w:jc w:val="left"/>
        <w:rPr>
          <w:rFonts w:hint="eastAsia"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55678475">
      <w:pPr>
        <w:rPr>
          <w:rFonts w:hint="eastAsia" w:ascii="宋体" w:hAnsi="宋体" w:cs="宋体"/>
          <w:bCs/>
          <w:color w:val="000000"/>
          <w:sz w:val="24"/>
          <w:szCs w:val="24"/>
        </w:rPr>
      </w:pPr>
      <w:r>
        <w:rPr>
          <w:rFonts w:hint="eastAsia" w:ascii="宋体" w:hAnsi="宋体" w:cs="宋体"/>
          <w:bCs/>
          <w:color w:val="000000"/>
          <w:sz w:val="24"/>
          <w:szCs w:val="24"/>
        </w:rPr>
        <w:br w:type="page"/>
      </w:r>
    </w:p>
    <w:p w14:paraId="3085B98C">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 xml:space="preserve">附件7.1：承诺书                 </w:t>
      </w:r>
    </w:p>
    <w:p w14:paraId="26D6FAB6">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2E9F3A20">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0687872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1798F840">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3E8B0E2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3DA2C0D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0D8BE2BD">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47EDBDCF">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0D87EB0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4D805B4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497A0AE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708468E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如有隐瞒或未能提供真实信息的，将承担一切不利后果。</w:t>
      </w:r>
    </w:p>
    <w:p w14:paraId="0BFD46BD">
      <w:pPr>
        <w:adjustRightInd w:val="0"/>
        <w:snapToGrid w:val="0"/>
        <w:spacing w:line="360" w:lineRule="auto"/>
        <w:ind w:firstLine="4440" w:firstLineChars="1850"/>
        <w:jc w:val="right"/>
        <w:rPr>
          <w:rFonts w:hint="eastAsia" w:ascii="宋体" w:hAnsi="宋体"/>
          <w:color w:val="000000"/>
          <w:sz w:val="24"/>
          <w:szCs w:val="24"/>
        </w:rPr>
      </w:pPr>
    </w:p>
    <w:p w14:paraId="0D185DA2">
      <w:pPr>
        <w:adjustRightInd w:val="0"/>
        <w:snapToGrid w:val="0"/>
        <w:spacing w:line="360" w:lineRule="auto"/>
        <w:ind w:firstLine="4440" w:firstLineChars="1850"/>
        <w:jc w:val="right"/>
        <w:rPr>
          <w:rFonts w:hint="eastAsia" w:ascii="宋体" w:hAnsi="宋体"/>
          <w:color w:val="000000"/>
          <w:sz w:val="24"/>
          <w:szCs w:val="24"/>
        </w:rPr>
      </w:pPr>
    </w:p>
    <w:p w14:paraId="178FB76A">
      <w:pPr>
        <w:adjustRightInd w:val="0"/>
        <w:snapToGrid w:val="0"/>
        <w:spacing w:line="36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42B4D10A">
      <w:pPr>
        <w:adjustRightInd w:val="0"/>
        <w:snapToGrid w:val="0"/>
        <w:spacing w:line="36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9651F19">
      <w:pPr>
        <w:adjustRightInd w:val="0"/>
        <w:snapToGrid w:val="0"/>
        <w:spacing w:line="36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2B7872B">
      <w:pPr>
        <w:adjustRightInd w:val="0"/>
        <w:snapToGrid w:val="0"/>
        <w:spacing w:line="360" w:lineRule="auto"/>
        <w:jc w:val="right"/>
        <w:rPr>
          <w:rFonts w:hint="eastAsia" w:ascii="宋体" w:hAnsi="宋体"/>
          <w:color w:val="000000"/>
          <w:sz w:val="24"/>
          <w:szCs w:val="24"/>
        </w:rPr>
      </w:pPr>
    </w:p>
    <w:p w14:paraId="31E3AA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Cs w:val="0"/>
          <w:color w:val="000000"/>
          <w:sz w:val="24"/>
          <w:szCs w:val="24"/>
        </w:rPr>
      </w:pPr>
      <w:r>
        <w:rPr>
          <w:rFonts w:hint="eastAsia" w:ascii="宋体" w:hAnsi="宋体"/>
          <w:b w:val="0"/>
          <w:bCs w:val="0"/>
          <w:sz w:val="24"/>
          <w:szCs w:val="24"/>
        </w:rPr>
        <w:br w:type="page"/>
      </w:r>
      <w:r>
        <w:rPr>
          <w:rFonts w:hint="eastAsia" w:ascii="宋体" w:hAnsi="宋体" w:eastAsia="宋体" w:cs="Times New Roman"/>
          <w:b/>
          <w:color w:val="auto"/>
          <w:sz w:val="32"/>
          <w:szCs w:val="32"/>
          <w:highlight w:val="none"/>
          <w:lang w:val="en-US" w:eastAsia="zh-CN"/>
        </w:rPr>
        <w:t>8.服务方案</w:t>
      </w:r>
    </w:p>
    <w:p w14:paraId="1AE16EB2">
      <w:pPr>
        <w:spacing w:line="480" w:lineRule="exact"/>
        <w:ind w:firstLine="480" w:firstLineChars="200"/>
        <w:jc w:val="left"/>
        <w:rPr>
          <w:rFonts w:hint="eastAsia" w:ascii="Times New Roman" w:hAnsi="Times New Roman"/>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4862A20F">
      <w:pPr>
        <w:pStyle w:val="9"/>
        <w:ind w:firstLine="0" w:firstLineChars="0"/>
        <w:rPr>
          <w:rFonts w:hint="eastAsia" w:ascii="Times New Roman" w:hAnsi="Times New Roman"/>
          <w:color w:val="000000"/>
          <w:sz w:val="24"/>
          <w:szCs w:val="22"/>
        </w:rPr>
      </w:pPr>
    </w:p>
    <w:p w14:paraId="68E4E4F5">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4EE9C865">
      <w:pPr>
        <w:jc w:val="center"/>
        <w:rPr>
          <w:rFonts w:hint="eastAsia" w:ascii="宋体" w:hAnsi="宋体" w:cs="宋体"/>
          <w:b/>
          <w:color w:val="000000"/>
          <w:sz w:val="28"/>
          <w:szCs w:val="28"/>
        </w:rPr>
      </w:pPr>
    </w:p>
    <w:p w14:paraId="4F37ED37">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6F61AE61">
      <w:pPr>
        <w:pStyle w:val="14"/>
        <w:rPr>
          <w:rFonts w:hint="eastAsia"/>
          <w:color w:val="000000"/>
        </w:rPr>
      </w:pPr>
    </w:p>
    <w:p w14:paraId="1CB5D8A3">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163F7D3D">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9"/>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4D1A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3B952E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4FFBC0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6CD8A2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CBA1B3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2F21065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C9B1A9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7EB59A3B">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AB09F8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39EBAA9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7ECA195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6E13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ACCC80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03BDF34">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2B7080C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215F552">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C96837E">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7283F94">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B795A94">
            <w:pPr>
              <w:spacing w:line="360" w:lineRule="auto"/>
              <w:jc w:val="center"/>
              <w:rPr>
                <w:rFonts w:hint="eastAsia" w:ascii="宋体" w:hAnsi="宋体" w:cs="宋体"/>
                <w:color w:val="000000"/>
                <w:sz w:val="24"/>
                <w:szCs w:val="24"/>
              </w:rPr>
            </w:pPr>
          </w:p>
        </w:tc>
      </w:tr>
      <w:tr w14:paraId="0845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78D32FC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87D4F5A">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306CC09">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0729A3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52F3D45">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7DD56FBA">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E9868EC">
            <w:pPr>
              <w:spacing w:line="360" w:lineRule="auto"/>
              <w:jc w:val="center"/>
              <w:rPr>
                <w:rFonts w:hint="eastAsia" w:ascii="宋体" w:hAnsi="宋体" w:cs="宋体"/>
                <w:color w:val="000000"/>
                <w:sz w:val="24"/>
                <w:szCs w:val="24"/>
              </w:rPr>
            </w:pPr>
          </w:p>
        </w:tc>
      </w:tr>
      <w:tr w14:paraId="647A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445D91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270A393">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AB8132D">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BD3E51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DEB9003">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1F82AF1">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9B06632">
            <w:pPr>
              <w:spacing w:line="360" w:lineRule="auto"/>
              <w:jc w:val="center"/>
              <w:rPr>
                <w:rFonts w:hint="eastAsia" w:ascii="宋体" w:hAnsi="宋体" w:cs="宋体"/>
                <w:color w:val="000000"/>
                <w:sz w:val="24"/>
                <w:szCs w:val="24"/>
              </w:rPr>
            </w:pPr>
          </w:p>
        </w:tc>
      </w:tr>
      <w:tr w14:paraId="692D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6991259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6954409">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EFBFD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4E5C864">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7851C9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2449F4F6">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FBC01AE">
            <w:pPr>
              <w:spacing w:line="360" w:lineRule="auto"/>
              <w:jc w:val="center"/>
              <w:rPr>
                <w:rFonts w:hint="eastAsia" w:ascii="宋体" w:hAnsi="宋体" w:cs="宋体"/>
                <w:color w:val="000000"/>
                <w:sz w:val="24"/>
                <w:szCs w:val="24"/>
              </w:rPr>
            </w:pPr>
          </w:p>
        </w:tc>
      </w:tr>
      <w:tr w14:paraId="7F83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873A83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12A64E47">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B31CA3">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E614B6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2F0728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9D39B12">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650B6AA5">
            <w:pPr>
              <w:spacing w:line="360" w:lineRule="auto"/>
              <w:jc w:val="center"/>
              <w:rPr>
                <w:rFonts w:hint="eastAsia" w:ascii="宋体" w:hAnsi="宋体" w:cs="宋体"/>
                <w:color w:val="000000"/>
                <w:sz w:val="24"/>
                <w:szCs w:val="24"/>
              </w:rPr>
            </w:pPr>
          </w:p>
        </w:tc>
      </w:tr>
      <w:tr w14:paraId="19A6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0DE2431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342F4C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6EDBD577">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8A3D6D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6A9EEA79">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8FEA68D">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A2E397F">
            <w:pPr>
              <w:spacing w:line="360" w:lineRule="auto"/>
              <w:jc w:val="center"/>
              <w:rPr>
                <w:rFonts w:hint="eastAsia" w:ascii="宋体" w:hAnsi="宋体" w:cs="宋体"/>
                <w:color w:val="000000"/>
                <w:sz w:val="24"/>
                <w:szCs w:val="24"/>
              </w:rPr>
            </w:pPr>
          </w:p>
        </w:tc>
      </w:tr>
    </w:tbl>
    <w:p w14:paraId="541347DB">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29130B44">
      <w:pPr>
        <w:rPr>
          <w:rFonts w:hint="eastAsia" w:ascii="宋体" w:hAnsi="宋体" w:cs="宋体"/>
          <w:b/>
          <w:bCs/>
          <w:color w:val="000000"/>
          <w:sz w:val="24"/>
          <w:szCs w:val="24"/>
        </w:rPr>
      </w:pPr>
      <w:r>
        <w:rPr>
          <w:rFonts w:hint="eastAsia" w:ascii="宋体" w:hAnsi="宋体" w:cs="宋体"/>
          <w:b/>
          <w:bCs/>
          <w:color w:val="000000"/>
          <w:sz w:val="24"/>
          <w:szCs w:val="24"/>
        </w:rPr>
        <w:t>附件8.2拟投入设备</w:t>
      </w:r>
    </w:p>
    <w:p w14:paraId="62E7652C">
      <w:pPr>
        <w:pStyle w:val="14"/>
        <w:jc w:val="center"/>
        <w:rPr>
          <w:rFonts w:hint="eastAsia" w:ascii="宋体" w:hAnsi="宋体"/>
          <w:b/>
          <w:bCs/>
          <w:color w:val="000000"/>
          <w:sz w:val="28"/>
          <w:szCs w:val="28"/>
        </w:rPr>
      </w:pPr>
      <w:r>
        <w:rPr>
          <w:rFonts w:hint="eastAsia" w:ascii="宋体" w:hAnsi="宋体"/>
          <w:b/>
          <w:bCs/>
          <w:color w:val="000000"/>
          <w:sz w:val="28"/>
          <w:szCs w:val="28"/>
        </w:rPr>
        <w:t>投入设备表</w:t>
      </w:r>
    </w:p>
    <w:p w14:paraId="17ADF4D8">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3912B29">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9"/>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772140AB">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0D80BC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C0117D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机械或设备名称</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FBEC8B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型号规格</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28C1071">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数量</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22FB6D6">
            <w:pPr>
              <w:spacing w:line="360" w:lineRule="auto"/>
              <w:jc w:val="center"/>
              <w:rPr>
                <w:rFonts w:ascii="宋体" w:hAnsi="宋体" w:cs="宋体"/>
                <w:color w:val="000000"/>
                <w:sz w:val="24"/>
                <w:szCs w:val="24"/>
              </w:rPr>
            </w:pPr>
            <w:r>
              <w:rPr>
                <w:rFonts w:hint="eastAsia" w:ascii="宋体" w:hAnsi="宋体" w:cs="宋体"/>
                <w:color w:val="000000"/>
                <w:sz w:val="24"/>
                <w:szCs w:val="24"/>
              </w:rPr>
              <w:t>是否自有</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F611D07">
            <w:pPr>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7EA0930">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022FC9FB">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4E724F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B4AC8AD">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3C427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5DA99D">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8F7C9A">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75B719">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6192A0">
            <w:pPr>
              <w:spacing w:before="156" w:after="156"/>
              <w:jc w:val="center"/>
              <w:rPr>
                <w:rFonts w:hint="eastAsia" w:ascii="宋体" w:hAnsi="宋体" w:cs="宋体"/>
                <w:color w:val="000000"/>
                <w:sz w:val="24"/>
                <w:szCs w:val="24"/>
              </w:rPr>
            </w:pPr>
          </w:p>
        </w:tc>
      </w:tr>
      <w:tr w14:paraId="14D9F57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F2D3D0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26D56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48DD42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E5673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CF87AB">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31EA5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23C869">
            <w:pPr>
              <w:spacing w:before="156" w:after="156"/>
              <w:jc w:val="center"/>
              <w:rPr>
                <w:rFonts w:hint="eastAsia" w:ascii="宋体" w:hAnsi="宋体" w:cs="宋体"/>
                <w:color w:val="000000"/>
                <w:sz w:val="24"/>
                <w:szCs w:val="24"/>
              </w:rPr>
            </w:pPr>
          </w:p>
        </w:tc>
      </w:tr>
      <w:tr w14:paraId="73B7D33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4E418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559316">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449BE8">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1E679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42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1432C6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756A58">
            <w:pPr>
              <w:spacing w:before="156" w:after="156"/>
              <w:jc w:val="center"/>
              <w:rPr>
                <w:rFonts w:hint="eastAsia" w:ascii="宋体" w:hAnsi="宋体" w:cs="宋体"/>
                <w:color w:val="000000"/>
                <w:sz w:val="24"/>
                <w:szCs w:val="24"/>
              </w:rPr>
            </w:pPr>
          </w:p>
        </w:tc>
      </w:tr>
      <w:tr w14:paraId="30F279B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A9B3D5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8E335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B9258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2B06E4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DA259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EC472B">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88E622">
            <w:pPr>
              <w:spacing w:before="156" w:after="156"/>
              <w:jc w:val="center"/>
              <w:rPr>
                <w:rFonts w:hint="eastAsia" w:ascii="宋体" w:hAnsi="宋体" w:cs="宋体"/>
                <w:color w:val="000000"/>
                <w:sz w:val="24"/>
                <w:szCs w:val="24"/>
              </w:rPr>
            </w:pPr>
          </w:p>
        </w:tc>
      </w:tr>
      <w:tr w14:paraId="666B5A2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26B5CC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628A610">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27D7AA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F71619">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2646CD8">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2EDD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AD7A8C">
            <w:pPr>
              <w:spacing w:before="156" w:after="156"/>
              <w:jc w:val="center"/>
              <w:rPr>
                <w:rFonts w:hint="eastAsia" w:ascii="宋体" w:hAnsi="宋体" w:cs="宋体"/>
                <w:color w:val="000000"/>
                <w:sz w:val="24"/>
                <w:szCs w:val="24"/>
              </w:rPr>
            </w:pPr>
          </w:p>
        </w:tc>
      </w:tr>
      <w:tr w14:paraId="6C61DF79">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ECA656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E17A7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688C8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C51FB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A8355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8DFEA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44B7AB">
            <w:pPr>
              <w:spacing w:before="156" w:after="156"/>
              <w:jc w:val="center"/>
              <w:rPr>
                <w:rFonts w:hint="eastAsia" w:ascii="宋体" w:hAnsi="宋体" w:cs="宋体"/>
                <w:color w:val="000000"/>
                <w:sz w:val="24"/>
                <w:szCs w:val="24"/>
              </w:rPr>
            </w:pPr>
          </w:p>
        </w:tc>
      </w:tr>
    </w:tbl>
    <w:p w14:paraId="3BCAB64C">
      <w:pPr>
        <w:rPr>
          <w:rFonts w:hint="eastAsia" w:ascii="宋体" w:hAnsi="宋体"/>
          <w:color w:val="000000"/>
          <w:sz w:val="24"/>
          <w:szCs w:val="22"/>
        </w:rPr>
      </w:pPr>
    </w:p>
    <w:p w14:paraId="6249FE19">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51ED0870">
      <w:pPr>
        <w:ind w:firstLine="460"/>
        <w:jc w:val="left"/>
        <w:rPr>
          <w:rFonts w:ascii="宋体" w:hAnsi="宋体" w:cs="宋体"/>
          <w:b/>
          <w:bCs/>
          <w:color w:val="000000"/>
          <w:sz w:val="24"/>
          <w:szCs w:val="24"/>
        </w:rPr>
        <w:sectPr>
          <w:headerReference r:id="rId15" w:type="default"/>
          <w:footerReference r:id="rId16" w:type="default"/>
          <w:pgSz w:w="11906" w:h="16838"/>
          <w:pgMar w:top="1440" w:right="1800" w:bottom="1440" w:left="1800" w:header="851" w:footer="992" w:gutter="0"/>
          <w:pgNumType w:fmt="decimal"/>
          <w:cols w:space="720" w:num="1"/>
          <w:titlePg/>
          <w:docGrid w:type="lines" w:linePitch="312" w:charSpace="0"/>
        </w:sectPr>
      </w:pPr>
    </w:p>
    <w:p w14:paraId="7E6430DF">
      <w:pPr>
        <w:rPr>
          <w:rFonts w:hint="eastAsia" w:ascii="宋体" w:hAnsi="宋体" w:cs="宋体"/>
          <w:b/>
          <w:bCs/>
          <w:color w:val="000000"/>
          <w:sz w:val="24"/>
          <w:szCs w:val="24"/>
        </w:rPr>
      </w:pPr>
      <w:r>
        <w:rPr>
          <w:rFonts w:hint="eastAsia" w:ascii="宋体" w:hAnsi="宋体" w:cs="宋体"/>
          <w:b/>
          <w:bCs/>
          <w:color w:val="000000"/>
          <w:sz w:val="24"/>
          <w:szCs w:val="24"/>
        </w:rPr>
        <w:t>附件8.3业绩表</w:t>
      </w:r>
    </w:p>
    <w:p w14:paraId="54C91A78">
      <w:pPr>
        <w:rPr>
          <w:rFonts w:hint="eastAsia" w:ascii="宋体" w:hAnsi="宋体" w:cs="宋体"/>
          <w:b/>
          <w:bCs/>
          <w:color w:val="000000"/>
          <w:sz w:val="24"/>
          <w:szCs w:val="24"/>
        </w:rPr>
      </w:pPr>
    </w:p>
    <w:p w14:paraId="7C72DCD5">
      <w:pPr>
        <w:pStyle w:val="14"/>
        <w:jc w:val="center"/>
        <w:rPr>
          <w:rFonts w:hint="eastAsia" w:ascii="宋体" w:hAnsi="宋体"/>
          <w:b/>
          <w:bCs/>
          <w:color w:val="000000"/>
          <w:sz w:val="28"/>
          <w:szCs w:val="28"/>
        </w:rPr>
      </w:pPr>
      <w:r>
        <w:rPr>
          <w:rFonts w:hint="eastAsia" w:ascii="宋体" w:hAnsi="宋体"/>
          <w:b/>
          <w:bCs/>
          <w:color w:val="000000"/>
          <w:sz w:val="28"/>
          <w:szCs w:val="28"/>
        </w:rPr>
        <w:t>业绩表</w:t>
      </w:r>
    </w:p>
    <w:p w14:paraId="067AC8E3">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BD3EE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9"/>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06450D29">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5519F38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47CE1A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8856BC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5440D8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485B142">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4186E81">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75D3887">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1B4A990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B1D840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3956D72">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9ABD2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C04E94">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86261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BC37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54F1499">
            <w:pPr>
              <w:spacing w:before="156" w:after="156"/>
              <w:jc w:val="center"/>
              <w:rPr>
                <w:rFonts w:hint="eastAsia" w:ascii="宋体" w:hAnsi="宋体" w:cs="宋体"/>
                <w:color w:val="000000"/>
                <w:sz w:val="24"/>
                <w:szCs w:val="24"/>
              </w:rPr>
            </w:pPr>
          </w:p>
        </w:tc>
      </w:tr>
      <w:tr w14:paraId="7CFDA9C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F12E3A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6411855">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011EB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4D80A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D2E286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0CC18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294F67A">
            <w:pPr>
              <w:spacing w:before="156" w:after="156"/>
              <w:jc w:val="center"/>
              <w:rPr>
                <w:rFonts w:hint="eastAsia" w:ascii="宋体" w:hAnsi="宋体" w:cs="宋体"/>
                <w:color w:val="000000"/>
                <w:sz w:val="24"/>
                <w:szCs w:val="24"/>
              </w:rPr>
            </w:pPr>
          </w:p>
        </w:tc>
      </w:tr>
      <w:tr w14:paraId="708A5DD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CE07B8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3D8251">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6738B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027376">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13599C">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BA9FBE">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4D4DFA">
            <w:pPr>
              <w:spacing w:before="156" w:after="156"/>
              <w:jc w:val="center"/>
              <w:rPr>
                <w:rFonts w:hint="eastAsia" w:ascii="宋体" w:hAnsi="宋体" w:cs="宋体"/>
                <w:color w:val="000000"/>
                <w:sz w:val="24"/>
                <w:szCs w:val="24"/>
              </w:rPr>
            </w:pPr>
          </w:p>
        </w:tc>
      </w:tr>
      <w:tr w14:paraId="227C4C9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245BD6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4E5BFDB">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B92E7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F811C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BB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3AAB06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31EDD4">
            <w:pPr>
              <w:spacing w:before="156" w:after="156"/>
              <w:jc w:val="center"/>
              <w:rPr>
                <w:rFonts w:hint="eastAsia" w:ascii="宋体" w:hAnsi="宋体" w:cs="宋体"/>
                <w:color w:val="000000"/>
                <w:sz w:val="24"/>
                <w:szCs w:val="24"/>
              </w:rPr>
            </w:pPr>
          </w:p>
        </w:tc>
      </w:tr>
      <w:tr w14:paraId="302334F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86C447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5EA4144">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88B281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DBB0CA">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4E4EAA0">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468D61">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6788F1">
            <w:pPr>
              <w:spacing w:before="156" w:after="156"/>
              <w:jc w:val="center"/>
              <w:rPr>
                <w:rFonts w:hint="eastAsia" w:ascii="宋体" w:hAnsi="宋体" w:cs="宋体"/>
                <w:color w:val="000000"/>
                <w:sz w:val="24"/>
                <w:szCs w:val="24"/>
              </w:rPr>
            </w:pPr>
          </w:p>
        </w:tc>
      </w:tr>
      <w:tr w14:paraId="5F678BFF">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889C77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DBD4E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88647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6BDFC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7456D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255F9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AD4BFF">
            <w:pPr>
              <w:spacing w:before="156" w:after="156"/>
              <w:jc w:val="center"/>
              <w:rPr>
                <w:rFonts w:hint="eastAsia" w:ascii="宋体" w:hAnsi="宋体" w:cs="宋体"/>
                <w:color w:val="000000"/>
                <w:sz w:val="24"/>
                <w:szCs w:val="24"/>
              </w:rPr>
            </w:pPr>
          </w:p>
        </w:tc>
      </w:tr>
    </w:tbl>
    <w:p w14:paraId="5D6167EF">
      <w:pPr>
        <w:rPr>
          <w:rFonts w:hint="eastAsia" w:ascii="宋体" w:hAnsi="宋体"/>
          <w:color w:val="000000"/>
          <w:sz w:val="24"/>
          <w:szCs w:val="22"/>
        </w:rPr>
      </w:pPr>
    </w:p>
    <w:p w14:paraId="59FDC74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76"/>
      <w:bookmarkEnd w:id="477"/>
      <w:bookmarkEnd w:id="478"/>
      <w:bookmarkEnd w:id="479"/>
    </w:p>
    <w:p w14:paraId="47EA9FA0">
      <w:pPr>
        <w:rPr>
          <w:rFonts w:hint="eastAsia" w:ascii="宋体" w:hAnsi="宋体" w:cs="宋体"/>
          <w:b/>
          <w:bCs/>
          <w:color w:val="000000"/>
          <w:sz w:val="24"/>
          <w:szCs w:val="24"/>
        </w:rPr>
      </w:pPr>
      <w:r>
        <w:rPr>
          <w:rFonts w:hint="eastAsia" w:ascii="宋体" w:hAnsi="宋体" w:cs="宋体"/>
          <w:b/>
          <w:bCs/>
          <w:color w:val="000000"/>
          <w:sz w:val="24"/>
          <w:szCs w:val="24"/>
        </w:rPr>
        <w:br w:type="page"/>
      </w:r>
    </w:p>
    <w:p w14:paraId="3EFE1B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bookmarkStart w:id="480" w:name="_Toc10563653"/>
      <w:bookmarkStart w:id="481" w:name="_Toc10563614"/>
      <w:r>
        <w:rPr>
          <w:rFonts w:hint="eastAsia" w:ascii="宋体" w:hAnsi="宋体" w:eastAsia="宋体" w:cs="Times New Roman"/>
          <w:b/>
          <w:color w:val="auto"/>
          <w:sz w:val="32"/>
          <w:szCs w:val="32"/>
          <w:highlight w:val="none"/>
          <w:lang w:eastAsia="zh-CN"/>
        </w:rPr>
        <w:t>9.其他证明材料</w:t>
      </w:r>
    </w:p>
    <w:bookmarkEnd w:id="480"/>
    <w:bookmarkEnd w:id="481"/>
    <w:p w14:paraId="70DA96AA">
      <w:pPr>
        <w:rPr>
          <w:rFonts w:hint="eastAsia" w:ascii="宋体" w:hAnsi="宋体"/>
          <w:b/>
          <w:bCs/>
          <w:color w:val="000000"/>
          <w:sz w:val="24"/>
        </w:rPr>
      </w:pPr>
      <w:r>
        <w:rPr>
          <w:rFonts w:hint="eastAsia" w:ascii="宋体" w:hAnsi="宋体"/>
          <w:b/>
          <w:color w:val="000000"/>
          <w:sz w:val="36"/>
          <w:szCs w:val="36"/>
        </w:rPr>
        <w:t xml:space="preserve"> </w:t>
      </w:r>
    </w:p>
    <w:p w14:paraId="26795E0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4275373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2B5419E5">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42C03E3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42B8B12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6424E76E">
      <w:pPr>
        <w:spacing w:line="480" w:lineRule="exact"/>
        <w:ind w:firstLine="480" w:firstLineChars="200"/>
        <w:jc w:val="left"/>
        <w:rPr>
          <w:rFonts w:hint="eastAsia" w:ascii="宋体" w:hAnsi="宋体" w:cs="宋体"/>
          <w:bCs/>
          <w:color w:val="000000"/>
          <w:sz w:val="24"/>
          <w:szCs w:val="24"/>
        </w:rPr>
      </w:pPr>
    </w:p>
    <w:p w14:paraId="6105B547">
      <w:pPr>
        <w:spacing w:line="480" w:lineRule="exact"/>
        <w:ind w:firstLine="480" w:firstLineChars="200"/>
        <w:jc w:val="left"/>
        <w:rPr>
          <w:rFonts w:hint="eastAsia" w:ascii="宋体" w:hAnsi="宋体" w:cs="宋体"/>
          <w:bCs/>
          <w:color w:val="000000"/>
          <w:sz w:val="24"/>
          <w:szCs w:val="24"/>
          <w:highlight w:val="magenta"/>
        </w:rPr>
      </w:pPr>
    </w:p>
    <w:p w14:paraId="0F59F545">
      <w:pPr>
        <w:spacing w:line="480" w:lineRule="exact"/>
        <w:jc w:val="left"/>
        <w:rPr>
          <w:rFonts w:ascii="宋体" w:hAnsi="宋体"/>
          <w:bCs/>
          <w:color w:val="000000"/>
          <w:sz w:val="24"/>
          <w:szCs w:val="24"/>
        </w:rPr>
      </w:pPr>
    </w:p>
    <w:p w14:paraId="12481CFF">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82" w:name="_Hlk17707343"/>
      <w:r>
        <w:rPr>
          <w:rFonts w:hint="eastAsia" w:ascii="宋体" w:hAnsi="宋体"/>
          <w:b/>
          <w:bCs/>
          <w:color w:val="000000"/>
          <w:sz w:val="24"/>
          <w:szCs w:val="24"/>
        </w:rPr>
        <w:t xml:space="preserve">中小企业声明函 </w:t>
      </w:r>
    </w:p>
    <w:p w14:paraId="18C7787E">
      <w:pPr>
        <w:jc w:val="center"/>
        <w:rPr>
          <w:rFonts w:hint="eastAsia" w:ascii="宋体" w:hAnsi="宋体" w:cs="宋体"/>
          <w:b/>
          <w:bCs/>
          <w:color w:val="000000"/>
          <w:sz w:val="28"/>
          <w:szCs w:val="28"/>
        </w:rPr>
      </w:pPr>
    </w:p>
    <w:p w14:paraId="0B5AB4CB">
      <w:pPr>
        <w:pStyle w:val="84"/>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21E6F6C3">
      <w:pPr>
        <w:pStyle w:val="84"/>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F438693">
      <w:pPr>
        <w:pStyle w:val="84"/>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2E45F36">
      <w:pPr>
        <w:pStyle w:val="84"/>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9872B46">
      <w:pPr>
        <w:pStyle w:val="84"/>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23D3881B">
      <w:pPr>
        <w:pStyle w:val="84"/>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6DD0B59B">
      <w:pPr>
        <w:pStyle w:val="84"/>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2A6A2255">
      <w:pPr>
        <w:pStyle w:val="84"/>
        <w:adjustRightInd w:val="0"/>
        <w:snapToGrid w:val="0"/>
        <w:spacing w:line="360" w:lineRule="auto"/>
        <w:ind w:firstLine="480" w:firstLineChars="200"/>
        <w:rPr>
          <w:rFonts w:ascii="宋体" w:hAnsi="宋体" w:cs="宋体"/>
          <w:color w:val="000000"/>
          <w:sz w:val="24"/>
          <w:szCs w:val="24"/>
        </w:rPr>
      </w:pPr>
    </w:p>
    <w:p w14:paraId="7DBBB2CB">
      <w:pPr>
        <w:pStyle w:val="84"/>
        <w:adjustRightInd w:val="0"/>
        <w:snapToGrid w:val="0"/>
        <w:spacing w:line="360" w:lineRule="auto"/>
        <w:ind w:firstLine="480" w:firstLineChars="200"/>
        <w:rPr>
          <w:rFonts w:hint="eastAsia" w:ascii="宋体" w:hAnsi="宋体" w:cs="宋体"/>
          <w:color w:val="000000"/>
          <w:sz w:val="24"/>
          <w:szCs w:val="24"/>
        </w:rPr>
      </w:pPr>
    </w:p>
    <w:p w14:paraId="6B5A47D7">
      <w:pPr>
        <w:pStyle w:val="84"/>
        <w:adjustRightInd w:val="0"/>
        <w:snapToGrid w:val="0"/>
        <w:spacing w:line="360" w:lineRule="auto"/>
        <w:ind w:firstLine="480" w:firstLineChars="200"/>
        <w:rPr>
          <w:rFonts w:hint="eastAsia" w:ascii="宋体" w:hAnsi="宋体" w:cs="宋体"/>
          <w:color w:val="000000"/>
          <w:sz w:val="24"/>
          <w:szCs w:val="24"/>
        </w:rPr>
      </w:pPr>
    </w:p>
    <w:p w14:paraId="43F99554">
      <w:pPr>
        <w:pStyle w:val="84"/>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6B609525">
      <w:pPr>
        <w:pStyle w:val="84"/>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02A680AA">
      <w:pPr>
        <w:pStyle w:val="84"/>
        <w:adjustRightInd w:val="0"/>
        <w:snapToGrid w:val="0"/>
        <w:spacing w:line="360" w:lineRule="auto"/>
        <w:ind w:firstLine="4800" w:firstLineChars="2000"/>
        <w:rPr>
          <w:rFonts w:ascii="宋体" w:hAnsi="宋体" w:cs="宋体"/>
          <w:color w:val="000000"/>
          <w:sz w:val="24"/>
          <w:szCs w:val="24"/>
        </w:rPr>
      </w:pPr>
    </w:p>
    <w:p w14:paraId="26A8377B">
      <w:pPr>
        <w:pStyle w:val="84"/>
        <w:adjustRightInd w:val="0"/>
        <w:snapToGrid w:val="0"/>
        <w:spacing w:line="360" w:lineRule="auto"/>
        <w:ind w:firstLine="4800" w:firstLineChars="2000"/>
        <w:rPr>
          <w:rFonts w:ascii="宋体" w:hAnsi="宋体" w:cs="宋体"/>
          <w:color w:val="000000"/>
          <w:sz w:val="24"/>
          <w:szCs w:val="24"/>
        </w:rPr>
      </w:pPr>
    </w:p>
    <w:p w14:paraId="398D7C3D">
      <w:pPr>
        <w:pStyle w:val="84"/>
        <w:adjustRightInd w:val="0"/>
        <w:snapToGrid w:val="0"/>
        <w:spacing w:line="360" w:lineRule="auto"/>
        <w:ind w:firstLine="4800" w:firstLineChars="2000"/>
        <w:rPr>
          <w:rFonts w:ascii="宋体" w:hAnsi="宋体" w:cs="宋体"/>
          <w:color w:val="000000"/>
          <w:sz w:val="24"/>
          <w:szCs w:val="24"/>
        </w:rPr>
      </w:pPr>
    </w:p>
    <w:p w14:paraId="4B0C70A4">
      <w:pPr>
        <w:pStyle w:val="84"/>
        <w:adjustRightInd w:val="0"/>
        <w:snapToGrid w:val="0"/>
        <w:spacing w:line="360" w:lineRule="auto"/>
        <w:ind w:firstLine="4800" w:firstLineChars="2000"/>
        <w:rPr>
          <w:rFonts w:ascii="宋体" w:hAnsi="宋体" w:cs="宋体"/>
          <w:color w:val="000000"/>
          <w:sz w:val="24"/>
          <w:szCs w:val="24"/>
        </w:rPr>
      </w:pPr>
    </w:p>
    <w:p w14:paraId="49637AE9">
      <w:pPr>
        <w:pStyle w:val="84"/>
        <w:adjustRightInd w:val="0"/>
        <w:snapToGrid w:val="0"/>
        <w:spacing w:line="360" w:lineRule="auto"/>
        <w:rPr>
          <w:rFonts w:hint="eastAsia" w:ascii="宋体" w:hAnsi="宋体" w:cs="宋体"/>
          <w:color w:val="000000"/>
          <w:sz w:val="24"/>
          <w:szCs w:val="24"/>
        </w:rPr>
        <w:sectPr>
          <w:headerReference r:id="rId17" w:type="default"/>
          <w:footerReference r:id="rId1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2062A01D">
      <w:pPr>
        <w:jc w:val="left"/>
        <w:rPr>
          <w:rFonts w:hint="eastAsia" w:ascii="宋体" w:hAnsi="宋体"/>
          <w:b/>
          <w:bCs/>
          <w:color w:val="000000"/>
          <w:sz w:val="28"/>
          <w:szCs w:val="28"/>
        </w:rPr>
      </w:pPr>
      <w:r>
        <w:rPr>
          <w:rFonts w:hint="eastAsia" w:ascii="宋体" w:hAnsi="宋体"/>
          <w:b/>
          <w:bCs/>
          <w:color w:val="000000"/>
          <w:sz w:val="24"/>
          <w:szCs w:val="24"/>
        </w:rPr>
        <w:t>附件9.2监狱企业声明函</w:t>
      </w:r>
      <w:bookmarkEnd w:id="482"/>
      <w:r>
        <w:rPr>
          <w:rFonts w:hint="eastAsia" w:ascii="宋体" w:hAnsi="宋体"/>
          <w:b/>
          <w:bCs/>
          <w:color w:val="000000"/>
          <w:sz w:val="24"/>
          <w:szCs w:val="24"/>
        </w:rPr>
        <w:t>（如有可提供）</w:t>
      </w:r>
    </w:p>
    <w:p w14:paraId="02E4FD68">
      <w:pPr>
        <w:spacing w:line="360" w:lineRule="auto"/>
        <w:ind w:firstLine="557" w:firstLineChars="198"/>
        <w:jc w:val="center"/>
        <w:rPr>
          <w:rFonts w:hint="eastAsia" w:ascii="宋体" w:hAnsi="宋体"/>
          <w:b/>
          <w:bCs/>
          <w:color w:val="000000"/>
          <w:sz w:val="28"/>
          <w:szCs w:val="28"/>
        </w:rPr>
      </w:pPr>
    </w:p>
    <w:p w14:paraId="53349B1B">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0DE0911D">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097F62B0">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5E26A26B">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1F9CDA90">
      <w:pPr>
        <w:spacing w:line="360" w:lineRule="auto"/>
        <w:ind w:firstLine="480" w:firstLineChars="200"/>
        <w:rPr>
          <w:rFonts w:hint="eastAsia" w:ascii="宋体" w:hAnsi="宋体"/>
          <w:bCs/>
          <w:color w:val="000000"/>
          <w:sz w:val="24"/>
        </w:rPr>
      </w:pPr>
    </w:p>
    <w:p w14:paraId="3727935F">
      <w:pPr>
        <w:spacing w:line="360" w:lineRule="auto"/>
        <w:ind w:firstLine="480" w:firstLineChars="200"/>
        <w:rPr>
          <w:rFonts w:hint="eastAsia" w:ascii="宋体" w:hAnsi="宋体"/>
          <w:bCs/>
          <w:color w:val="000000"/>
          <w:sz w:val="24"/>
        </w:rPr>
      </w:pPr>
    </w:p>
    <w:p w14:paraId="274E01A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42F7FE4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5375AE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4DC778AD">
      <w:pPr>
        <w:spacing w:line="360" w:lineRule="auto"/>
        <w:ind w:firstLine="235" w:firstLineChars="98"/>
        <w:jc w:val="right"/>
        <w:rPr>
          <w:rFonts w:hint="eastAsia" w:ascii="宋体" w:hAnsi="宋体"/>
          <w:bCs/>
          <w:color w:val="000000"/>
          <w:sz w:val="24"/>
        </w:rPr>
      </w:pPr>
    </w:p>
    <w:p w14:paraId="0C0570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25594A36">
      <w:pPr>
        <w:spacing w:line="360" w:lineRule="auto"/>
        <w:rPr>
          <w:rFonts w:ascii="宋体" w:hAnsi="宋体"/>
          <w:b/>
          <w:color w:val="000000"/>
          <w:sz w:val="24"/>
        </w:rPr>
      </w:pPr>
    </w:p>
    <w:p w14:paraId="5CDD1CF0">
      <w:pPr>
        <w:spacing w:line="360" w:lineRule="auto"/>
        <w:rPr>
          <w:rFonts w:ascii="宋体" w:hAnsi="宋体"/>
          <w:b/>
          <w:color w:val="000000"/>
          <w:sz w:val="24"/>
        </w:rPr>
      </w:pPr>
    </w:p>
    <w:p w14:paraId="65DB489D">
      <w:pPr>
        <w:spacing w:line="360" w:lineRule="auto"/>
        <w:rPr>
          <w:rFonts w:ascii="宋体" w:hAnsi="宋体"/>
          <w:b/>
          <w:color w:val="000000"/>
          <w:sz w:val="24"/>
        </w:rPr>
      </w:pPr>
    </w:p>
    <w:p w14:paraId="59DD2F84">
      <w:pPr>
        <w:spacing w:line="360" w:lineRule="auto"/>
        <w:rPr>
          <w:rFonts w:hint="eastAsia" w:ascii="宋体" w:hAnsi="宋体"/>
          <w:b/>
          <w:color w:val="000000"/>
          <w:sz w:val="24"/>
        </w:rPr>
      </w:pPr>
    </w:p>
    <w:p w14:paraId="65B11C9F">
      <w:pPr>
        <w:spacing w:line="440" w:lineRule="exact"/>
        <w:ind w:firstLine="482"/>
        <w:rPr>
          <w:rFonts w:hint="eastAsia" w:ascii="宋体" w:hAnsi="宋体"/>
          <w:b/>
          <w:color w:val="000000"/>
          <w:sz w:val="24"/>
        </w:rPr>
      </w:pPr>
      <w:r>
        <w:rPr>
          <w:rFonts w:hint="eastAsia" w:ascii="宋体" w:hAnsi="宋体"/>
          <w:b/>
          <w:color w:val="000000"/>
          <w:sz w:val="24"/>
        </w:rPr>
        <w:t>注：</w:t>
      </w:r>
    </w:p>
    <w:p w14:paraId="7794A37E">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20C10888">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39EB75E8">
      <w:pPr>
        <w:jc w:val="left"/>
        <w:rPr>
          <w:rFonts w:ascii="宋体" w:hAnsi="宋体"/>
          <w:b/>
          <w:bCs/>
          <w:color w:val="000000"/>
          <w:sz w:val="32"/>
          <w:szCs w:val="32"/>
        </w:rPr>
      </w:pPr>
    </w:p>
    <w:p w14:paraId="08515DB0">
      <w:pPr>
        <w:jc w:val="left"/>
        <w:rPr>
          <w:rFonts w:hint="eastAsia" w:ascii="宋体" w:hAnsi="宋体"/>
          <w:b/>
          <w:bCs/>
          <w:color w:val="000000"/>
          <w:sz w:val="28"/>
          <w:szCs w:val="28"/>
        </w:rPr>
      </w:pPr>
    </w:p>
    <w:p w14:paraId="4F2C2341">
      <w:pPr>
        <w:jc w:val="left"/>
        <w:rPr>
          <w:rFonts w:hint="eastAsia" w:ascii="宋体" w:hAnsi="宋体"/>
          <w:b/>
          <w:bCs/>
          <w:color w:val="000000"/>
          <w:sz w:val="24"/>
          <w:szCs w:val="24"/>
        </w:rPr>
      </w:pPr>
      <w:r>
        <w:rPr>
          <w:rFonts w:hint="eastAsia" w:ascii="宋体" w:hAnsi="宋体"/>
          <w:b/>
          <w:bCs/>
          <w:color w:val="000000"/>
          <w:sz w:val="24"/>
          <w:szCs w:val="24"/>
        </w:rPr>
        <w:t>附件9.3残疾人福利性单位声明函（如有可提供）</w:t>
      </w:r>
    </w:p>
    <w:p w14:paraId="0485E45E">
      <w:pPr>
        <w:jc w:val="center"/>
        <w:rPr>
          <w:rFonts w:hint="eastAsia" w:ascii="宋体" w:hAnsi="宋体"/>
          <w:b/>
          <w:bCs/>
          <w:color w:val="000000"/>
          <w:sz w:val="36"/>
          <w:szCs w:val="44"/>
        </w:rPr>
      </w:pPr>
    </w:p>
    <w:p w14:paraId="5E1EF9A0">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6643E17F">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6CA4CE6">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7B128556">
      <w:pPr>
        <w:spacing w:line="588" w:lineRule="exact"/>
        <w:ind w:firstLine="624" w:firstLineChars="200"/>
        <w:rPr>
          <w:rFonts w:ascii="宋体" w:hAnsi="宋体"/>
          <w:bCs/>
          <w:color w:val="000000"/>
          <w:spacing w:val="6"/>
          <w:sz w:val="30"/>
          <w:szCs w:val="30"/>
        </w:rPr>
      </w:pPr>
    </w:p>
    <w:p w14:paraId="4172D84D">
      <w:pPr>
        <w:spacing w:line="588" w:lineRule="exact"/>
        <w:ind w:firstLine="626" w:firstLineChars="200"/>
        <w:rPr>
          <w:rFonts w:ascii="宋体" w:hAnsi="宋体"/>
          <w:b/>
          <w:bCs/>
          <w:color w:val="000000"/>
          <w:spacing w:val="6"/>
          <w:sz w:val="30"/>
          <w:szCs w:val="30"/>
        </w:rPr>
      </w:pPr>
    </w:p>
    <w:p w14:paraId="2A9F5C4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1D343EB6">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2185C7E0">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6A92E56">
      <w:pPr>
        <w:spacing w:line="360" w:lineRule="auto"/>
        <w:ind w:firstLine="235" w:firstLineChars="98"/>
        <w:jc w:val="right"/>
        <w:rPr>
          <w:rFonts w:hint="eastAsia" w:ascii="宋体" w:hAnsi="宋体"/>
          <w:bCs/>
          <w:color w:val="000000"/>
          <w:sz w:val="24"/>
        </w:rPr>
      </w:pPr>
    </w:p>
    <w:p w14:paraId="518EE2B1">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40466239">
      <w:pPr>
        <w:spacing w:line="480" w:lineRule="auto"/>
        <w:rPr>
          <w:rFonts w:hint="eastAsia" w:ascii="宋体" w:hAnsi="宋体"/>
          <w:color w:val="000000"/>
          <w:sz w:val="24"/>
        </w:rPr>
      </w:pPr>
    </w:p>
    <w:p w14:paraId="31AAD080">
      <w:pPr>
        <w:spacing w:line="480" w:lineRule="auto"/>
        <w:rPr>
          <w:rFonts w:hint="eastAsia" w:ascii="宋体" w:hAnsi="宋体"/>
          <w:b/>
          <w:color w:val="000000"/>
          <w:sz w:val="24"/>
        </w:rPr>
      </w:pPr>
    </w:p>
    <w:p w14:paraId="011CCAF2">
      <w:pPr>
        <w:spacing w:line="440" w:lineRule="exact"/>
        <w:ind w:firstLine="482"/>
        <w:rPr>
          <w:rFonts w:hint="eastAsia" w:ascii="宋体" w:hAnsi="宋体"/>
          <w:b/>
          <w:color w:val="000000"/>
          <w:sz w:val="24"/>
        </w:rPr>
      </w:pPr>
      <w:r>
        <w:rPr>
          <w:rFonts w:hint="eastAsia" w:ascii="宋体" w:hAnsi="宋体"/>
          <w:b/>
          <w:color w:val="000000"/>
          <w:sz w:val="24"/>
        </w:rPr>
        <w:t>注：</w:t>
      </w:r>
    </w:p>
    <w:p w14:paraId="3C10C605">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58169D76">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7BE87C62">
      <w:pPr>
        <w:jc w:val="left"/>
        <w:rPr>
          <w:rFonts w:hint="eastAsia" w:ascii="宋体" w:hAnsi="宋体"/>
          <w:b/>
          <w:bCs/>
          <w:color w:val="000000"/>
          <w:sz w:val="28"/>
          <w:szCs w:val="28"/>
        </w:rPr>
      </w:pPr>
    </w:p>
    <w:p w14:paraId="3589ECE5">
      <w:pPr>
        <w:pStyle w:val="14"/>
        <w:rPr>
          <w:rFonts w:hint="eastAsia"/>
          <w:color w:val="000000"/>
        </w:rPr>
      </w:pPr>
    </w:p>
    <w:p w14:paraId="1C892AE1">
      <w:pPr>
        <w:jc w:val="left"/>
        <w:rPr>
          <w:rFonts w:hint="eastAsia" w:ascii="宋体" w:hAnsi="宋体"/>
          <w:b/>
          <w:bCs/>
          <w:color w:val="000000"/>
          <w:sz w:val="24"/>
          <w:szCs w:val="24"/>
        </w:rPr>
      </w:pPr>
    </w:p>
    <w:p w14:paraId="399D73CE">
      <w:pPr>
        <w:jc w:val="left"/>
        <w:rPr>
          <w:rFonts w:hint="eastAsia" w:ascii="宋体" w:hAnsi="宋体"/>
          <w:b/>
          <w:bCs/>
          <w:color w:val="000000"/>
          <w:sz w:val="24"/>
          <w:szCs w:val="24"/>
        </w:rPr>
      </w:pPr>
      <w:r>
        <w:rPr>
          <w:rFonts w:hint="eastAsia" w:ascii="宋体" w:hAnsi="宋体"/>
          <w:b/>
          <w:bCs/>
          <w:color w:val="000000"/>
          <w:sz w:val="24"/>
          <w:szCs w:val="24"/>
        </w:rPr>
        <w:t>附件9.4福利性单位声明函（如有可提供）</w:t>
      </w:r>
    </w:p>
    <w:p w14:paraId="534BE220">
      <w:pPr>
        <w:jc w:val="center"/>
        <w:rPr>
          <w:rFonts w:hint="eastAsia" w:ascii="宋体" w:hAnsi="宋体"/>
          <w:b/>
          <w:bCs/>
          <w:color w:val="000000"/>
          <w:sz w:val="44"/>
          <w:szCs w:val="44"/>
        </w:rPr>
      </w:pPr>
    </w:p>
    <w:p w14:paraId="536315FB">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52DDE565">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5EB62A64">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6CAAF77A">
      <w:pPr>
        <w:spacing w:line="588" w:lineRule="exact"/>
        <w:rPr>
          <w:rFonts w:hint="eastAsia" w:ascii="宋体" w:hAnsi="宋体"/>
          <w:b/>
          <w:bCs/>
          <w:color w:val="000000"/>
          <w:spacing w:val="6"/>
          <w:sz w:val="30"/>
          <w:szCs w:val="30"/>
        </w:rPr>
      </w:pPr>
    </w:p>
    <w:p w14:paraId="02FA272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3A3E2688">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15F86A9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221BA947">
      <w:pPr>
        <w:spacing w:line="360" w:lineRule="auto"/>
        <w:ind w:firstLine="235" w:firstLineChars="98"/>
        <w:jc w:val="right"/>
        <w:rPr>
          <w:rFonts w:hint="eastAsia" w:ascii="宋体" w:hAnsi="宋体"/>
          <w:bCs/>
          <w:color w:val="000000"/>
          <w:sz w:val="24"/>
        </w:rPr>
      </w:pPr>
    </w:p>
    <w:p w14:paraId="3734BDA4">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3581455A">
      <w:pPr>
        <w:spacing w:line="440" w:lineRule="exact"/>
        <w:ind w:firstLine="482"/>
        <w:rPr>
          <w:rFonts w:hint="eastAsia" w:ascii="宋体" w:hAnsi="宋体"/>
          <w:b/>
          <w:color w:val="000000"/>
          <w:sz w:val="24"/>
        </w:rPr>
      </w:pPr>
      <w:r>
        <w:rPr>
          <w:rFonts w:hint="eastAsia" w:ascii="宋体" w:hAnsi="宋体"/>
          <w:b/>
          <w:color w:val="000000"/>
          <w:sz w:val="24"/>
        </w:rPr>
        <w:t>注：</w:t>
      </w:r>
    </w:p>
    <w:p w14:paraId="4158CF8C">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7B6A9337">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0B12A449">
      <w:pPr>
        <w:jc w:val="left"/>
        <w:rPr>
          <w:rFonts w:hint="eastAsia" w:ascii="宋体" w:hAnsi="宋体"/>
          <w:b/>
          <w:bCs/>
          <w:color w:val="000000"/>
          <w:sz w:val="28"/>
          <w:szCs w:val="28"/>
        </w:rPr>
      </w:pPr>
    </w:p>
    <w:p w14:paraId="1332A98E">
      <w:pPr>
        <w:jc w:val="left"/>
        <w:rPr>
          <w:rFonts w:hint="eastAsia" w:ascii="宋体" w:hAnsi="宋体"/>
          <w:b/>
          <w:bCs/>
          <w:color w:val="000000"/>
          <w:sz w:val="28"/>
          <w:szCs w:val="28"/>
        </w:rPr>
      </w:pPr>
    </w:p>
    <w:p w14:paraId="4DE42609">
      <w:pPr>
        <w:jc w:val="left"/>
        <w:rPr>
          <w:rFonts w:hint="eastAsia" w:ascii="宋体" w:hAnsi="宋体"/>
          <w:b/>
          <w:bCs/>
          <w:color w:val="000000"/>
          <w:sz w:val="28"/>
          <w:szCs w:val="28"/>
        </w:rPr>
      </w:pPr>
    </w:p>
    <w:p w14:paraId="2DBE0FCE">
      <w:pPr>
        <w:jc w:val="left"/>
        <w:rPr>
          <w:rFonts w:hint="eastAsia" w:ascii="宋体" w:hAnsi="宋体"/>
          <w:b/>
          <w:bCs/>
          <w:color w:val="000000"/>
          <w:sz w:val="28"/>
          <w:szCs w:val="28"/>
        </w:rPr>
      </w:pPr>
    </w:p>
    <w:p w14:paraId="1215622F">
      <w:pPr>
        <w:jc w:val="left"/>
        <w:rPr>
          <w:rFonts w:hint="eastAsia" w:ascii="宋体" w:hAnsi="宋体"/>
          <w:b/>
          <w:bCs/>
          <w:color w:val="000000"/>
          <w:sz w:val="28"/>
          <w:szCs w:val="28"/>
        </w:rPr>
      </w:pPr>
    </w:p>
    <w:p w14:paraId="2FBD1C7A">
      <w:pPr>
        <w:jc w:val="left"/>
        <w:rPr>
          <w:rFonts w:hint="eastAsia" w:ascii="宋体" w:hAnsi="宋体"/>
          <w:b/>
          <w:bCs/>
          <w:color w:val="000000"/>
          <w:sz w:val="28"/>
          <w:szCs w:val="28"/>
        </w:rPr>
      </w:pPr>
    </w:p>
    <w:p w14:paraId="4E4713CE">
      <w:pPr>
        <w:jc w:val="left"/>
        <w:rPr>
          <w:rFonts w:hint="eastAsia" w:ascii="宋体" w:hAnsi="宋体"/>
          <w:b/>
          <w:bCs/>
          <w:color w:val="000000"/>
          <w:sz w:val="24"/>
          <w:szCs w:val="32"/>
        </w:rPr>
        <w:sectPr>
          <w:headerReference r:id="rId19" w:type="default"/>
          <w:footerReference r:id="rId20" w:type="default"/>
          <w:footerReference r:id="rId21" w:type="even"/>
          <w:pgSz w:w="11906" w:h="16838"/>
          <w:pgMar w:top="1440" w:right="1800" w:bottom="1440" w:left="1800" w:header="851" w:footer="992" w:gutter="0"/>
          <w:pgNumType w:fmt="decimal"/>
          <w:cols w:space="720" w:num="1"/>
          <w:titlePg/>
          <w:docGrid w:type="lines" w:linePitch="312" w:charSpace="0"/>
        </w:sectPr>
      </w:pPr>
    </w:p>
    <w:p w14:paraId="588736F6">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5</w:t>
      </w:r>
      <w:r>
        <w:rPr>
          <w:rFonts w:hint="eastAsia" w:ascii="宋体" w:hAnsi="宋体"/>
          <w:b/>
          <w:bCs/>
          <w:color w:val="000000"/>
          <w:sz w:val="24"/>
          <w:szCs w:val="32"/>
        </w:rPr>
        <w:t xml:space="preserve">拒绝政府采购领域商业贿赂承诺书 </w:t>
      </w:r>
    </w:p>
    <w:p w14:paraId="7D653A40">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0E79080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3B798B3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020229C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02F0CC3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4697B7B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0D64015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4EFA046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14773B7E">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4B49499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072E3BE1">
      <w:pPr>
        <w:snapToGrid w:val="0"/>
        <w:spacing w:line="480" w:lineRule="auto"/>
        <w:ind w:left="482"/>
        <w:rPr>
          <w:rFonts w:hint="eastAsia" w:ascii="宋体" w:hAnsi="宋体"/>
          <w:bCs/>
          <w:color w:val="000000"/>
          <w:sz w:val="24"/>
          <w:szCs w:val="24"/>
        </w:rPr>
      </w:pPr>
    </w:p>
    <w:p w14:paraId="0B3A827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28AF78DC">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57612AD">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5441F766">
      <w:pPr>
        <w:snapToGrid w:val="0"/>
        <w:spacing w:line="480" w:lineRule="auto"/>
        <w:ind w:left="483" w:leftChars="230" w:firstLine="5160" w:firstLineChars="2150"/>
        <w:rPr>
          <w:rFonts w:hint="eastAsia" w:ascii="宋体" w:hAnsi="宋体"/>
          <w:bCs/>
          <w:color w:val="000000"/>
          <w:sz w:val="24"/>
          <w:szCs w:val="24"/>
        </w:rPr>
      </w:pPr>
    </w:p>
    <w:p w14:paraId="5962B15A">
      <w:pPr>
        <w:snapToGrid w:val="0"/>
        <w:spacing w:line="480" w:lineRule="auto"/>
        <w:jc w:val="right"/>
        <w:rPr>
          <w:rFonts w:hint="eastAsia"/>
          <w:color w:val="000000"/>
        </w:rPr>
      </w:pPr>
      <w:r>
        <w:rPr>
          <w:rFonts w:hint="eastAsia" w:ascii="宋体" w:hAnsi="宋体"/>
          <w:bCs/>
          <w:color w:val="000000"/>
          <w:sz w:val="24"/>
          <w:szCs w:val="24"/>
        </w:rPr>
        <w:t>年    月    日</w:t>
      </w: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0F8A683-B5DD-4845-BC23-72221C2747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6E4E05A-6160-4CBA-82F0-3ADCD455DFBF}"/>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2B57E809-7651-49C6-8CE4-379A95DAC1A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BC1E5959-E99F-40B2-B189-BD09531D642F}"/>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5" w:fontKey="{C28A3C87-ECFD-4B3B-9576-EDF40FDFF368}"/>
  </w:font>
  <w:font w:name="方正公文小标宋">
    <w:panose1 w:val="02000500000000000000"/>
    <w:charset w:val="86"/>
    <w:family w:val="auto"/>
    <w:pitch w:val="default"/>
    <w:sig w:usb0="A00002BF" w:usb1="38CF7CFA" w:usb2="00000016" w:usb3="00000000" w:csb0="00040001" w:csb1="00000000"/>
    <w:embedRegular r:id="rId6" w:fontKey="{029B1374-5225-442D-B38A-B5A82A3AC2A2}"/>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2DB7">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2C267">
    <w:pPr>
      <w:pStyle w:val="26"/>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0C3C3">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8554556">
                          <w:pPr>
                            <w:pStyle w:val="26"/>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38554556">
                    <w:pPr>
                      <w:pStyle w:val="26"/>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94D92">
    <w:pPr>
      <w:pStyle w:val="26"/>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96D404">
                          <w:pPr>
                            <w:pStyle w:val="26"/>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7696D404">
                    <w:pPr>
                      <w:pStyle w:val="26"/>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170B1CDD">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E7A0B">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04E152">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s4Ad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KMycsDfz8/dv5x6/zz6/s&#10;ZZX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DuzgB3gEAAL8DAAAOAAAAAAAA&#10;AAEAIAAAAB4BAABkcnMvZTJvRG9jLnhtbFBLBQYAAAAABgAGAFkBAABuBQAAAAA=&#10;">
              <v:fill on="f" focussize="0,0"/>
              <v:stroke on="f"/>
              <v:imagedata o:title=""/>
              <o:lock v:ext="edit" aspectratio="f"/>
              <v:textbox inset="0mm,0mm,0mm,0mm" style="mso-fit-shape-to-text:t;">
                <w:txbxContent>
                  <w:p w14:paraId="0904E152">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6C525">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0C1704">
                          <w:pPr>
                            <w:pStyle w:val="26"/>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TiIN8BAAC/AwAADgAAAGRycy9lMm9Eb2MueG1srVPBjtMwEL0j8Q+W&#10;7zTZrgR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OTiIN8BAAC/AwAADgAAAAAA&#10;AAABACAAAAAeAQAAZHJzL2Uyb0RvYy54bWxQSwUGAAAAAAYABgBZAQAAbwUAAAAA&#10;">
              <v:fill on="f" focussize="0,0"/>
              <v:stroke on="f"/>
              <v:imagedata o:title=""/>
              <o:lock v:ext="edit" aspectratio="f"/>
              <v:textbox inset="0mm,0mm,0mm,0mm" style="mso-fit-shape-to-text:t;">
                <w:txbxContent>
                  <w:p w14:paraId="730C1704">
                    <w:pPr>
                      <w:pStyle w:val="26"/>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EBE3E">
    <w:pPr>
      <w:pStyle w:val="26"/>
      <w:rPr>
        <w:rStyle w:val="43"/>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919825">
                          <w:pPr>
                            <w:pStyle w:val="26"/>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jlxd8BAAC/AwAADgAAAGRycy9lMm9Eb2MueG1srVPBjtMwEL0j8Q+W&#10;7zTZagV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Xjlxd8BAAC/AwAADgAAAAAA&#10;AAABACAAAAAeAQAAZHJzL2Uyb0RvYy54bWxQSwUGAAAAAAYABgBZAQAAbwUAAAAA&#10;">
              <v:fill on="f" focussize="0,0"/>
              <v:stroke on="f"/>
              <v:imagedata o:title=""/>
              <o:lock v:ext="edit" aspectratio="f"/>
              <v:textbox inset="0mm,0mm,0mm,0mm" style="mso-fit-shape-to-text:t;">
                <w:txbxContent>
                  <w:p w14:paraId="1A919825">
                    <w:pPr>
                      <w:pStyle w:val="26"/>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p w14:paraId="67534F1D">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8EAC1">
    <w:pPr>
      <w:pStyle w:val="26"/>
      <w:rPr>
        <w:rStyle w:val="43"/>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D9B7D3">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ic/5N8BAAC/AwAADgAAAGRycy9lMm9Eb2MueG1srVPBjtMwEL0j8Q+W&#10;7zTZSgt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ic/5N8BAAC/AwAADgAAAAAA&#10;AAABACAAAAAeAQAAZHJzL2Uyb0RvYy54bWxQSwUGAAAAAAYABgBZAQAAbwUAAAAA&#10;">
              <v:fill on="f" focussize="0,0"/>
              <v:stroke on="f"/>
              <v:imagedata o:title=""/>
              <o:lock v:ext="edit" aspectratio="f"/>
              <v:textbox inset="0mm,0mm,0mm,0mm" style="mso-fit-shape-to-text:t;">
                <w:txbxContent>
                  <w:p w14:paraId="19D9B7D3">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1442178E">
    <w:pPr>
      <w:pStyle w:val="2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46EC4">
    <w:pPr>
      <w:pStyle w:val="2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0D778">
                          <w:pPr>
                            <w:pStyle w:val="26"/>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8ZRht8BAAC/AwAADgAAAAAA&#10;AAABACAAAAAeAQAAZHJzL2Uyb0RvYy54bWxQSwUGAAAAAAYABgBZAQAAbwUAAAAA&#10;">
              <v:fill on="f" focussize="0,0"/>
              <v:stroke on="f"/>
              <v:imagedata o:title=""/>
              <o:lock v:ext="edit" aspectratio="f"/>
              <v:textbox inset="0mm,0mm,0mm,0mm" style="mso-fit-shape-to-text:t;">
                <w:txbxContent>
                  <w:p w14:paraId="3FD0D778">
                    <w:pPr>
                      <w:pStyle w:val="26"/>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BEEC4">
    <w:pPr>
      <w:pStyle w:val="26"/>
      <w:rPr>
        <w:rStyle w:val="43"/>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E584A5">
                          <w:pPr>
                            <w:pStyle w:val="26"/>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JmLp98BAAC/AwAADgAAAAAA&#10;AAABACAAAAAeAQAAZHJzL2Uyb0RvYy54bWxQSwUGAAAAAAYABgBZAQAAbwUAAAAA&#10;">
              <v:fill on="f" focussize="0,0"/>
              <v:stroke on="f"/>
              <v:imagedata o:title=""/>
              <o:lock v:ext="edit" aspectratio="f"/>
              <v:textbox inset="0mm,0mm,0mm,0mm" style="mso-fit-shape-to-text:t;">
                <w:txbxContent>
                  <w:p w14:paraId="23E584A5">
                    <w:pPr>
                      <w:pStyle w:val="26"/>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16053AC6">
    <w:pPr>
      <w:pStyle w:val="2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ABB0F">
    <w:pPr>
      <w:pStyle w:val="26"/>
      <w:framePr w:wrap="around" w:vAnchor="text" w:hAnchor="margin" w:xAlign="center" w:y="1"/>
      <w:rPr>
        <w:rStyle w:val="43"/>
      </w:rPr>
    </w:pPr>
    <w:r>
      <w:fldChar w:fldCharType="begin"/>
    </w:r>
    <w:r>
      <w:rPr>
        <w:rStyle w:val="43"/>
      </w:rPr>
      <w:instrText xml:space="preserve">PAGE  </w:instrText>
    </w:r>
    <w:r>
      <w:fldChar w:fldCharType="end"/>
    </w:r>
  </w:p>
  <w:p w14:paraId="30A16436">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61B7A">
    <w:pPr>
      <w:pStyle w:val="27"/>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B0047">
    <w:pPr>
      <w:pStyle w:val="27"/>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55F8A">
    <w:pPr>
      <w:pStyle w:val="27"/>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6C414">
    <w:pPr>
      <w:pStyle w:val="27"/>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76C7">
    <w:pPr>
      <w:pStyle w:val="27"/>
      <w:pBdr>
        <w:bottom w:val="none" w:color="auto" w:sz="0" w:space="1"/>
      </w:pBdr>
      <w:jc w:val="right"/>
      <w:rPr>
        <w:rFonts w:hint="eastAsia"/>
      </w:rPr>
    </w:pPr>
    <w:r>
      <w:rPr>
        <w:rFonts w:hint="eastAsia"/>
      </w:rPr>
      <w:t xml:space="preserve"> </w:t>
    </w:r>
  </w:p>
  <w:p w14:paraId="1ECC3364">
    <w:pPr>
      <w:pStyle w:val="27"/>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6EDB4">
    <w:pPr>
      <w:pStyle w:val="27"/>
      <w:pBdr>
        <w:bottom w:val="none" w:color="auto" w:sz="0" w:space="1"/>
      </w:pBdr>
      <w:jc w:val="right"/>
      <w:rPr>
        <w:rFonts w:hint="eastAsia"/>
      </w:rPr>
    </w:pPr>
    <w:r>
      <w:rPr>
        <w:rFonts w:hint="eastAsia"/>
      </w:rPr>
      <w:t xml:space="preserve"> </w:t>
    </w:r>
  </w:p>
  <w:p w14:paraId="5BAD01FE">
    <w:pPr>
      <w:pStyle w:val="27"/>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6A72F">
    <w:pPr>
      <w:pStyle w:val="27"/>
      <w:pBdr>
        <w:bottom w:val="none" w:color="auto" w:sz="0" w:space="1"/>
      </w:pBdr>
      <w:jc w:val="right"/>
      <w:rPr>
        <w:rFonts w:hint="eastAsia"/>
      </w:rPr>
    </w:pPr>
    <w:r>
      <w:rPr>
        <w:rFonts w:hint="eastAsia"/>
      </w:rPr>
      <w:t xml:space="preserve"> </w:t>
    </w:r>
  </w:p>
  <w:p w14:paraId="15EB5B14">
    <w:pPr>
      <w:pStyle w:val="27"/>
      <w:pBdr>
        <w:bottom w:val="none" w:color="auto" w:sz="0" w:space="0"/>
      </w:pBdr>
      <w:jc w:val="right"/>
      <w:rPr>
        <w:rFonts w:hint="eastAsia"/>
      </w:rPr>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4B740">
    <w:pPr>
      <w:pStyle w:val="27"/>
      <w:pBdr>
        <w:bottom w:val="none" w:color="auto" w:sz="0" w:space="1"/>
      </w:pBdr>
      <w:jc w:val="right"/>
      <w:rPr>
        <w:rFonts w:hint="eastAsia"/>
      </w:rPr>
    </w:pPr>
    <w:r>
      <w:rPr>
        <w:rFonts w:hint="eastAsia"/>
      </w:rPr>
      <w:t xml:space="preserve"> </w:t>
    </w:r>
  </w:p>
  <w:p w14:paraId="57A32979">
    <w:pPr>
      <w:pStyle w:val="27"/>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80"/>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DA5N2Q0N2JkNWFiY2YwM2Q4YjZjNzg5OTlmZGE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7A7D53"/>
    <w:rsid w:val="017B7436"/>
    <w:rsid w:val="017E7FA8"/>
    <w:rsid w:val="018A2858"/>
    <w:rsid w:val="019A3EBD"/>
    <w:rsid w:val="019B1886"/>
    <w:rsid w:val="01A664DA"/>
    <w:rsid w:val="01D628BE"/>
    <w:rsid w:val="01DD3C4D"/>
    <w:rsid w:val="01E213B4"/>
    <w:rsid w:val="01E44FDB"/>
    <w:rsid w:val="020C62E0"/>
    <w:rsid w:val="02297953"/>
    <w:rsid w:val="022C0730"/>
    <w:rsid w:val="024617F2"/>
    <w:rsid w:val="026779BA"/>
    <w:rsid w:val="02682844"/>
    <w:rsid w:val="027D71DE"/>
    <w:rsid w:val="02881678"/>
    <w:rsid w:val="02A13C5C"/>
    <w:rsid w:val="02B7624C"/>
    <w:rsid w:val="02B97B4D"/>
    <w:rsid w:val="02BA6D6B"/>
    <w:rsid w:val="02C6419F"/>
    <w:rsid w:val="02CC221A"/>
    <w:rsid w:val="02D908B8"/>
    <w:rsid w:val="02DA1F3A"/>
    <w:rsid w:val="02EF1E8A"/>
    <w:rsid w:val="02FC50B2"/>
    <w:rsid w:val="030F42DA"/>
    <w:rsid w:val="03174F3D"/>
    <w:rsid w:val="032303C8"/>
    <w:rsid w:val="033E4BBF"/>
    <w:rsid w:val="035179D4"/>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FC088E"/>
    <w:rsid w:val="05015EA4"/>
    <w:rsid w:val="05017C52"/>
    <w:rsid w:val="051C683A"/>
    <w:rsid w:val="0539151E"/>
    <w:rsid w:val="053F69CD"/>
    <w:rsid w:val="05522AFC"/>
    <w:rsid w:val="0553731D"/>
    <w:rsid w:val="055B4CC1"/>
    <w:rsid w:val="056D5BF6"/>
    <w:rsid w:val="05816FE5"/>
    <w:rsid w:val="05850883"/>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E57BB"/>
    <w:rsid w:val="0683310D"/>
    <w:rsid w:val="06A420A1"/>
    <w:rsid w:val="06B62CBE"/>
    <w:rsid w:val="06B86EE2"/>
    <w:rsid w:val="06BD67AF"/>
    <w:rsid w:val="06DD1708"/>
    <w:rsid w:val="06DF0753"/>
    <w:rsid w:val="06DF2215"/>
    <w:rsid w:val="06E521B8"/>
    <w:rsid w:val="06EF3CF8"/>
    <w:rsid w:val="06F2019A"/>
    <w:rsid w:val="070F3F01"/>
    <w:rsid w:val="072365A6"/>
    <w:rsid w:val="074437CC"/>
    <w:rsid w:val="077532A2"/>
    <w:rsid w:val="07755E8F"/>
    <w:rsid w:val="077A45AF"/>
    <w:rsid w:val="07A93B78"/>
    <w:rsid w:val="07C733D5"/>
    <w:rsid w:val="07CC5CDA"/>
    <w:rsid w:val="07D72EEC"/>
    <w:rsid w:val="08075F7B"/>
    <w:rsid w:val="08126267"/>
    <w:rsid w:val="08236132"/>
    <w:rsid w:val="085857D8"/>
    <w:rsid w:val="085A435C"/>
    <w:rsid w:val="085D1644"/>
    <w:rsid w:val="085D5AE7"/>
    <w:rsid w:val="086C1887"/>
    <w:rsid w:val="0874513E"/>
    <w:rsid w:val="08752E31"/>
    <w:rsid w:val="088210AA"/>
    <w:rsid w:val="08967BEF"/>
    <w:rsid w:val="08971A59"/>
    <w:rsid w:val="09045F63"/>
    <w:rsid w:val="092263E9"/>
    <w:rsid w:val="09435EF1"/>
    <w:rsid w:val="095347F5"/>
    <w:rsid w:val="09611B64"/>
    <w:rsid w:val="09903C9B"/>
    <w:rsid w:val="099557CE"/>
    <w:rsid w:val="09A339CE"/>
    <w:rsid w:val="09AF4121"/>
    <w:rsid w:val="09BE6112"/>
    <w:rsid w:val="09D815E1"/>
    <w:rsid w:val="0A0D6D90"/>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F1847"/>
    <w:rsid w:val="0ABA0FCF"/>
    <w:rsid w:val="0ABA2D7D"/>
    <w:rsid w:val="0AC15A21"/>
    <w:rsid w:val="0AD57BB7"/>
    <w:rsid w:val="0AD876A7"/>
    <w:rsid w:val="0AE23781"/>
    <w:rsid w:val="0AF91B48"/>
    <w:rsid w:val="0B13248D"/>
    <w:rsid w:val="0B2D7A0A"/>
    <w:rsid w:val="0B3B1928"/>
    <w:rsid w:val="0B3D71BF"/>
    <w:rsid w:val="0B5F56D3"/>
    <w:rsid w:val="0B616D4A"/>
    <w:rsid w:val="0B7C0033"/>
    <w:rsid w:val="0B84338B"/>
    <w:rsid w:val="0B866A2E"/>
    <w:rsid w:val="0B8C630D"/>
    <w:rsid w:val="0BA12829"/>
    <w:rsid w:val="0BA46FF4"/>
    <w:rsid w:val="0BC63207"/>
    <w:rsid w:val="0BCF45B9"/>
    <w:rsid w:val="0BDC7CF8"/>
    <w:rsid w:val="0BEF7AEF"/>
    <w:rsid w:val="0C0B585A"/>
    <w:rsid w:val="0C1A784C"/>
    <w:rsid w:val="0C2B1A59"/>
    <w:rsid w:val="0C436DA2"/>
    <w:rsid w:val="0C486437"/>
    <w:rsid w:val="0C572EC7"/>
    <w:rsid w:val="0C604814"/>
    <w:rsid w:val="0C6907A2"/>
    <w:rsid w:val="0C8F1FE8"/>
    <w:rsid w:val="0CB447D4"/>
    <w:rsid w:val="0CBA1B32"/>
    <w:rsid w:val="0CC954FA"/>
    <w:rsid w:val="0CD345CA"/>
    <w:rsid w:val="0CEA7AFC"/>
    <w:rsid w:val="0CEE6B82"/>
    <w:rsid w:val="0D0230A8"/>
    <w:rsid w:val="0D044784"/>
    <w:rsid w:val="0D052AEE"/>
    <w:rsid w:val="0D2C7F09"/>
    <w:rsid w:val="0D3A01A5"/>
    <w:rsid w:val="0D3A63F7"/>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CD7F0C"/>
    <w:rsid w:val="0FD3668F"/>
    <w:rsid w:val="0FDB6D94"/>
    <w:rsid w:val="10134CDE"/>
    <w:rsid w:val="1017657C"/>
    <w:rsid w:val="103C5FE2"/>
    <w:rsid w:val="1047366A"/>
    <w:rsid w:val="104E2006"/>
    <w:rsid w:val="106A2B50"/>
    <w:rsid w:val="108A31F2"/>
    <w:rsid w:val="1094098A"/>
    <w:rsid w:val="10995D1D"/>
    <w:rsid w:val="10E852E7"/>
    <w:rsid w:val="110A7E8F"/>
    <w:rsid w:val="1122342A"/>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414866"/>
    <w:rsid w:val="126D4B79"/>
    <w:rsid w:val="12723F3D"/>
    <w:rsid w:val="12DC585B"/>
    <w:rsid w:val="12F62DC0"/>
    <w:rsid w:val="12F6691D"/>
    <w:rsid w:val="130C5571"/>
    <w:rsid w:val="13176B07"/>
    <w:rsid w:val="132C13BF"/>
    <w:rsid w:val="132F1E2E"/>
    <w:rsid w:val="1336140F"/>
    <w:rsid w:val="133B2641"/>
    <w:rsid w:val="1354287C"/>
    <w:rsid w:val="136C66D5"/>
    <w:rsid w:val="13985C26"/>
    <w:rsid w:val="13AC347F"/>
    <w:rsid w:val="13C72B78"/>
    <w:rsid w:val="13E156B5"/>
    <w:rsid w:val="13E729A1"/>
    <w:rsid w:val="13EB3EF3"/>
    <w:rsid w:val="13EE1CEA"/>
    <w:rsid w:val="13F714D2"/>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A2B53"/>
    <w:rsid w:val="151E59F4"/>
    <w:rsid w:val="151F77AB"/>
    <w:rsid w:val="15282904"/>
    <w:rsid w:val="152C2AC9"/>
    <w:rsid w:val="15400323"/>
    <w:rsid w:val="154716B1"/>
    <w:rsid w:val="155B0F75"/>
    <w:rsid w:val="155C092C"/>
    <w:rsid w:val="15966195"/>
    <w:rsid w:val="15AD6E5E"/>
    <w:rsid w:val="15BA6555"/>
    <w:rsid w:val="15D553E2"/>
    <w:rsid w:val="15D62A35"/>
    <w:rsid w:val="15DD5AFC"/>
    <w:rsid w:val="16021A7C"/>
    <w:rsid w:val="16195D38"/>
    <w:rsid w:val="164A7369"/>
    <w:rsid w:val="16604009"/>
    <w:rsid w:val="166242C9"/>
    <w:rsid w:val="167B118A"/>
    <w:rsid w:val="16A21F26"/>
    <w:rsid w:val="16A82624"/>
    <w:rsid w:val="16BA07AA"/>
    <w:rsid w:val="16CE0FCB"/>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45FE1"/>
    <w:rsid w:val="19355CC5"/>
    <w:rsid w:val="19640AF6"/>
    <w:rsid w:val="19642DC0"/>
    <w:rsid w:val="19666EF6"/>
    <w:rsid w:val="19725191"/>
    <w:rsid w:val="197B2E6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F620C"/>
    <w:rsid w:val="1AD72BA8"/>
    <w:rsid w:val="1AF12574"/>
    <w:rsid w:val="1B097409"/>
    <w:rsid w:val="1B1C713C"/>
    <w:rsid w:val="1B1E1342"/>
    <w:rsid w:val="1B1F4E7E"/>
    <w:rsid w:val="1B222279"/>
    <w:rsid w:val="1B252495"/>
    <w:rsid w:val="1B351FAC"/>
    <w:rsid w:val="1B391A9C"/>
    <w:rsid w:val="1B3B2F91"/>
    <w:rsid w:val="1B5C7199"/>
    <w:rsid w:val="1B6E5B3E"/>
    <w:rsid w:val="1B813443"/>
    <w:rsid w:val="1B8B49B4"/>
    <w:rsid w:val="1B941C25"/>
    <w:rsid w:val="1B9F6FD2"/>
    <w:rsid w:val="1BA15893"/>
    <w:rsid w:val="1BBD091F"/>
    <w:rsid w:val="1BE340FE"/>
    <w:rsid w:val="1BF235B4"/>
    <w:rsid w:val="1C0A4438"/>
    <w:rsid w:val="1C200B97"/>
    <w:rsid w:val="1C2362A8"/>
    <w:rsid w:val="1C4F3541"/>
    <w:rsid w:val="1C545906"/>
    <w:rsid w:val="1C5E5533"/>
    <w:rsid w:val="1C622C88"/>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E53EE"/>
    <w:rsid w:val="1D5E3A3C"/>
    <w:rsid w:val="1D635461"/>
    <w:rsid w:val="1D724738"/>
    <w:rsid w:val="1D8542E0"/>
    <w:rsid w:val="1D865A1C"/>
    <w:rsid w:val="1D870BFF"/>
    <w:rsid w:val="1D9F423B"/>
    <w:rsid w:val="1DB3762A"/>
    <w:rsid w:val="1DC93146"/>
    <w:rsid w:val="1DE55F0B"/>
    <w:rsid w:val="1E25455A"/>
    <w:rsid w:val="1E38335E"/>
    <w:rsid w:val="1E461E83"/>
    <w:rsid w:val="1E671FCF"/>
    <w:rsid w:val="1E6D6984"/>
    <w:rsid w:val="1E760C9C"/>
    <w:rsid w:val="1EA2204E"/>
    <w:rsid w:val="1EAB02E5"/>
    <w:rsid w:val="1EAC6A29"/>
    <w:rsid w:val="1EC534E2"/>
    <w:rsid w:val="1ECD4970"/>
    <w:rsid w:val="1EE56783"/>
    <w:rsid w:val="1EEE0DF0"/>
    <w:rsid w:val="1EFA1543"/>
    <w:rsid w:val="1EFA3C38"/>
    <w:rsid w:val="1EFB350D"/>
    <w:rsid w:val="1F090BB5"/>
    <w:rsid w:val="1F2C1918"/>
    <w:rsid w:val="1F370D5E"/>
    <w:rsid w:val="1F485564"/>
    <w:rsid w:val="1F5A1750"/>
    <w:rsid w:val="1F7A262E"/>
    <w:rsid w:val="1F901EA7"/>
    <w:rsid w:val="1F92566D"/>
    <w:rsid w:val="1FA173F5"/>
    <w:rsid w:val="1FA30E61"/>
    <w:rsid w:val="1FD06747"/>
    <w:rsid w:val="1FD5401A"/>
    <w:rsid w:val="1FE44373"/>
    <w:rsid w:val="1FE81CE3"/>
    <w:rsid w:val="1FE8583F"/>
    <w:rsid w:val="1FE864E5"/>
    <w:rsid w:val="1FF02946"/>
    <w:rsid w:val="200132EB"/>
    <w:rsid w:val="200F54C2"/>
    <w:rsid w:val="20125FC6"/>
    <w:rsid w:val="201C198C"/>
    <w:rsid w:val="204B072D"/>
    <w:rsid w:val="204E1CEC"/>
    <w:rsid w:val="20536D18"/>
    <w:rsid w:val="20684BD2"/>
    <w:rsid w:val="20720C33"/>
    <w:rsid w:val="209A3C56"/>
    <w:rsid w:val="209D2ACD"/>
    <w:rsid w:val="20A06C94"/>
    <w:rsid w:val="20BB11A5"/>
    <w:rsid w:val="20EC1095"/>
    <w:rsid w:val="21117355"/>
    <w:rsid w:val="21246D4B"/>
    <w:rsid w:val="212B00D9"/>
    <w:rsid w:val="212C13FA"/>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87844"/>
    <w:rsid w:val="23016F7A"/>
    <w:rsid w:val="230213F4"/>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317C88"/>
    <w:rsid w:val="25331C52"/>
    <w:rsid w:val="253B28B5"/>
    <w:rsid w:val="253D662D"/>
    <w:rsid w:val="25555DD2"/>
    <w:rsid w:val="25733DFD"/>
    <w:rsid w:val="258013E4"/>
    <w:rsid w:val="2581746D"/>
    <w:rsid w:val="258C3BB9"/>
    <w:rsid w:val="25AB3597"/>
    <w:rsid w:val="25B772B5"/>
    <w:rsid w:val="25CB1E8B"/>
    <w:rsid w:val="25CE5F37"/>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012642"/>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D76959"/>
    <w:rsid w:val="27F8683B"/>
    <w:rsid w:val="27FA3C0E"/>
    <w:rsid w:val="27FD20A3"/>
    <w:rsid w:val="281D1B62"/>
    <w:rsid w:val="28221B0A"/>
    <w:rsid w:val="283006CB"/>
    <w:rsid w:val="28384835"/>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94F30"/>
    <w:rsid w:val="299B6018"/>
    <w:rsid w:val="29A529F3"/>
    <w:rsid w:val="29A5570A"/>
    <w:rsid w:val="29AA2162"/>
    <w:rsid w:val="29CE019B"/>
    <w:rsid w:val="29E259B9"/>
    <w:rsid w:val="29F714A0"/>
    <w:rsid w:val="29F80F7B"/>
    <w:rsid w:val="2A027E45"/>
    <w:rsid w:val="2A0C2A72"/>
    <w:rsid w:val="2A293624"/>
    <w:rsid w:val="2A3224D8"/>
    <w:rsid w:val="2A77438F"/>
    <w:rsid w:val="2A81520E"/>
    <w:rsid w:val="2A9B456F"/>
    <w:rsid w:val="2A9F5694"/>
    <w:rsid w:val="2AB670B6"/>
    <w:rsid w:val="2AB87401"/>
    <w:rsid w:val="2ABC4498"/>
    <w:rsid w:val="2AC11AAE"/>
    <w:rsid w:val="2ACB46DB"/>
    <w:rsid w:val="2ADE440E"/>
    <w:rsid w:val="2AE35581"/>
    <w:rsid w:val="2AEC121F"/>
    <w:rsid w:val="2AED0380"/>
    <w:rsid w:val="2AF60264"/>
    <w:rsid w:val="2B065713"/>
    <w:rsid w:val="2B1423C4"/>
    <w:rsid w:val="2B1C4F36"/>
    <w:rsid w:val="2B2B3192"/>
    <w:rsid w:val="2B452244"/>
    <w:rsid w:val="2B534734"/>
    <w:rsid w:val="2B54022C"/>
    <w:rsid w:val="2B54647E"/>
    <w:rsid w:val="2B585F6F"/>
    <w:rsid w:val="2B5B6D43"/>
    <w:rsid w:val="2B603075"/>
    <w:rsid w:val="2B964CE9"/>
    <w:rsid w:val="2B9920E3"/>
    <w:rsid w:val="2B9B5E5B"/>
    <w:rsid w:val="2BA06C69"/>
    <w:rsid w:val="2BA56CDA"/>
    <w:rsid w:val="2BB62C95"/>
    <w:rsid w:val="2BD01C52"/>
    <w:rsid w:val="2BD82C0B"/>
    <w:rsid w:val="2BDA4BD6"/>
    <w:rsid w:val="2BDD46C6"/>
    <w:rsid w:val="2BE37961"/>
    <w:rsid w:val="2BE667B7"/>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710E88"/>
    <w:rsid w:val="2D7B4196"/>
    <w:rsid w:val="2D83304B"/>
    <w:rsid w:val="2DA21723"/>
    <w:rsid w:val="2DA52FC1"/>
    <w:rsid w:val="2DAD03EE"/>
    <w:rsid w:val="2DC33281"/>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3461"/>
    <w:rsid w:val="2FAF45CB"/>
    <w:rsid w:val="2FD7548C"/>
    <w:rsid w:val="2FDB2CCA"/>
    <w:rsid w:val="2FEF49C8"/>
    <w:rsid w:val="300246FB"/>
    <w:rsid w:val="300527EC"/>
    <w:rsid w:val="30112C88"/>
    <w:rsid w:val="30170614"/>
    <w:rsid w:val="30281C88"/>
    <w:rsid w:val="304C7574"/>
    <w:rsid w:val="307978A9"/>
    <w:rsid w:val="30892B96"/>
    <w:rsid w:val="30991DD3"/>
    <w:rsid w:val="30A6777C"/>
    <w:rsid w:val="30AE4883"/>
    <w:rsid w:val="30B6585F"/>
    <w:rsid w:val="30BA3228"/>
    <w:rsid w:val="30E65DCB"/>
    <w:rsid w:val="31000422"/>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2033025"/>
    <w:rsid w:val="321B1AA4"/>
    <w:rsid w:val="322C096D"/>
    <w:rsid w:val="322C3CB1"/>
    <w:rsid w:val="323112C7"/>
    <w:rsid w:val="3239017C"/>
    <w:rsid w:val="323E13E5"/>
    <w:rsid w:val="32411989"/>
    <w:rsid w:val="32546D64"/>
    <w:rsid w:val="32676A97"/>
    <w:rsid w:val="328E2276"/>
    <w:rsid w:val="32944E37"/>
    <w:rsid w:val="32A47CEB"/>
    <w:rsid w:val="32C4213C"/>
    <w:rsid w:val="32D16607"/>
    <w:rsid w:val="32D9705D"/>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72A66"/>
    <w:rsid w:val="350D0FEC"/>
    <w:rsid w:val="35132F06"/>
    <w:rsid w:val="352E1AEE"/>
    <w:rsid w:val="35437B7C"/>
    <w:rsid w:val="35584DBD"/>
    <w:rsid w:val="358E4F55"/>
    <w:rsid w:val="35BB5A78"/>
    <w:rsid w:val="35D9162D"/>
    <w:rsid w:val="35DE1766"/>
    <w:rsid w:val="35E7745C"/>
    <w:rsid w:val="35F5260C"/>
    <w:rsid w:val="35FC498E"/>
    <w:rsid w:val="3600792F"/>
    <w:rsid w:val="360A4309"/>
    <w:rsid w:val="36213401"/>
    <w:rsid w:val="362D6059"/>
    <w:rsid w:val="364C391D"/>
    <w:rsid w:val="36551B8F"/>
    <w:rsid w:val="36575075"/>
    <w:rsid w:val="36641644"/>
    <w:rsid w:val="367708E3"/>
    <w:rsid w:val="367B0274"/>
    <w:rsid w:val="368F68BA"/>
    <w:rsid w:val="36B44275"/>
    <w:rsid w:val="36B9646D"/>
    <w:rsid w:val="36EE59D9"/>
    <w:rsid w:val="36FF3742"/>
    <w:rsid w:val="37007173"/>
    <w:rsid w:val="37024756"/>
    <w:rsid w:val="370F76FD"/>
    <w:rsid w:val="371143BC"/>
    <w:rsid w:val="3727535F"/>
    <w:rsid w:val="372C500D"/>
    <w:rsid w:val="373F27D7"/>
    <w:rsid w:val="37441A9D"/>
    <w:rsid w:val="374E0226"/>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97BBF"/>
    <w:rsid w:val="388B0768"/>
    <w:rsid w:val="389B56ED"/>
    <w:rsid w:val="38B5557A"/>
    <w:rsid w:val="38B77E9B"/>
    <w:rsid w:val="38B82A46"/>
    <w:rsid w:val="38D8249D"/>
    <w:rsid w:val="38F15A12"/>
    <w:rsid w:val="38F47003"/>
    <w:rsid w:val="390252C1"/>
    <w:rsid w:val="39355C17"/>
    <w:rsid w:val="395C1E67"/>
    <w:rsid w:val="39736610"/>
    <w:rsid w:val="397B3D07"/>
    <w:rsid w:val="3989682C"/>
    <w:rsid w:val="398C37FF"/>
    <w:rsid w:val="399D5494"/>
    <w:rsid w:val="39AB5E03"/>
    <w:rsid w:val="39C46EC5"/>
    <w:rsid w:val="39C94499"/>
    <w:rsid w:val="39D40C83"/>
    <w:rsid w:val="39D65EBB"/>
    <w:rsid w:val="39D926F6"/>
    <w:rsid w:val="39DC420F"/>
    <w:rsid w:val="39DD673D"/>
    <w:rsid w:val="39E00C65"/>
    <w:rsid w:val="39F41558"/>
    <w:rsid w:val="3A0A7ABC"/>
    <w:rsid w:val="3A0D6176"/>
    <w:rsid w:val="3A0F6392"/>
    <w:rsid w:val="3A215ADE"/>
    <w:rsid w:val="3A2160C5"/>
    <w:rsid w:val="3A2775A3"/>
    <w:rsid w:val="3A483652"/>
    <w:rsid w:val="3A7206CF"/>
    <w:rsid w:val="3A7F2C31"/>
    <w:rsid w:val="3A864DA4"/>
    <w:rsid w:val="3A914FF9"/>
    <w:rsid w:val="3A9248BC"/>
    <w:rsid w:val="3A942C59"/>
    <w:rsid w:val="3A951EDF"/>
    <w:rsid w:val="3A9B19D4"/>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CB3AD7"/>
    <w:rsid w:val="3BD9266A"/>
    <w:rsid w:val="3BDF3B42"/>
    <w:rsid w:val="3BE20963"/>
    <w:rsid w:val="3BE253C4"/>
    <w:rsid w:val="3BF515B8"/>
    <w:rsid w:val="3BF71054"/>
    <w:rsid w:val="3C011D0B"/>
    <w:rsid w:val="3C090BBF"/>
    <w:rsid w:val="3C0D4B53"/>
    <w:rsid w:val="3C237ED3"/>
    <w:rsid w:val="3C2B4E49"/>
    <w:rsid w:val="3C2F4ACA"/>
    <w:rsid w:val="3C325F30"/>
    <w:rsid w:val="3C77021F"/>
    <w:rsid w:val="3C8065F9"/>
    <w:rsid w:val="3C8841DA"/>
    <w:rsid w:val="3C954E05"/>
    <w:rsid w:val="3CA01523"/>
    <w:rsid w:val="3CC43E13"/>
    <w:rsid w:val="3CC80A7A"/>
    <w:rsid w:val="3CCD6091"/>
    <w:rsid w:val="3CDE204C"/>
    <w:rsid w:val="3CE533DA"/>
    <w:rsid w:val="3CEA6C43"/>
    <w:rsid w:val="3CEC5690"/>
    <w:rsid w:val="3CF450C8"/>
    <w:rsid w:val="3CFE0C95"/>
    <w:rsid w:val="3CFE624A"/>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E002FD"/>
    <w:rsid w:val="3EE576C2"/>
    <w:rsid w:val="3F0F70DE"/>
    <w:rsid w:val="3F3348D1"/>
    <w:rsid w:val="3F517A82"/>
    <w:rsid w:val="3F566811"/>
    <w:rsid w:val="3F593C0C"/>
    <w:rsid w:val="3F6B1D26"/>
    <w:rsid w:val="3F702A77"/>
    <w:rsid w:val="3F8C3FE1"/>
    <w:rsid w:val="3F8D3D23"/>
    <w:rsid w:val="3F8E13F7"/>
    <w:rsid w:val="3FAE3F57"/>
    <w:rsid w:val="3FE1257F"/>
    <w:rsid w:val="3FE23DA2"/>
    <w:rsid w:val="3FEE2A7D"/>
    <w:rsid w:val="3FEF3DF5"/>
    <w:rsid w:val="40155D85"/>
    <w:rsid w:val="401E103E"/>
    <w:rsid w:val="401F30A7"/>
    <w:rsid w:val="405009AC"/>
    <w:rsid w:val="40524E34"/>
    <w:rsid w:val="405E2FEA"/>
    <w:rsid w:val="406B52E0"/>
    <w:rsid w:val="40784565"/>
    <w:rsid w:val="40786313"/>
    <w:rsid w:val="408B33B9"/>
    <w:rsid w:val="40907A7F"/>
    <w:rsid w:val="409600EF"/>
    <w:rsid w:val="40BD5302"/>
    <w:rsid w:val="40E37C31"/>
    <w:rsid w:val="40E8793D"/>
    <w:rsid w:val="40EB11DB"/>
    <w:rsid w:val="40F0234E"/>
    <w:rsid w:val="40F63E08"/>
    <w:rsid w:val="411424E0"/>
    <w:rsid w:val="411A12F1"/>
    <w:rsid w:val="41322966"/>
    <w:rsid w:val="414F3518"/>
    <w:rsid w:val="41566655"/>
    <w:rsid w:val="41783232"/>
    <w:rsid w:val="41836574"/>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7C29C7"/>
    <w:rsid w:val="437F3FBB"/>
    <w:rsid w:val="43D52775"/>
    <w:rsid w:val="43E40670"/>
    <w:rsid w:val="44114AB5"/>
    <w:rsid w:val="44193A03"/>
    <w:rsid w:val="44202F4A"/>
    <w:rsid w:val="444A6BF7"/>
    <w:rsid w:val="444B0AED"/>
    <w:rsid w:val="44507CD3"/>
    <w:rsid w:val="445F3A72"/>
    <w:rsid w:val="446577F3"/>
    <w:rsid w:val="44953E46"/>
    <w:rsid w:val="44B244EA"/>
    <w:rsid w:val="44B32010"/>
    <w:rsid w:val="44C164DB"/>
    <w:rsid w:val="44C32E74"/>
    <w:rsid w:val="44CD28FA"/>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2B7078"/>
    <w:rsid w:val="464D4CA7"/>
    <w:rsid w:val="465D66D7"/>
    <w:rsid w:val="46625C99"/>
    <w:rsid w:val="469C7200"/>
    <w:rsid w:val="46BB4A11"/>
    <w:rsid w:val="46C1699C"/>
    <w:rsid w:val="46ED08B9"/>
    <w:rsid w:val="471825FE"/>
    <w:rsid w:val="471E7C15"/>
    <w:rsid w:val="475C663E"/>
    <w:rsid w:val="47615D53"/>
    <w:rsid w:val="47727F60"/>
    <w:rsid w:val="477912EF"/>
    <w:rsid w:val="477E29F5"/>
    <w:rsid w:val="47863A0C"/>
    <w:rsid w:val="47BE10AC"/>
    <w:rsid w:val="47CE1FDE"/>
    <w:rsid w:val="47D868BC"/>
    <w:rsid w:val="47E744AA"/>
    <w:rsid w:val="47FA33DA"/>
    <w:rsid w:val="48192ABD"/>
    <w:rsid w:val="481B4E37"/>
    <w:rsid w:val="48206385"/>
    <w:rsid w:val="482512A6"/>
    <w:rsid w:val="485D476D"/>
    <w:rsid w:val="487D2A1E"/>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845D29"/>
    <w:rsid w:val="49AD38FD"/>
    <w:rsid w:val="49BC54C3"/>
    <w:rsid w:val="49EA7EB4"/>
    <w:rsid w:val="49F60156"/>
    <w:rsid w:val="49FC0FF6"/>
    <w:rsid w:val="4A205A52"/>
    <w:rsid w:val="4A235542"/>
    <w:rsid w:val="4A326334"/>
    <w:rsid w:val="4A3B288C"/>
    <w:rsid w:val="4A4A06C9"/>
    <w:rsid w:val="4A620A7F"/>
    <w:rsid w:val="4A6E435C"/>
    <w:rsid w:val="4A706B2E"/>
    <w:rsid w:val="4A863922"/>
    <w:rsid w:val="4A941610"/>
    <w:rsid w:val="4A984651"/>
    <w:rsid w:val="4ABF3A7C"/>
    <w:rsid w:val="4ADF590D"/>
    <w:rsid w:val="4AEC627C"/>
    <w:rsid w:val="4B2C46CF"/>
    <w:rsid w:val="4B3016CC"/>
    <w:rsid w:val="4B367F5F"/>
    <w:rsid w:val="4B38212A"/>
    <w:rsid w:val="4B4368F7"/>
    <w:rsid w:val="4B46773A"/>
    <w:rsid w:val="4B5F07FC"/>
    <w:rsid w:val="4B621281"/>
    <w:rsid w:val="4B8B15F1"/>
    <w:rsid w:val="4B8E720E"/>
    <w:rsid w:val="4B946210"/>
    <w:rsid w:val="4BDE5BC4"/>
    <w:rsid w:val="4BE11211"/>
    <w:rsid w:val="4C231829"/>
    <w:rsid w:val="4C2C109F"/>
    <w:rsid w:val="4C2D21EC"/>
    <w:rsid w:val="4C3C0B3D"/>
    <w:rsid w:val="4C3E1BB6"/>
    <w:rsid w:val="4C3E48B5"/>
    <w:rsid w:val="4C4F6AC2"/>
    <w:rsid w:val="4C6267F5"/>
    <w:rsid w:val="4C9E35A6"/>
    <w:rsid w:val="4C9E7102"/>
    <w:rsid w:val="4CB97E79"/>
    <w:rsid w:val="4CBA03DF"/>
    <w:rsid w:val="4CD4551D"/>
    <w:rsid w:val="4D043409"/>
    <w:rsid w:val="4D185106"/>
    <w:rsid w:val="4D1E30C5"/>
    <w:rsid w:val="4D2515D1"/>
    <w:rsid w:val="4D2910C1"/>
    <w:rsid w:val="4D467339"/>
    <w:rsid w:val="4D626381"/>
    <w:rsid w:val="4D834C75"/>
    <w:rsid w:val="4DBA440F"/>
    <w:rsid w:val="4DBF51B2"/>
    <w:rsid w:val="4DCC45CE"/>
    <w:rsid w:val="4DD94895"/>
    <w:rsid w:val="4DEA4CF4"/>
    <w:rsid w:val="4DF0398D"/>
    <w:rsid w:val="4E1326E7"/>
    <w:rsid w:val="4E2029B1"/>
    <w:rsid w:val="4E2142A9"/>
    <w:rsid w:val="4E362315"/>
    <w:rsid w:val="4E3D203E"/>
    <w:rsid w:val="4E481A8B"/>
    <w:rsid w:val="4E485577"/>
    <w:rsid w:val="4E4D2E49"/>
    <w:rsid w:val="4E612ADD"/>
    <w:rsid w:val="4E6F51FA"/>
    <w:rsid w:val="4E704ACE"/>
    <w:rsid w:val="4E796F6C"/>
    <w:rsid w:val="4E7B61DE"/>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40551D"/>
    <w:rsid w:val="4F466CC0"/>
    <w:rsid w:val="4F514508"/>
    <w:rsid w:val="4F5368C9"/>
    <w:rsid w:val="4F593AE5"/>
    <w:rsid w:val="4F74239C"/>
    <w:rsid w:val="4F824AB9"/>
    <w:rsid w:val="4F8C3B89"/>
    <w:rsid w:val="4FA64C4B"/>
    <w:rsid w:val="4FAC3C69"/>
    <w:rsid w:val="4FBA6948"/>
    <w:rsid w:val="4FBD0DDA"/>
    <w:rsid w:val="4FE61A40"/>
    <w:rsid w:val="50131BB5"/>
    <w:rsid w:val="50280F82"/>
    <w:rsid w:val="50392EA6"/>
    <w:rsid w:val="5041313C"/>
    <w:rsid w:val="50414974"/>
    <w:rsid w:val="50650662"/>
    <w:rsid w:val="50855E66"/>
    <w:rsid w:val="50916BB8"/>
    <w:rsid w:val="50AA42C7"/>
    <w:rsid w:val="50B60EBE"/>
    <w:rsid w:val="50C51101"/>
    <w:rsid w:val="510C0237"/>
    <w:rsid w:val="511F76B3"/>
    <w:rsid w:val="512027DB"/>
    <w:rsid w:val="51234079"/>
    <w:rsid w:val="51373A1D"/>
    <w:rsid w:val="513B7615"/>
    <w:rsid w:val="51450494"/>
    <w:rsid w:val="5147107B"/>
    <w:rsid w:val="51586419"/>
    <w:rsid w:val="51711289"/>
    <w:rsid w:val="517B3EB5"/>
    <w:rsid w:val="519D207E"/>
    <w:rsid w:val="51A7528A"/>
    <w:rsid w:val="51B82A14"/>
    <w:rsid w:val="51BA2C30"/>
    <w:rsid w:val="51C70EA9"/>
    <w:rsid w:val="51E26E67"/>
    <w:rsid w:val="51E41A5B"/>
    <w:rsid w:val="51F06651"/>
    <w:rsid w:val="520D5A73"/>
    <w:rsid w:val="5215084E"/>
    <w:rsid w:val="5225404F"/>
    <w:rsid w:val="522C7E05"/>
    <w:rsid w:val="52383B54"/>
    <w:rsid w:val="52440CA6"/>
    <w:rsid w:val="52614E59"/>
    <w:rsid w:val="5268592E"/>
    <w:rsid w:val="52695032"/>
    <w:rsid w:val="52756B57"/>
    <w:rsid w:val="52762A77"/>
    <w:rsid w:val="528C45CC"/>
    <w:rsid w:val="528F5E6A"/>
    <w:rsid w:val="52A05A32"/>
    <w:rsid w:val="52A64F62"/>
    <w:rsid w:val="52AE2F54"/>
    <w:rsid w:val="52B14033"/>
    <w:rsid w:val="52BB381C"/>
    <w:rsid w:val="52CB6777"/>
    <w:rsid w:val="52E02222"/>
    <w:rsid w:val="52EA4E4F"/>
    <w:rsid w:val="532366DF"/>
    <w:rsid w:val="533271AD"/>
    <w:rsid w:val="533662E6"/>
    <w:rsid w:val="53690469"/>
    <w:rsid w:val="53887DEA"/>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625CD"/>
    <w:rsid w:val="553B0CE4"/>
    <w:rsid w:val="557012E6"/>
    <w:rsid w:val="558A0B6B"/>
    <w:rsid w:val="559C3120"/>
    <w:rsid w:val="55C23E61"/>
    <w:rsid w:val="55CB7E45"/>
    <w:rsid w:val="55EF4DC3"/>
    <w:rsid w:val="55FA184D"/>
    <w:rsid w:val="55FE339E"/>
    <w:rsid w:val="560426CB"/>
    <w:rsid w:val="562577A5"/>
    <w:rsid w:val="564162D0"/>
    <w:rsid w:val="564E3725"/>
    <w:rsid w:val="5658119E"/>
    <w:rsid w:val="566E3FE9"/>
    <w:rsid w:val="56705E8A"/>
    <w:rsid w:val="56717635"/>
    <w:rsid w:val="56A417B8"/>
    <w:rsid w:val="56BA6C70"/>
    <w:rsid w:val="56BF13FD"/>
    <w:rsid w:val="56C074FC"/>
    <w:rsid w:val="56CB610C"/>
    <w:rsid w:val="56EC7480"/>
    <w:rsid w:val="56F1208A"/>
    <w:rsid w:val="57256D9D"/>
    <w:rsid w:val="57265336"/>
    <w:rsid w:val="572C012C"/>
    <w:rsid w:val="57376AD1"/>
    <w:rsid w:val="57411DDB"/>
    <w:rsid w:val="574A05B2"/>
    <w:rsid w:val="57522A84"/>
    <w:rsid w:val="57574A7D"/>
    <w:rsid w:val="57777F98"/>
    <w:rsid w:val="57904E7E"/>
    <w:rsid w:val="57A133CE"/>
    <w:rsid w:val="57BE29FA"/>
    <w:rsid w:val="57C32112"/>
    <w:rsid w:val="57CC097A"/>
    <w:rsid w:val="57CE5D0A"/>
    <w:rsid w:val="57E54372"/>
    <w:rsid w:val="57F36EA5"/>
    <w:rsid w:val="580E4721"/>
    <w:rsid w:val="5825678F"/>
    <w:rsid w:val="583A417F"/>
    <w:rsid w:val="5851688A"/>
    <w:rsid w:val="586A278D"/>
    <w:rsid w:val="58894EBB"/>
    <w:rsid w:val="58900CFD"/>
    <w:rsid w:val="589A2E73"/>
    <w:rsid w:val="589A471C"/>
    <w:rsid w:val="58AC2BA6"/>
    <w:rsid w:val="58B744E4"/>
    <w:rsid w:val="58BA782A"/>
    <w:rsid w:val="58BC728D"/>
    <w:rsid w:val="58BF6D7E"/>
    <w:rsid w:val="58C61EBA"/>
    <w:rsid w:val="58CB4600"/>
    <w:rsid w:val="58D624C9"/>
    <w:rsid w:val="58DA5965"/>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020B9"/>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F3BED"/>
    <w:rsid w:val="5D0607CD"/>
    <w:rsid w:val="5D1505F2"/>
    <w:rsid w:val="5D393FB8"/>
    <w:rsid w:val="5D515DF9"/>
    <w:rsid w:val="5D8B1A3C"/>
    <w:rsid w:val="5D9C768D"/>
    <w:rsid w:val="5D9D11C6"/>
    <w:rsid w:val="5DB91FED"/>
    <w:rsid w:val="5DBF39CE"/>
    <w:rsid w:val="5DCD0522"/>
    <w:rsid w:val="5DCD560A"/>
    <w:rsid w:val="5DDC0BFC"/>
    <w:rsid w:val="5E0707E8"/>
    <w:rsid w:val="5E111E29"/>
    <w:rsid w:val="5E134BAB"/>
    <w:rsid w:val="5E1A1DEB"/>
    <w:rsid w:val="5E20040A"/>
    <w:rsid w:val="5E345B18"/>
    <w:rsid w:val="5E421FE3"/>
    <w:rsid w:val="5E4265D8"/>
    <w:rsid w:val="5E451AD3"/>
    <w:rsid w:val="5E59680F"/>
    <w:rsid w:val="5E604B5F"/>
    <w:rsid w:val="5E692D38"/>
    <w:rsid w:val="5E820631"/>
    <w:rsid w:val="5E84084D"/>
    <w:rsid w:val="5E8545C5"/>
    <w:rsid w:val="5E9F7435"/>
    <w:rsid w:val="5ECC503A"/>
    <w:rsid w:val="5EDB32E9"/>
    <w:rsid w:val="5EE706A0"/>
    <w:rsid w:val="5EE72B8A"/>
    <w:rsid w:val="5EE94B54"/>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DD19CE"/>
    <w:rsid w:val="5FE32110"/>
    <w:rsid w:val="5FF368C7"/>
    <w:rsid w:val="5FF36EF7"/>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252A47"/>
    <w:rsid w:val="632A2AA3"/>
    <w:rsid w:val="635F3637"/>
    <w:rsid w:val="63901A42"/>
    <w:rsid w:val="639037F0"/>
    <w:rsid w:val="63955B94"/>
    <w:rsid w:val="639C3F43"/>
    <w:rsid w:val="63AD6150"/>
    <w:rsid w:val="63E67BC7"/>
    <w:rsid w:val="63F20007"/>
    <w:rsid w:val="63FD075A"/>
    <w:rsid w:val="640E256A"/>
    <w:rsid w:val="64122457"/>
    <w:rsid w:val="64483025"/>
    <w:rsid w:val="6448522A"/>
    <w:rsid w:val="64502F80"/>
    <w:rsid w:val="645F1255"/>
    <w:rsid w:val="647D22E0"/>
    <w:rsid w:val="647F6BF5"/>
    <w:rsid w:val="64850E7B"/>
    <w:rsid w:val="64C12B10"/>
    <w:rsid w:val="64C61CA6"/>
    <w:rsid w:val="64E06A5F"/>
    <w:rsid w:val="64E262CE"/>
    <w:rsid w:val="64E36D74"/>
    <w:rsid w:val="64E64C4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E864A3"/>
    <w:rsid w:val="65E87914"/>
    <w:rsid w:val="6623094C"/>
    <w:rsid w:val="66277E08"/>
    <w:rsid w:val="66383CCB"/>
    <w:rsid w:val="663902D2"/>
    <w:rsid w:val="664275D6"/>
    <w:rsid w:val="66467922"/>
    <w:rsid w:val="6664539E"/>
    <w:rsid w:val="6683081A"/>
    <w:rsid w:val="66A23F66"/>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B7247"/>
    <w:rsid w:val="67F105D6"/>
    <w:rsid w:val="680601AA"/>
    <w:rsid w:val="681A4791"/>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C6636D"/>
    <w:rsid w:val="69CE4CB7"/>
    <w:rsid w:val="69CE5072"/>
    <w:rsid w:val="69E13284"/>
    <w:rsid w:val="6A0212C3"/>
    <w:rsid w:val="6A4F2369"/>
    <w:rsid w:val="6A5135AE"/>
    <w:rsid w:val="6A652BDD"/>
    <w:rsid w:val="6A674B7F"/>
    <w:rsid w:val="6A707ED8"/>
    <w:rsid w:val="6A732F0D"/>
    <w:rsid w:val="6A78728D"/>
    <w:rsid w:val="6A7D3D9C"/>
    <w:rsid w:val="6A7F45BF"/>
    <w:rsid w:val="6A7F5A7E"/>
    <w:rsid w:val="6AA36AD3"/>
    <w:rsid w:val="6AAC690A"/>
    <w:rsid w:val="6ABA73A5"/>
    <w:rsid w:val="6AC152D3"/>
    <w:rsid w:val="6ACB7804"/>
    <w:rsid w:val="6ACE0429"/>
    <w:rsid w:val="6AD12FDC"/>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85CB7"/>
    <w:rsid w:val="6C435214"/>
    <w:rsid w:val="6C4F5FC2"/>
    <w:rsid w:val="6C784200"/>
    <w:rsid w:val="6C8C0E56"/>
    <w:rsid w:val="6CAB3449"/>
    <w:rsid w:val="6CB46277"/>
    <w:rsid w:val="6CD6400E"/>
    <w:rsid w:val="6CD97FB6"/>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239F8"/>
    <w:rsid w:val="6E0628E0"/>
    <w:rsid w:val="6E0C7F17"/>
    <w:rsid w:val="6E0D467C"/>
    <w:rsid w:val="6E0E43A1"/>
    <w:rsid w:val="6E134AF8"/>
    <w:rsid w:val="6E141101"/>
    <w:rsid w:val="6E241705"/>
    <w:rsid w:val="6E2A57BB"/>
    <w:rsid w:val="6E3E5B59"/>
    <w:rsid w:val="6E4021AC"/>
    <w:rsid w:val="6E571528"/>
    <w:rsid w:val="6E71421E"/>
    <w:rsid w:val="6E804461"/>
    <w:rsid w:val="6F080F6E"/>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E612E2"/>
    <w:rsid w:val="6FFF3CE8"/>
    <w:rsid w:val="70312678"/>
    <w:rsid w:val="703300B9"/>
    <w:rsid w:val="703F09D9"/>
    <w:rsid w:val="703F6299"/>
    <w:rsid w:val="704476FF"/>
    <w:rsid w:val="704716DB"/>
    <w:rsid w:val="705362D1"/>
    <w:rsid w:val="7073427E"/>
    <w:rsid w:val="70A97C9F"/>
    <w:rsid w:val="70B328CC"/>
    <w:rsid w:val="70DF5DB7"/>
    <w:rsid w:val="70F159CB"/>
    <w:rsid w:val="70F52C1D"/>
    <w:rsid w:val="710029FC"/>
    <w:rsid w:val="71015D2D"/>
    <w:rsid w:val="711060E4"/>
    <w:rsid w:val="7115533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CE39AB"/>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C652C4"/>
    <w:rsid w:val="74CB20C3"/>
    <w:rsid w:val="74CF1C9F"/>
    <w:rsid w:val="74D86DA5"/>
    <w:rsid w:val="74DE6FFC"/>
    <w:rsid w:val="74FC6F38"/>
    <w:rsid w:val="75044FA2"/>
    <w:rsid w:val="75057917"/>
    <w:rsid w:val="75093403"/>
    <w:rsid w:val="750E0A19"/>
    <w:rsid w:val="75155DA8"/>
    <w:rsid w:val="7522034F"/>
    <w:rsid w:val="752734F6"/>
    <w:rsid w:val="753164B5"/>
    <w:rsid w:val="75497CA3"/>
    <w:rsid w:val="755A101E"/>
    <w:rsid w:val="755D54FC"/>
    <w:rsid w:val="75686ECF"/>
    <w:rsid w:val="758160FE"/>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8624D"/>
    <w:rsid w:val="75FF78B4"/>
    <w:rsid w:val="7608190C"/>
    <w:rsid w:val="76564426"/>
    <w:rsid w:val="766E6510"/>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D55E5"/>
    <w:rsid w:val="775F0788"/>
    <w:rsid w:val="776C61B1"/>
    <w:rsid w:val="777D59E2"/>
    <w:rsid w:val="77861539"/>
    <w:rsid w:val="7787089B"/>
    <w:rsid w:val="77893160"/>
    <w:rsid w:val="778A61BA"/>
    <w:rsid w:val="77903967"/>
    <w:rsid w:val="779A422B"/>
    <w:rsid w:val="77BE13A9"/>
    <w:rsid w:val="77C74EAF"/>
    <w:rsid w:val="77D01E8D"/>
    <w:rsid w:val="77D33AB2"/>
    <w:rsid w:val="77EA23DD"/>
    <w:rsid w:val="77FA53CA"/>
    <w:rsid w:val="78023F60"/>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433C58"/>
    <w:rsid w:val="7956298E"/>
    <w:rsid w:val="795B7FA5"/>
    <w:rsid w:val="7994682D"/>
    <w:rsid w:val="79955265"/>
    <w:rsid w:val="7999512B"/>
    <w:rsid w:val="79FE105C"/>
    <w:rsid w:val="79FF3026"/>
    <w:rsid w:val="7A4078C7"/>
    <w:rsid w:val="7A440A39"/>
    <w:rsid w:val="7A444A03"/>
    <w:rsid w:val="7A8157E9"/>
    <w:rsid w:val="7A8E4014"/>
    <w:rsid w:val="7A916128"/>
    <w:rsid w:val="7ACF29F8"/>
    <w:rsid w:val="7ADA0FB5"/>
    <w:rsid w:val="7AE81024"/>
    <w:rsid w:val="7AED0CE2"/>
    <w:rsid w:val="7B034450"/>
    <w:rsid w:val="7B1E74DC"/>
    <w:rsid w:val="7B2C7E4B"/>
    <w:rsid w:val="7BAC4AE8"/>
    <w:rsid w:val="7BB4572B"/>
    <w:rsid w:val="7BBF09ED"/>
    <w:rsid w:val="7BC736D0"/>
    <w:rsid w:val="7BFE2A0C"/>
    <w:rsid w:val="7C042B76"/>
    <w:rsid w:val="7C1F1567"/>
    <w:rsid w:val="7C3A702B"/>
    <w:rsid w:val="7C424EE1"/>
    <w:rsid w:val="7C5238E1"/>
    <w:rsid w:val="7C635AEE"/>
    <w:rsid w:val="7C7712BF"/>
    <w:rsid w:val="7C7F5324"/>
    <w:rsid w:val="7C8133D1"/>
    <w:rsid w:val="7C8F2F03"/>
    <w:rsid w:val="7C943EFA"/>
    <w:rsid w:val="7CA6260B"/>
    <w:rsid w:val="7CE64029"/>
    <w:rsid w:val="7CEB017F"/>
    <w:rsid w:val="7CF6426C"/>
    <w:rsid w:val="7CFB217F"/>
    <w:rsid w:val="7D0532C6"/>
    <w:rsid w:val="7D140E89"/>
    <w:rsid w:val="7D1A0010"/>
    <w:rsid w:val="7D1D3EEF"/>
    <w:rsid w:val="7D2034C5"/>
    <w:rsid w:val="7D246E30"/>
    <w:rsid w:val="7D3B6123"/>
    <w:rsid w:val="7D40373A"/>
    <w:rsid w:val="7D50271C"/>
    <w:rsid w:val="7D5D253D"/>
    <w:rsid w:val="7D7C3A0F"/>
    <w:rsid w:val="7D7D67EC"/>
    <w:rsid w:val="7D93039E"/>
    <w:rsid w:val="7D983576"/>
    <w:rsid w:val="7DA57A41"/>
    <w:rsid w:val="7DDC06B3"/>
    <w:rsid w:val="7DE23245"/>
    <w:rsid w:val="7DE46722"/>
    <w:rsid w:val="7DED3CF7"/>
    <w:rsid w:val="7DEF0559"/>
    <w:rsid w:val="7DFF1847"/>
    <w:rsid w:val="7E065925"/>
    <w:rsid w:val="7E097FCF"/>
    <w:rsid w:val="7E123328"/>
    <w:rsid w:val="7E260B81"/>
    <w:rsid w:val="7E327526"/>
    <w:rsid w:val="7E3314F0"/>
    <w:rsid w:val="7E471691"/>
    <w:rsid w:val="7E4D4360"/>
    <w:rsid w:val="7E4E0F4F"/>
    <w:rsid w:val="7E503E50"/>
    <w:rsid w:val="7E574FFC"/>
    <w:rsid w:val="7E633B84"/>
    <w:rsid w:val="7E6A7F71"/>
    <w:rsid w:val="7E8D5CA6"/>
    <w:rsid w:val="7EB53AC4"/>
    <w:rsid w:val="7EB578F0"/>
    <w:rsid w:val="7EB937A4"/>
    <w:rsid w:val="7EBF171C"/>
    <w:rsid w:val="7EF7251E"/>
    <w:rsid w:val="7F0F14AB"/>
    <w:rsid w:val="7F10538E"/>
    <w:rsid w:val="7F2D4191"/>
    <w:rsid w:val="7F5148BD"/>
    <w:rsid w:val="7F5E259D"/>
    <w:rsid w:val="7F601E71"/>
    <w:rsid w:val="7F8151D5"/>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autoRedefine/>
    <w:qFormat/>
    <w:uiPriority w:val="9"/>
    <w:pPr>
      <w:keepNext/>
      <w:jc w:val="center"/>
      <w:outlineLvl w:val="0"/>
    </w:pPr>
    <w:rPr>
      <w:rFonts w:ascii="Times New Roman" w:hAnsi="Times New Roman" w:eastAsia="黑体"/>
      <w:b/>
      <w:kern w:val="0"/>
      <w:sz w:val="32"/>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autoRedefine/>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Calibri" w:hAnsi="Calibri" w:cs="Calibri"/>
      <w:sz w:val="18"/>
      <w:szCs w:val="18"/>
    </w:rPr>
  </w:style>
  <w:style w:type="paragraph" w:styleId="9">
    <w:name w:val="Normal Indent"/>
    <w:basedOn w:val="1"/>
    <w:link w:val="51"/>
    <w:autoRedefine/>
    <w:qFormat/>
    <w:uiPriority w:val="0"/>
    <w:pPr>
      <w:ind w:firstLine="420" w:firstLineChars="200"/>
    </w:pPr>
    <w:rPr>
      <w:rFonts w:ascii="Calibri" w:hAnsi="Calibri"/>
      <w:kern w:val="0"/>
      <w:sz w:val="20"/>
    </w:rPr>
  </w:style>
  <w:style w:type="paragraph" w:styleId="10">
    <w:name w:val="Document Map"/>
    <w:basedOn w:val="1"/>
    <w:autoRedefine/>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autoRedefine/>
    <w:qFormat/>
    <w:uiPriority w:val="0"/>
    <w:pPr>
      <w:spacing w:before="120"/>
    </w:pPr>
    <w:rPr>
      <w:rFonts w:ascii="Arial" w:hAnsi="Arial"/>
      <w:b/>
      <w:bCs/>
    </w:rPr>
  </w:style>
  <w:style w:type="paragraph" w:styleId="12">
    <w:name w:val="annotation text"/>
    <w:basedOn w:val="1"/>
    <w:link w:val="52"/>
    <w:autoRedefine/>
    <w:qFormat/>
    <w:uiPriority w:val="0"/>
    <w:pPr>
      <w:jc w:val="left"/>
    </w:pPr>
  </w:style>
  <w:style w:type="paragraph" w:styleId="13">
    <w:name w:val="Body Text 3"/>
    <w:basedOn w:val="1"/>
    <w:autoRedefine/>
    <w:qFormat/>
    <w:uiPriority w:val="0"/>
    <w:pPr>
      <w:spacing w:after="120"/>
    </w:pPr>
    <w:rPr>
      <w:sz w:val="16"/>
      <w:szCs w:val="16"/>
    </w:rPr>
  </w:style>
  <w:style w:type="paragraph" w:styleId="14">
    <w:name w:val="Body Text"/>
    <w:basedOn w:val="1"/>
    <w:autoRedefine/>
    <w:qFormat/>
    <w:uiPriority w:val="0"/>
    <w:pPr>
      <w:spacing w:after="120"/>
    </w:pPr>
    <w:rPr>
      <w:szCs w:val="24"/>
    </w:rPr>
  </w:style>
  <w:style w:type="paragraph" w:styleId="15">
    <w:name w:val="Body Text Indent"/>
    <w:basedOn w:val="1"/>
    <w:next w:val="1"/>
    <w:autoRedefine/>
    <w:qFormat/>
    <w:uiPriority w:val="0"/>
    <w:pPr>
      <w:ind w:firstLine="552"/>
    </w:pPr>
    <w:rPr>
      <w:rFonts w:ascii="宋体"/>
      <w:sz w:val="28"/>
    </w:rPr>
  </w:style>
  <w:style w:type="paragraph" w:styleId="16">
    <w:name w:val="index 4"/>
    <w:basedOn w:val="1"/>
    <w:next w:val="1"/>
    <w:qFormat/>
    <w:uiPriority w:val="0"/>
    <w:pPr>
      <w:ind w:left="600" w:leftChars="600"/>
    </w:pPr>
  </w:style>
  <w:style w:type="paragraph" w:styleId="17">
    <w:name w:val="toc 5"/>
    <w:basedOn w:val="1"/>
    <w:next w:val="1"/>
    <w:qFormat/>
    <w:uiPriority w:val="0"/>
    <w:pPr>
      <w:ind w:left="840"/>
      <w:jc w:val="left"/>
    </w:pPr>
    <w:rPr>
      <w:rFonts w:ascii="Calibri" w:hAnsi="Calibri" w:cs="Calibri"/>
      <w:sz w:val="18"/>
      <w:szCs w:val="18"/>
    </w:rPr>
  </w:style>
  <w:style w:type="paragraph" w:styleId="18">
    <w:name w:val="toc 3"/>
    <w:basedOn w:val="1"/>
    <w:next w:val="1"/>
    <w:autoRedefine/>
    <w:qFormat/>
    <w:uiPriority w:val="0"/>
    <w:pPr>
      <w:ind w:left="420"/>
      <w:jc w:val="left"/>
    </w:pPr>
    <w:rPr>
      <w:rFonts w:ascii="Calibri" w:hAnsi="Calibri" w:cs="Calibri"/>
      <w:i/>
      <w:iCs/>
      <w:sz w:val="20"/>
    </w:rPr>
  </w:style>
  <w:style w:type="paragraph" w:styleId="19">
    <w:name w:val="Plain Text"/>
    <w:basedOn w:val="1"/>
    <w:link w:val="53"/>
    <w:autoRedefine/>
    <w:qFormat/>
    <w:uiPriority w:val="0"/>
    <w:rPr>
      <w:rFonts w:ascii="宋体" w:hAnsi="Courier New"/>
    </w:rPr>
  </w:style>
  <w:style w:type="paragraph" w:styleId="20">
    <w:name w:val="toc 8"/>
    <w:basedOn w:val="1"/>
    <w:next w:val="1"/>
    <w:qFormat/>
    <w:uiPriority w:val="0"/>
    <w:pPr>
      <w:ind w:left="1470"/>
      <w:jc w:val="left"/>
    </w:pPr>
    <w:rPr>
      <w:rFonts w:ascii="Calibri" w:hAnsi="Calibri" w:cs="Calibri"/>
      <w:sz w:val="18"/>
      <w:szCs w:val="18"/>
    </w:rPr>
  </w:style>
  <w:style w:type="paragraph" w:styleId="21">
    <w:name w:val="Date"/>
    <w:basedOn w:val="1"/>
    <w:next w:val="1"/>
    <w:qFormat/>
    <w:uiPriority w:val="0"/>
    <w:rPr>
      <w:rFonts w:ascii="宋体"/>
      <w:sz w:val="24"/>
    </w:rPr>
  </w:style>
  <w:style w:type="paragraph" w:styleId="22">
    <w:name w:val="Body Text Indent 2"/>
    <w:basedOn w:val="1"/>
    <w:next w:val="23"/>
    <w:qFormat/>
    <w:uiPriority w:val="0"/>
    <w:pPr>
      <w:spacing w:after="120" w:afterLines="0" w:line="480" w:lineRule="auto"/>
      <w:ind w:left="420" w:leftChars="200"/>
    </w:pPr>
  </w:style>
  <w:style w:type="paragraph" w:styleId="23">
    <w:name w:val="Body Text First Indent 2"/>
    <w:basedOn w:val="15"/>
    <w:autoRedefine/>
    <w:qFormat/>
    <w:uiPriority w:val="0"/>
    <w:pPr>
      <w:ind w:firstLine="420" w:firstLineChars="200"/>
    </w:pPr>
  </w:style>
  <w:style w:type="paragraph" w:styleId="24">
    <w:name w:val="endnote text"/>
    <w:basedOn w:val="1"/>
    <w:autoRedefine/>
    <w:qFormat/>
    <w:uiPriority w:val="0"/>
    <w:pPr>
      <w:snapToGrid w:val="0"/>
      <w:jc w:val="left"/>
    </w:pPr>
  </w:style>
  <w:style w:type="paragraph" w:styleId="25">
    <w:name w:val="Balloon Text"/>
    <w:basedOn w:val="1"/>
    <w:link w:val="54"/>
    <w:autoRedefine/>
    <w:qFormat/>
    <w:uiPriority w:val="0"/>
    <w:rPr>
      <w:sz w:val="18"/>
      <w:szCs w:val="18"/>
    </w:rPr>
  </w:style>
  <w:style w:type="paragraph" w:styleId="26">
    <w:name w:val="footer"/>
    <w:basedOn w:val="1"/>
    <w:link w:val="55"/>
    <w:autoRedefine/>
    <w:qFormat/>
    <w:uiPriority w:val="99"/>
    <w:pPr>
      <w:tabs>
        <w:tab w:val="center" w:pos="4153"/>
        <w:tab w:val="right" w:pos="8306"/>
      </w:tabs>
      <w:adjustRightInd w:val="0"/>
      <w:spacing w:line="240" w:lineRule="atLeast"/>
      <w:jc w:val="left"/>
      <w:textAlignment w:val="baseline"/>
    </w:pPr>
    <w:rPr>
      <w:kern w:val="0"/>
      <w:sz w:val="18"/>
    </w:rPr>
  </w:style>
  <w:style w:type="paragraph" w:styleId="27">
    <w:name w:val="header"/>
    <w:basedOn w:val="1"/>
    <w:link w:val="56"/>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rPr>
  </w:style>
  <w:style w:type="paragraph" w:styleId="29">
    <w:name w:val="toc 4"/>
    <w:basedOn w:val="1"/>
    <w:next w:val="1"/>
    <w:autoRedefine/>
    <w:qFormat/>
    <w:uiPriority w:val="0"/>
    <w:pPr>
      <w:ind w:left="630"/>
      <w:jc w:val="left"/>
    </w:pPr>
    <w:rPr>
      <w:rFonts w:ascii="Calibri" w:hAnsi="Calibri" w:cs="Calibri"/>
      <w:sz w:val="18"/>
      <w:szCs w:val="18"/>
    </w:rPr>
  </w:style>
  <w:style w:type="paragraph" w:styleId="30">
    <w:name w:val="toc 6"/>
    <w:basedOn w:val="1"/>
    <w:next w:val="1"/>
    <w:autoRedefine/>
    <w:qFormat/>
    <w:uiPriority w:val="0"/>
    <w:pPr>
      <w:ind w:left="1050"/>
      <w:jc w:val="left"/>
    </w:pPr>
    <w:rPr>
      <w:rFonts w:ascii="Calibri" w:hAnsi="Calibri" w:cs="Calibri"/>
      <w:sz w:val="18"/>
      <w:szCs w:val="18"/>
    </w:rPr>
  </w:style>
  <w:style w:type="paragraph" w:styleId="31">
    <w:name w:val="toc 2"/>
    <w:basedOn w:val="1"/>
    <w:next w:val="1"/>
    <w:autoRedefine/>
    <w:qFormat/>
    <w:uiPriority w:val="39"/>
    <w:pPr>
      <w:ind w:left="210"/>
      <w:jc w:val="left"/>
    </w:pPr>
    <w:rPr>
      <w:rFonts w:ascii="Calibri" w:hAnsi="Calibri" w:cs="Calibri"/>
      <w:smallCaps/>
      <w:sz w:val="20"/>
    </w:rPr>
  </w:style>
  <w:style w:type="paragraph" w:styleId="32">
    <w:name w:val="toc 9"/>
    <w:basedOn w:val="1"/>
    <w:next w:val="1"/>
    <w:autoRedefine/>
    <w:qFormat/>
    <w:uiPriority w:val="0"/>
    <w:pPr>
      <w:ind w:left="1680"/>
      <w:jc w:val="left"/>
    </w:pPr>
    <w:rPr>
      <w:rFonts w:ascii="Calibri" w:hAnsi="Calibri" w:cs="Calibri"/>
      <w:sz w:val="18"/>
      <w:szCs w:val="18"/>
    </w:rPr>
  </w:style>
  <w:style w:type="paragraph" w:styleId="33">
    <w:name w:val="Body Text 2"/>
    <w:basedOn w:val="1"/>
    <w:autoRedefine/>
    <w:qFormat/>
    <w:uiPriority w:val="0"/>
    <w:pPr>
      <w:spacing w:before="60" w:after="60"/>
      <w:jc w:val="left"/>
    </w:pPr>
    <w:rPr>
      <w:rFonts w:ascii="华文仿宋" w:hAnsi="华文仿宋" w:eastAsia="华文仿宋"/>
      <w:sz w:val="24"/>
    </w:rPr>
  </w:style>
  <w:style w:type="paragraph" w:styleId="34">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qFormat/>
    <w:uiPriority w:val="0"/>
    <w:pPr>
      <w:spacing w:before="240" w:after="60"/>
      <w:jc w:val="center"/>
    </w:pPr>
    <w:rPr>
      <w:rFonts w:ascii="Arial" w:hAnsi="Arial"/>
      <w:b/>
      <w:kern w:val="28"/>
      <w:sz w:val="32"/>
    </w:rPr>
  </w:style>
  <w:style w:type="paragraph" w:styleId="37">
    <w:name w:val="annotation subject"/>
    <w:basedOn w:val="12"/>
    <w:next w:val="12"/>
    <w:link w:val="57"/>
    <w:autoRedefine/>
    <w:qFormat/>
    <w:uiPriority w:val="0"/>
    <w:rPr>
      <w:b/>
      <w:bCs/>
    </w:rPr>
  </w:style>
  <w:style w:type="paragraph" w:styleId="38">
    <w:name w:val="Body Text First Indent"/>
    <w:basedOn w:val="14"/>
    <w:autoRedefine/>
    <w:unhideWhenUsed/>
    <w:qFormat/>
    <w:uiPriority w:val="99"/>
    <w:pPr>
      <w:ind w:firstLine="420" w:firstLineChars="100"/>
    </w:pPr>
  </w:style>
  <w:style w:type="table" w:styleId="40">
    <w:name w:val="Table Grid"/>
    <w:basedOn w:val="39"/>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b/>
    </w:rPr>
  </w:style>
  <w:style w:type="character" w:styleId="43">
    <w:name w:val="page number"/>
    <w:autoRedefine/>
    <w:qFormat/>
    <w:uiPriority w:val="0"/>
  </w:style>
  <w:style w:type="character" w:styleId="44">
    <w:name w:val="FollowedHyperlink"/>
    <w:autoRedefine/>
    <w:qFormat/>
    <w:uiPriority w:val="0"/>
    <w:rPr>
      <w:color w:val="800080"/>
      <w:u w:val="none"/>
    </w:rPr>
  </w:style>
  <w:style w:type="character" w:styleId="45">
    <w:name w:val="Emphasis"/>
    <w:autoRedefine/>
    <w:qFormat/>
    <w:uiPriority w:val="0"/>
    <w:rPr>
      <w:i/>
    </w:rPr>
  </w:style>
  <w:style w:type="character" w:styleId="46">
    <w:name w:val="Hyperlink"/>
    <w:autoRedefine/>
    <w:qFormat/>
    <w:uiPriority w:val="99"/>
    <w:rPr>
      <w:color w:val="0000FF"/>
      <w:u w:val="none"/>
    </w:rPr>
  </w:style>
  <w:style w:type="character" w:styleId="47">
    <w:name w:val="annotation reference"/>
    <w:autoRedefine/>
    <w:qFormat/>
    <w:uiPriority w:val="0"/>
    <w:rPr>
      <w:sz w:val="21"/>
      <w:szCs w:val="21"/>
    </w:rPr>
  </w:style>
  <w:style w:type="paragraph" w:customStyle="1" w:styleId="48">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font5"/>
    <w:basedOn w:val="1"/>
    <w:qFormat/>
    <w:uiPriority w:val="0"/>
    <w:pPr>
      <w:widowControl/>
      <w:spacing w:before="100" w:beforeAutospacing="1" w:after="100" w:afterAutospacing="1"/>
      <w:jc w:val="left"/>
    </w:pPr>
    <w:rPr>
      <w:rFonts w:hint="eastAsia" w:ascii="宋体" w:hAnsi="宋体"/>
      <w:kern w:val="0"/>
      <w:sz w:val="24"/>
      <w:szCs w:val="24"/>
    </w:rPr>
  </w:style>
  <w:style w:type="character" w:customStyle="1" w:styleId="50">
    <w:name w:val="标题 1 字符"/>
    <w:link w:val="2"/>
    <w:autoRedefine/>
    <w:qFormat/>
    <w:uiPriority w:val="9"/>
    <w:rPr>
      <w:rFonts w:ascii="Times New Roman" w:hAnsi="Times New Roman" w:eastAsia="黑体"/>
      <w:b/>
      <w:sz w:val="32"/>
    </w:rPr>
  </w:style>
  <w:style w:type="character" w:customStyle="1" w:styleId="51">
    <w:name w:val="正文缩进 字符"/>
    <w:link w:val="9"/>
    <w:autoRedefine/>
    <w:qFormat/>
    <w:uiPriority w:val="0"/>
    <w:rPr>
      <w:rFonts w:ascii="Calibri" w:hAnsi="Calibri"/>
    </w:rPr>
  </w:style>
  <w:style w:type="character" w:customStyle="1" w:styleId="52">
    <w:name w:val="批注文字 字符"/>
    <w:link w:val="12"/>
    <w:qFormat/>
    <w:uiPriority w:val="0"/>
    <w:rPr>
      <w:kern w:val="2"/>
      <w:sz w:val="21"/>
    </w:rPr>
  </w:style>
  <w:style w:type="character" w:customStyle="1" w:styleId="53">
    <w:name w:val="纯文本 字符"/>
    <w:link w:val="19"/>
    <w:autoRedefine/>
    <w:qFormat/>
    <w:uiPriority w:val="0"/>
    <w:rPr>
      <w:rFonts w:ascii="宋体" w:hAnsi="Courier New"/>
      <w:kern w:val="2"/>
      <w:sz w:val="21"/>
    </w:rPr>
  </w:style>
  <w:style w:type="character" w:customStyle="1" w:styleId="54">
    <w:name w:val="批注框文本 字符"/>
    <w:link w:val="25"/>
    <w:qFormat/>
    <w:uiPriority w:val="0"/>
    <w:rPr>
      <w:kern w:val="2"/>
      <w:sz w:val="18"/>
      <w:szCs w:val="18"/>
    </w:rPr>
  </w:style>
  <w:style w:type="character" w:customStyle="1" w:styleId="55">
    <w:name w:val="页脚 字符"/>
    <w:link w:val="26"/>
    <w:autoRedefine/>
    <w:qFormat/>
    <w:uiPriority w:val="99"/>
    <w:rPr>
      <w:sz w:val="18"/>
    </w:rPr>
  </w:style>
  <w:style w:type="character" w:customStyle="1" w:styleId="56">
    <w:name w:val="页眉 字符"/>
    <w:link w:val="27"/>
    <w:autoRedefine/>
    <w:qFormat/>
    <w:uiPriority w:val="99"/>
    <w:rPr>
      <w:kern w:val="2"/>
      <w:sz w:val="18"/>
      <w:szCs w:val="18"/>
    </w:rPr>
  </w:style>
  <w:style w:type="character" w:customStyle="1" w:styleId="57">
    <w:name w:val="批注主题 字符"/>
    <w:link w:val="37"/>
    <w:autoRedefine/>
    <w:qFormat/>
    <w:uiPriority w:val="0"/>
    <w:rPr>
      <w:b/>
      <w:bCs/>
      <w:kern w:val="2"/>
      <w:sz w:val="21"/>
    </w:rPr>
  </w:style>
  <w:style w:type="character" w:customStyle="1" w:styleId="58">
    <w:name w:val="A15"/>
    <w:autoRedefine/>
    <w:qFormat/>
    <w:uiPriority w:val="0"/>
    <w:rPr>
      <w:color w:val="000000"/>
    </w:rPr>
  </w:style>
  <w:style w:type="paragraph" w:customStyle="1" w:styleId="59">
    <w:name w:val="_Style 510"/>
    <w:basedOn w:val="1"/>
    <w:next w:val="60"/>
    <w:autoRedefine/>
    <w:qFormat/>
    <w:uiPriority w:val="34"/>
    <w:pPr>
      <w:widowControl/>
      <w:ind w:firstLine="420"/>
    </w:pPr>
    <w:rPr>
      <w:rFonts w:ascii="宋体" w:hAnsi="宋体" w:cs="宋体"/>
      <w:kern w:val="0"/>
    </w:rPr>
  </w:style>
  <w:style w:type="paragraph" w:styleId="60">
    <w:name w:val="List Paragraph"/>
    <w:basedOn w:val="1"/>
    <w:autoRedefine/>
    <w:qFormat/>
    <w:uiPriority w:val="34"/>
    <w:pPr>
      <w:ind w:firstLine="420" w:firstLineChars="200"/>
    </w:pPr>
    <w:rPr>
      <w:rFonts w:ascii="Calibri" w:hAnsi="Calibri" w:eastAsia="宋体" w:cs="Times New Roman"/>
      <w:szCs w:val="22"/>
    </w:rPr>
  </w:style>
  <w:style w:type="paragraph" w:customStyle="1" w:styleId="61">
    <w:name w:val="列出段落1"/>
    <w:basedOn w:val="1"/>
    <w:autoRedefine/>
    <w:qFormat/>
    <w:uiPriority w:val="34"/>
    <w:pPr>
      <w:ind w:firstLine="420" w:firstLineChars="200"/>
    </w:pPr>
    <w:rPr>
      <w:rFonts w:ascii="Calibri" w:hAnsi="Calibri"/>
      <w:szCs w:val="22"/>
    </w:rPr>
  </w:style>
  <w:style w:type="paragraph" w:customStyle="1" w:styleId="62">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3">
    <w:name w:val="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4">
    <w:name w:val="@正文"/>
    <w:basedOn w:val="65"/>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6">
    <w:name w:val="样式2"/>
    <w:basedOn w:val="67"/>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67">
    <w:name w:val="@标题"/>
    <w:basedOn w:val="1"/>
    <w:next w:val="64"/>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68">
    <w:name w:val="List Paragraph11"/>
    <w:basedOn w:val="1"/>
    <w:autoRedefine/>
    <w:qFormat/>
    <w:uiPriority w:val="34"/>
    <w:pPr>
      <w:ind w:firstLine="420" w:firstLineChars="200"/>
    </w:pPr>
    <w:rPr>
      <w:rFonts w:ascii="Calibri" w:hAnsi="Calibri" w:eastAsia="宋体" w:cs="Times New Roman"/>
    </w:rPr>
  </w:style>
  <w:style w:type="paragraph" w:customStyle="1" w:styleId="69">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0">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2">
    <w:name w:val=" Char2"/>
    <w:basedOn w:val="1"/>
    <w:autoRedefine/>
    <w:qFormat/>
    <w:uiPriority w:val="0"/>
    <w:rPr>
      <w:rFonts w:ascii="Tahoma" w:hAnsi="Tahoma"/>
      <w:sz w:val="24"/>
    </w:rPr>
  </w:style>
  <w:style w:type="paragraph" w:customStyle="1" w:styleId="73">
    <w:name w:val="HTML 预设格式1"/>
    <w:basedOn w:val="1"/>
    <w:qFormat/>
    <w:uiPriority w:val="0"/>
    <w:rPr>
      <w:rFonts w:ascii="Courier New" w:hAnsi="Courier New"/>
      <w:sz w:val="20"/>
    </w:rPr>
  </w:style>
  <w:style w:type="paragraph" w:customStyle="1" w:styleId="74">
    <w:name w:val="(sun)正文一级"/>
    <w:basedOn w:val="1"/>
    <w:autoRedefine/>
    <w:qFormat/>
    <w:uiPriority w:val="0"/>
    <w:pPr>
      <w:spacing w:after="120"/>
      <w:ind w:firstLine="480"/>
    </w:pPr>
    <w:rPr>
      <w:rFonts w:ascii="宋体" w:hAnsi="宋体"/>
      <w:kern w:val="28"/>
      <w:szCs w:val="20"/>
    </w:rPr>
  </w:style>
  <w:style w:type="paragraph" w:customStyle="1" w:styleId="75">
    <w:name w:val="_Style 72"/>
    <w:basedOn w:val="2"/>
    <w:next w:val="1"/>
    <w:autoRedefine/>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6">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77">
    <w:name w:val="正文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8">
    <w:name w:val="1"/>
    <w:basedOn w:val="1"/>
    <w:next w:val="60"/>
    <w:autoRedefine/>
    <w:qFormat/>
    <w:uiPriority w:val="34"/>
    <w:pPr>
      <w:ind w:firstLine="420" w:firstLineChars="200"/>
    </w:pPr>
  </w:style>
  <w:style w:type="paragraph" w:customStyle="1" w:styleId="79">
    <w:name w:val="~正文"/>
    <w:basedOn w:val="1"/>
    <w:next w:val="14"/>
    <w:autoRedefine/>
    <w:qFormat/>
    <w:uiPriority w:val="0"/>
    <w:rPr>
      <w:rFonts w:ascii="Times New Roman" w:hAnsi="Times New Roman"/>
      <w:szCs w:val="28"/>
      <w:lang w:val="zh-CN"/>
    </w:rPr>
  </w:style>
  <w:style w:type="paragraph" w:customStyle="1" w:styleId="80">
    <w:name w:val="正文11"/>
    <w:basedOn w:val="10"/>
    <w:next w:val="1"/>
    <w:autoRedefine/>
    <w:qFormat/>
    <w:uiPriority w:val="0"/>
    <w:pPr>
      <w:numPr>
        <w:ilvl w:val="0"/>
        <w:numId w:val="2"/>
      </w:numPr>
      <w:tabs>
        <w:tab w:val="left" w:pos="2220"/>
      </w:tabs>
      <w:spacing w:line="360" w:lineRule="auto"/>
    </w:pPr>
    <w:rPr>
      <w:rFonts w:ascii="宋体" w:hAnsi="宋体"/>
    </w:rPr>
  </w:style>
  <w:style w:type="paragraph" w:customStyle="1" w:styleId="81">
    <w:name w:val="List Paragraph1"/>
    <w:autoRedefine/>
    <w:qFormat/>
    <w:uiPriority w:val="99"/>
    <w:pPr>
      <w:ind w:firstLine="420" w:firstLineChars="200"/>
    </w:pPr>
    <w:rPr>
      <w:rFonts w:ascii="Times New Roman" w:hAnsi="Times New Roman" w:eastAsia="宋体" w:cs="Times New Roman"/>
      <w:lang w:val="en-US" w:eastAsia="zh-CN" w:bidi="ar-SA"/>
    </w:rPr>
  </w:style>
  <w:style w:type="paragraph" w:customStyle="1" w:styleId="82">
    <w:name w:val="_Style 2"/>
    <w:basedOn w:val="1"/>
    <w:qFormat/>
    <w:uiPriority w:val="34"/>
    <w:pPr>
      <w:ind w:firstLine="420" w:firstLineChars="200"/>
    </w:pPr>
    <w:rPr>
      <w:rFonts w:ascii="Calibri" w:hAnsi="Calibri" w:eastAsia="宋体" w:cs="Times New Roman"/>
    </w:rPr>
  </w:style>
  <w:style w:type="paragraph" w:customStyle="1" w:styleId="83">
    <w:name w:val="正文 New New New New New New New New New New New New New New New12"/>
    <w:basedOn w:val="1"/>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4">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5">
    <w:name w:val="Table Normal"/>
    <w:autoRedefine/>
    <w:unhideWhenUsed/>
    <w:qFormat/>
    <w:uiPriority w:val="2"/>
    <w:rPr>
      <w:lang w:val="en-US" w:eastAsia="zh-CN" w:bidi="ar-SA"/>
    </w:rPr>
    <w:tblPr>
      <w:tblCellMar>
        <w:top w:w="0" w:type="dxa"/>
        <w:left w:w="0" w:type="dxa"/>
        <w:bottom w:w="0" w:type="dxa"/>
        <w:right w:w="0" w:type="dxa"/>
      </w:tblCellMar>
    </w:tblPr>
  </w:style>
  <w:style w:type="paragraph" w:customStyle="1" w:styleId="86">
    <w:name w:val="Table Paragraph"/>
    <w:basedOn w:val="1"/>
    <w:autoRedefine/>
    <w:qFormat/>
    <w:uiPriority w:val="1"/>
  </w:style>
  <w:style w:type="paragraph" w:customStyle="1" w:styleId="87">
    <w:name w:val="3683"/>
    <w:basedOn w:val="35"/>
    <w:autoRedefine/>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8">
    <w:name w:val="1982"/>
    <w:basedOn w:val="49"/>
    <w:autoRedefine/>
    <w:qFormat/>
    <w:uiPriority w:val="0"/>
    <w:rPr>
      <w:rFonts w:hint="eastAsia" w:ascii="宋体" w:hAnsi="宋体" w:eastAsia="宋体" w:cs="Times New Roman"/>
      <w:kern w:val="0"/>
      <w:sz w:val="24"/>
      <w:szCs w:val="24"/>
      <w:highlight w:val="none"/>
      <w:lang w:val="en-US" w:eastAsia="zh-CN" w:bidi="ar-SA"/>
    </w:rPr>
  </w:style>
  <w:style w:type="paragraph" w:customStyle="1" w:styleId="89">
    <w:name w:val="null3"/>
    <w:autoRedefine/>
    <w:qFormat/>
    <w:uiPriority w:val="0"/>
    <w:rPr>
      <w:rFonts w:hint="eastAsia" w:ascii="Calibri" w:hAnsi="Calibri" w:eastAsia="宋体" w:cs="Times New Roman"/>
      <w:lang w:val="en-US" w:eastAsia="zh-Hans" w:bidi="ar-SA"/>
    </w:rPr>
  </w:style>
  <w:style w:type="paragraph" w:customStyle="1" w:styleId="90">
    <w:name w:val="列出段落4"/>
    <w:basedOn w:val="1"/>
    <w:autoRedefine/>
    <w:qFormat/>
    <w:uiPriority w:val="99"/>
    <w:pPr>
      <w:spacing w:line="360" w:lineRule="auto"/>
      <w:ind w:left="200" w:leftChars="200" w:firstLine="420" w:firstLineChars="200"/>
    </w:pPr>
    <w:rPr>
      <w:rFonts w:ascii="宋体" w:cs="宋体"/>
      <w:kern w:val="0"/>
    </w:rPr>
  </w:style>
  <w:style w:type="paragraph" w:customStyle="1" w:styleId="91">
    <w:name w:val="WPSOffice手动目录 1"/>
    <w:autoRedefine/>
    <w:qFormat/>
    <w:uiPriority w:val="0"/>
    <w:rPr>
      <w:rFonts w:ascii="Times New Roman" w:hAnsi="Times New Roman" w:eastAsia="宋体" w:cs="Times New Roman"/>
      <w:lang w:val="en-US" w:eastAsia="zh-CN" w:bidi="ar-SA"/>
    </w:rPr>
  </w:style>
  <w:style w:type="paragraph" w:customStyle="1" w:styleId="92">
    <w:name w:val="_Style 1"/>
    <w:basedOn w:val="1"/>
    <w:autoRedefine/>
    <w:qFormat/>
    <w:uiPriority w:val="34"/>
    <w:pPr>
      <w:ind w:firstLine="420" w:firstLineChars="200"/>
    </w:pPr>
  </w:style>
  <w:style w:type="paragraph" w:customStyle="1" w:styleId="93">
    <w:name w:val="null84"/>
    <w:autoRedefine/>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94">
    <w:name w:val="null85"/>
    <w:autoRedefine/>
    <w:hidden/>
    <w:qFormat/>
    <w:uiPriority w:val="0"/>
    <w:rPr>
      <w:rFonts w:hint="eastAsia" w:ascii="宋体" w:hAnsi="宋体" w:eastAsia="宋体" w:cs="宋体"/>
      <w:bCs/>
      <w:kern w:val="2"/>
      <w:sz w:val="21"/>
      <w:szCs w:val="21"/>
      <w:lang w:val="en-US" w:eastAsia="zh-CN" w:bidi="ar-SA"/>
    </w:rPr>
  </w:style>
  <w:style w:type="paragraph" w:customStyle="1" w:styleId="95">
    <w:name w:val="Default"/>
    <w:next w:val="96"/>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96">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82</Pages>
  <Words>786</Words>
  <Characters>823</Characters>
  <Lines>298</Lines>
  <Paragraphs>83</Paragraphs>
  <TotalTime>4</TotalTime>
  <ScaleCrop>false</ScaleCrop>
  <LinksUpToDate>false</LinksUpToDate>
  <CharactersWithSpaces>847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Administrator</cp:lastModifiedBy>
  <cp:lastPrinted>2024-03-18T10:09:00Z</cp:lastPrinted>
  <dcterms:modified xsi:type="dcterms:W3CDTF">2026-09-20T02:45:46Z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7BEED76EADB34CB58333227F451F0AFF_13</vt:lpwstr>
  </property>
  <property fmtid="{D5CDD505-2E9C-101B-9397-08002B2CF9AE}" pid="4" name="KSOTemplateDocerSaveRecord">
    <vt:lpwstr>eyJoZGlkIjoiNTZlOTIxNDQ2NDFlZDg3OGVkMWMzZjgzMmM0ZjdjZTgiLCJ1c2VySWQiOiIxMTI5NDEwNTk3In0=</vt:lpwstr>
  </property>
</Properties>
</file>