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9135E9">
      <w:pPr>
        <w:pStyle w:val="6"/>
        <w:keepNext/>
        <w:keepLines/>
        <w:spacing w:after="0" w:line="360" w:lineRule="auto"/>
        <w:jc w:val="center"/>
        <w:outlineLvl w:val="9"/>
        <w:rPr>
          <w:rFonts w:hint="eastAsia" w:ascii="仿宋" w:hAnsi="仿宋" w:eastAsia="仿宋" w:cs="仿宋"/>
          <w:b/>
          <w:bCs/>
          <w:sz w:val="44"/>
          <w:szCs w:val="44"/>
          <w:highlight w:val="none"/>
          <w:lang w:val="en-US" w:eastAsia="zh-CN"/>
        </w:rPr>
      </w:pPr>
    </w:p>
    <w:p w14:paraId="2EE62EAA">
      <w:pPr>
        <w:pStyle w:val="6"/>
        <w:keepNext/>
        <w:keepLines/>
        <w:spacing w:after="0" w:line="360" w:lineRule="auto"/>
        <w:jc w:val="center"/>
        <w:outlineLvl w:val="9"/>
        <w:rPr>
          <w:rFonts w:hint="eastAsia" w:ascii="仿宋" w:hAnsi="仿宋" w:eastAsia="仿宋" w:cs="仿宋"/>
          <w:b/>
          <w:bCs/>
          <w:sz w:val="44"/>
          <w:szCs w:val="44"/>
          <w:highlight w:val="none"/>
        </w:rPr>
      </w:pPr>
      <w:r>
        <w:rPr>
          <w:rFonts w:hint="eastAsia" w:ascii="仿宋" w:hAnsi="仿宋" w:eastAsia="仿宋" w:cs="仿宋"/>
          <w:b/>
          <w:bCs/>
          <w:sz w:val="44"/>
          <w:szCs w:val="44"/>
          <w:highlight w:val="none"/>
          <w:lang w:val="en-US" w:eastAsia="zh-CN"/>
        </w:rPr>
        <w:t>耀州窑陈炉窑址陶瓷烧制技艺国家非遗保护展示设备配套采购项目采购</w:t>
      </w:r>
      <w:r>
        <w:rPr>
          <w:rFonts w:hint="eastAsia" w:ascii="仿宋" w:hAnsi="仿宋" w:eastAsia="仿宋" w:cs="仿宋"/>
          <w:b/>
          <w:bCs/>
          <w:sz w:val="44"/>
          <w:szCs w:val="44"/>
          <w:highlight w:val="none"/>
        </w:rPr>
        <w:t>合同</w:t>
      </w:r>
    </w:p>
    <w:p w14:paraId="0C301B54">
      <w:pPr>
        <w:pStyle w:val="2"/>
        <w:keepNext w:val="0"/>
        <w:keepLines w:val="0"/>
        <w:pageBreakBefore w:val="0"/>
        <w:kinsoku/>
        <w:wordWrap/>
        <w:overflowPunct/>
        <w:topLinePunct w:val="0"/>
        <w:bidi w:val="0"/>
        <w:snapToGrid/>
        <w:spacing w:beforeAutospacing="0" w:afterAutospacing="0" w:line="360" w:lineRule="auto"/>
        <w:ind w:left="0" w:leftChars="0" w:right="0" w:firstLine="480" w:firstLineChars="200"/>
        <w:textAlignment w:val="auto"/>
        <w:outlineLvl w:val="9"/>
        <w:rPr>
          <w:rFonts w:hint="eastAsia" w:ascii="仿宋" w:hAnsi="仿宋" w:eastAsia="仿宋" w:cs="仿宋"/>
          <w:sz w:val="24"/>
          <w:szCs w:val="24"/>
          <w:highlight w:val="none"/>
        </w:rPr>
      </w:pPr>
    </w:p>
    <w:p w14:paraId="2EB0CAD1">
      <w:pPr>
        <w:pStyle w:val="2"/>
        <w:keepNext w:val="0"/>
        <w:keepLines w:val="0"/>
        <w:pageBreakBefore w:val="0"/>
        <w:kinsoku/>
        <w:wordWrap/>
        <w:overflowPunct/>
        <w:topLinePunct w:val="0"/>
        <w:bidi w:val="0"/>
        <w:snapToGrid/>
        <w:spacing w:beforeAutospacing="0" w:afterAutospacing="0" w:line="360" w:lineRule="auto"/>
        <w:ind w:left="0" w:leftChars="0" w:right="0" w:firstLine="480" w:firstLineChars="200"/>
        <w:textAlignment w:val="auto"/>
        <w:outlineLvl w:val="9"/>
        <w:rPr>
          <w:rFonts w:hint="eastAsia" w:ascii="仿宋" w:hAnsi="仿宋" w:eastAsia="仿宋" w:cs="仿宋"/>
          <w:sz w:val="24"/>
          <w:szCs w:val="24"/>
          <w:highlight w:val="none"/>
        </w:rPr>
      </w:pPr>
    </w:p>
    <w:p w14:paraId="61C00F01">
      <w:pPr>
        <w:pStyle w:val="2"/>
        <w:keepNext w:val="0"/>
        <w:keepLines w:val="0"/>
        <w:pageBreakBefore w:val="0"/>
        <w:kinsoku/>
        <w:wordWrap/>
        <w:overflowPunct/>
        <w:topLinePunct w:val="0"/>
        <w:bidi w:val="0"/>
        <w:snapToGrid/>
        <w:spacing w:beforeAutospacing="0" w:afterAutospacing="0" w:line="360" w:lineRule="auto"/>
        <w:ind w:left="0" w:leftChars="0" w:right="0" w:firstLine="482" w:firstLineChars="200"/>
        <w:jc w:val="right"/>
        <w:textAlignment w:val="auto"/>
        <w:outlineLvl w:val="9"/>
        <w:rPr>
          <w:rFonts w:hint="eastAsia" w:ascii="仿宋" w:hAnsi="仿宋" w:eastAsia="仿宋" w:cs="仿宋"/>
          <w:b/>
          <w:sz w:val="24"/>
          <w:szCs w:val="24"/>
          <w:highlight w:val="none"/>
        </w:rPr>
      </w:pPr>
      <w:r>
        <w:rPr>
          <w:rFonts w:hint="eastAsia" w:ascii="仿宋" w:hAnsi="仿宋" w:eastAsia="仿宋" w:cs="仿宋"/>
          <w:b/>
          <w:sz w:val="24"/>
          <w:szCs w:val="24"/>
          <w:highlight w:val="none"/>
        </w:rPr>
        <w:t>[合同编号：</w:t>
      </w:r>
      <w:r>
        <w:rPr>
          <w:rFonts w:hint="eastAsia" w:ascii="仿宋" w:hAnsi="仿宋" w:eastAsia="仿宋" w:cs="仿宋"/>
          <w:b/>
          <w:sz w:val="24"/>
          <w:szCs w:val="24"/>
          <w:highlight w:val="none"/>
          <w:u w:val="single"/>
          <w:lang w:val="en-US" w:eastAsia="zh-CN"/>
        </w:rPr>
        <w:t xml:space="preserve">                </w:t>
      </w:r>
      <w:r>
        <w:rPr>
          <w:rFonts w:hint="eastAsia" w:ascii="仿宋" w:hAnsi="仿宋" w:eastAsia="仿宋" w:cs="仿宋"/>
          <w:b/>
          <w:sz w:val="24"/>
          <w:szCs w:val="24"/>
          <w:highlight w:val="none"/>
        </w:rPr>
        <w:t xml:space="preserve">] </w:t>
      </w:r>
    </w:p>
    <w:p w14:paraId="2769DC14">
      <w:pPr>
        <w:keepNext w:val="0"/>
        <w:keepLines w:val="0"/>
        <w:pageBreakBefore w:val="0"/>
        <w:kinsoku/>
        <w:wordWrap/>
        <w:overflowPunct/>
        <w:topLinePunct w:val="0"/>
        <w:bidi w:val="0"/>
        <w:snapToGrid/>
        <w:spacing w:beforeAutospacing="0" w:afterAutospacing="0" w:line="360" w:lineRule="auto"/>
        <w:ind w:left="0" w:leftChars="0" w:right="0" w:firstLine="482" w:firstLineChars="200"/>
        <w:textAlignment w:val="auto"/>
        <w:outlineLvl w:val="9"/>
        <w:rPr>
          <w:rFonts w:hint="eastAsia" w:ascii="仿宋" w:hAnsi="仿宋" w:eastAsia="仿宋" w:cs="仿宋"/>
          <w:b/>
          <w:bCs/>
          <w:sz w:val="24"/>
          <w:szCs w:val="24"/>
          <w:highlight w:val="none"/>
        </w:rPr>
      </w:pPr>
    </w:p>
    <w:p w14:paraId="18A41C3F">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本合同由下述各方在西安市签署：</w:t>
      </w:r>
    </w:p>
    <w:p w14:paraId="27B49FD9">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kern w:val="0"/>
          <w:sz w:val="24"/>
          <w:szCs w:val="24"/>
          <w:highlight w:val="none"/>
          <w:lang w:eastAsia="zh-CN"/>
        </w:rPr>
      </w:pPr>
      <w:r>
        <w:rPr>
          <w:rFonts w:hint="eastAsia" w:ascii="仿宋" w:hAnsi="仿宋" w:eastAsia="仿宋" w:cs="仿宋"/>
          <w:bCs/>
          <w:sz w:val="24"/>
          <w:szCs w:val="24"/>
          <w:highlight w:val="none"/>
        </w:rPr>
        <w:t>买方：</w:t>
      </w:r>
      <w:r>
        <w:rPr>
          <w:rFonts w:hint="eastAsia" w:ascii="仿宋" w:hAnsi="仿宋" w:eastAsia="仿宋" w:cs="仿宋"/>
          <w:color w:val="000000"/>
          <w:sz w:val="24"/>
          <w:szCs w:val="24"/>
          <w:highlight w:val="none"/>
          <w:shd w:val="clear" w:color="auto" w:fill="FFFFFF"/>
          <w:lang w:eastAsia="zh-CN"/>
        </w:rPr>
        <w:t>铜川市印台区陈炉镇人民政府</w:t>
      </w:r>
    </w:p>
    <w:p w14:paraId="07C0EAB2">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地址：</w:t>
      </w:r>
      <w:r>
        <w:rPr>
          <w:rFonts w:hint="eastAsia" w:ascii="仿宋" w:hAnsi="仿宋" w:eastAsia="仿宋" w:cs="仿宋"/>
          <w:color w:val="000000"/>
          <w:sz w:val="24"/>
          <w:szCs w:val="24"/>
          <w:highlight w:val="none"/>
          <w:shd w:val="clear" w:color="auto" w:fill="FFFFFF"/>
          <w:lang w:eastAsia="zh-CN"/>
        </w:rPr>
        <w:t>铜川市印台区陈炉镇</w:t>
      </w:r>
    </w:p>
    <w:p w14:paraId="2EB4B152">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邮编：</w:t>
      </w:r>
    </w:p>
    <w:p w14:paraId="448FD091">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color w:val="FF0000"/>
          <w:sz w:val="24"/>
          <w:szCs w:val="24"/>
          <w:highlight w:val="none"/>
        </w:rPr>
      </w:pPr>
      <w:r>
        <w:rPr>
          <w:rFonts w:hint="eastAsia" w:ascii="仿宋" w:hAnsi="仿宋" w:eastAsia="仿宋" w:cs="仿宋"/>
          <w:sz w:val="24"/>
          <w:szCs w:val="24"/>
          <w:highlight w:val="none"/>
        </w:rPr>
        <w:t>电话：</w:t>
      </w:r>
    </w:p>
    <w:p w14:paraId="15D93F39">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传真：</w:t>
      </w:r>
    </w:p>
    <w:p w14:paraId="0CE6C094">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联系人： </w:t>
      </w:r>
    </w:p>
    <w:p w14:paraId="5CF092EE">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p>
    <w:p w14:paraId="19FED214">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p>
    <w:p w14:paraId="19102232">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卖方： </w:t>
      </w:r>
    </w:p>
    <w:p w14:paraId="6F53B0E0">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纳税人识别号（即税务登记证号）：</w:t>
      </w:r>
    </w:p>
    <w:p w14:paraId="2751F69D">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bCs/>
          <w:sz w:val="24"/>
          <w:szCs w:val="24"/>
          <w:highlight w:val="none"/>
        </w:rPr>
      </w:pPr>
      <w:r>
        <w:rPr>
          <w:rFonts w:hint="eastAsia" w:ascii="仿宋" w:hAnsi="仿宋" w:eastAsia="仿宋" w:cs="仿宋"/>
          <w:sz w:val="24"/>
          <w:szCs w:val="24"/>
          <w:highlight w:val="none"/>
        </w:rPr>
        <w:t>开户行及账号：</w:t>
      </w:r>
    </w:p>
    <w:p w14:paraId="1A91A9E5">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地址： </w:t>
      </w:r>
    </w:p>
    <w:p w14:paraId="1CCB2CD1">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bCs/>
          <w:sz w:val="24"/>
          <w:szCs w:val="24"/>
          <w:highlight w:val="none"/>
        </w:rPr>
      </w:pPr>
      <w:r>
        <w:rPr>
          <w:rFonts w:hint="eastAsia" w:ascii="仿宋" w:hAnsi="仿宋" w:eastAsia="仿宋" w:cs="仿宋"/>
          <w:bCs/>
          <w:sz w:val="24"/>
          <w:szCs w:val="24"/>
          <w:highlight w:val="none"/>
        </w:rPr>
        <w:t>邮编：</w:t>
      </w:r>
    </w:p>
    <w:p w14:paraId="0C83A151">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bCs/>
          <w:sz w:val="24"/>
          <w:szCs w:val="24"/>
          <w:highlight w:val="none"/>
        </w:rPr>
      </w:pPr>
      <w:r>
        <w:rPr>
          <w:rFonts w:hint="eastAsia" w:ascii="仿宋" w:hAnsi="仿宋" w:eastAsia="仿宋" w:cs="仿宋"/>
          <w:bCs/>
          <w:sz w:val="24"/>
          <w:szCs w:val="24"/>
          <w:highlight w:val="none"/>
        </w:rPr>
        <w:t>电话：</w:t>
      </w:r>
    </w:p>
    <w:p w14:paraId="14DD5529">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bCs/>
          <w:sz w:val="24"/>
          <w:szCs w:val="24"/>
          <w:highlight w:val="none"/>
        </w:rPr>
      </w:pPr>
      <w:r>
        <w:rPr>
          <w:rFonts w:hint="eastAsia" w:ascii="仿宋" w:hAnsi="仿宋" w:eastAsia="仿宋" w:cs="仿宋"/>
          <w:bCs/>
          <w:sz w:val="24"/>
          <w:szCs w:val="24"/>
          <w:highlight w:val="none"/>
        </w:rPr>
        <w:t>传真：</w:t>
      </w:r>
    </w:p>
    <w:p w14:paraId="1982FEB1">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rPr>
        <w:t xml:space="preserve">联系人： </w:t>
      </w:r>
    </w:p>
    <w:p w14:paraId="49D8E5AC">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bCs/>
          <w:sz w:val="24"/>
          <w:szCs w:val="24"/>
          <w:highlight w:val="none"/>
        </w:rPr>
      </w:pPr>
    </w:p>
    <w:p w14:paraId="2C79946C">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p>
    <w:p w14:paraId="0AFAAB96">
      <w:pPr>
        <w:keepNext w:val="0"/>
        <w:keepLines w:val="0"/>
        <w:pageBreakBefore w:val="0"/>
        <w:kinsoku/>
        <w:wordWrap/>
        <w:overflowPunct/>
        <w:topLinePunct w:val="0"/>
        <w:bidi w:val="0"/>
        <w:adjustRightInd w:val="0"/>
        <w:snapToGrid/>
        <w:spacing w:beforeAutospacing="0" w:afterAutospacing="0" w:line="360" w:lineRule="auto"/>
        <w:ind w:left="0" w:leftChars="0" w:right="0" w:firstLine="480" w:firstLineChars="200"/>
        <w:jc w:val="left"/>
        <w:textAlignment w:val="baseline"/>
        <w:outlineLvl w:val="9"/>
        <w:rPr>
          <w:rFonts w:hint="eastAsia" w:ascii="仿宋" w:hAnsi="仿宋" w:eastAsia="仿宋" w:cs="仿宋"/>
          <w:kern w:val="0"/>
          <w:sz w:val="24"/>
          <w:szCs w:val="24"/>
          <w:highlight w:val="none"/>
        </w:rPr>
      </w:pPr>
    </w:p>
    <w:p w14:paraId="0319F33B">
      <w:pPr>
        <w:keepNext w:val="0"/>
        <w:keepLines w:val="0"/>
        <w:pageBreakBefore w:val="0"/>
        <w:kinsoku/>
        <w:wordWrap/>
        <w:overflowPunct/>
        <w:topLinePunct w:val="0"/>
        <w:bidi w:val="0"/>
        <w:adjustRightInd w:val="0"/>
        <w:snapToGrid/>
        <w:spacing w:beforeAutospacing="0" w:afterAutospacing="0" w:line="360" w:lineRule="auto"/>
        <w:ind w:left="0" w:leftChars="0" w:right="0" w:firstLine="482" w:firstLineChars="200"/>
        <w:jc w:val="left"/>
        <w:textAlignment w:val="baseline"/>
        <w:outlineLvl w:val="9"/>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br w:type="page"/>
      </w:r>
      <w:r>
        <w:rPr>
          <w:rFonts w:hint="eastAsia" w:ascii="仿宋" w:hAnsi="仿宋" w:eastAsia="仿宋" w:cs="仿宋"/>
          <w:b/>
          <w:kern w:val="0"/>
          <w:sz w:val="24"/>
          <w:szCs w:val="24"/>
          <w:highlight w:val="none"/>
        </w:rPr>
        <w:t>鉴于：</w:t>
      </w:r>
    </w:p>
    <w:p w14:paraId="139D912F">
      <w:pPr>
        <w:keepNext w:val="0"/>
        <w:keepLines w:val="0"/>
        <w:pageBreakBefore w:val="0"/>
        <w:numPr>
          <w:ilvl w:val="0"/>
          <w:numId w:val="0"/>
        </w:numPr>
        <w:kinsoku/>
        <w:wordWrap/>
        <w:overflowPunct/>
        <w:topLinePunct w:val="0"/>
        <w:bidi w:val="0"/>
        <w:snapToGrid/>
        <w:spacing w:beforeAutospacing="0" w:afterAutospacing="0" w:line="360" w:lineRule="auto"/>
        <w:ind w:left="0" w:leftChars="0" w:right="0" w:rightChars="0" w:firstLine="480" w:firstLineChars="200"/>
        <w:outlineLvl w:val="9"/>
        <w:rPr>
          <w:rFonts w:hint="eastAsia" w:ascii="仿宋" w:hAnsi="仿宋" w:eastAsia="仿宋" w:cs="仿宋"/>
          <w:b w:val="0"/>
          <w:bCs/>
          <w:sz w:val="24"/>
          <w:szCs w:val="24"/>
          <w:highlight w:val="none"/>
        </w:rPr>
      </w:pPr>
      <w:r>
        <w:rPr>
          <w:rFonts w:hint="eastAsia" w:ascii="仿宋" w:hAnsi="仿宋" w:eastAsia="仿宋" w:cs="仿宋"/>
          <w:b w:val="0"/>
          <w:bCs/>
          <w:i w:val="0"/>
          <w:kern w:val="2"/>
          <w:sz w:val="24"/>
          <w:szCs w:val="24"/>
          <w:highlight w:val="none"/>
          <w:lang w:val="en-US" w:eastAsia="zh-CN" w:bidi="ar-SA"/>
        </w:rPr>
        <w:t>1.</w:t>
      </w:r>
      <w:r>
        <w:rPr>
          <w:rFonts w:hint="eastAsia" w:ascii="仿宋" w:hAnsi="仿宋" w:eastAsia="仿宋" w:cs="仿宋"/>
          <w:b w:val="0"/>
          <w:bCs/>
          <w:sz w:val="24"/>
          <w:szCs w:val="24"/>
          <w:highlight w:val="none"/>
        </w:rPr>
        <w:t>买方是</w:t>
      </w:r>
      <w:r>
        <w:rPr>
          <w:rFonts w:hint="eastAsia" w:ascii="仿宋" w:hAnsi="仿宋" w:eastAsia="仿宋" w:cs="仿宋"/>
          <w:b w:val="0"/>
          <w:bCs/>
          <w:sz w:val="24"/>
          <w:szCs w:val="24"/>
          <w:highlight w:val="none"/>
          <w:lang w:eastAsia="zh-CN"/>
        </w:rPr>
        <w:t>铜川市印台区陈炉镇人民政府</w:t>
      </w:r>
      <w:r>
        <w:rPr>
          <w:rFonts w:hint="eastAsia" w:ascii="仿宋" w:hAnsi="仿宋" w:eastAsia="仿宋" w:cs="仿宋"/>
          <w:b w:val="0"/>
          <w:bCs/>
          <w:sz w:val="24"/>
          <w:szCs w:val="24"/>
          <w:highlight w:val="none"/>
        </w:rPr>
        <w:t>[</w:t>
      </w:r>
      <w:r>
        <w:rPr>
          <w:rFonts w:hint="eastAsia" w:ascii="仿宋" w:hAnsi="仿宋" w:eastAsia="仿宋" w:cs="仿宋"/>
          <w:b w:val="0"/>
          <w:bCs/>
          <w:sz w:val="24"/>
          <w:szCs w:val="24"/>
          <w:highlight w:val="none"/>
          <w:lang w:eastAsia="zh-CN"/>
        </w:rPr>
        <w:t>耀州窑陈炉窑址陶瓷烧制技艺国家非遗保护展示设备配套采购</w:t>
      </w:r>
      <w:r>
        <w:rPr>
          <w:rFonts w:hint="eastAsia" w:ascii="仿宋" w:hAnsi="仿宋" w:eastAsia="仿宋" w:cs="仿宋"/>
          <w:b w:val="0"/>
          <w:bCs/>
          <w:sz w:val="24"/>
          <w:szCs w:val="24"/>
          <w:highlight w:val="none"/>
        </w:rPr>
        <w:t>]项目</w:t>
      </w:r>
      <w:r>
        <w:rPr>
          <w:rFonts w:hint="eastAsia" w:ascii="仿宋" w:hAnsi="仿宋" w:eastAsia="仿宋" w:cs="仿宋"/>
          <w:b w:val="0"/>
          <w:bCs/>
          <w:sz w:val="24"/>
          <w:szCs w:val="24"/>
          <w:highlight w:val="none"/>
          <w:lang w:val="en-US" w:eastAsia="zh-CN"/>
        </w:rPr>
        <w:t>招标</w:t>
      </w:r>
      <w:r>
        <w:rPr>
          <w:rFonts w:hint="eastAsia" w:ascii="仿宋" w:hAnsi="仿宋" w:eastAsia="仿宋" w:cs="仿宋"/>
          <w:b w:val="0"/>
          <w:bCs/>
          <w:sz w:val="24"/>
          <w:szCs w:val="24"/>
          <w:highlight w:val="none"/>
        </w:rPr>
        <w:t>文件项下的采购人，卖方作为供应商，经公开招标已被确定为成交供应商。</w:t>
      </w:r>
    </w:p>
    <w:p w14:paraId="50791183">
      <w:pPr>
        <w:keepNext w:val="0"/>
        <w:keepLines w:val="0"/>
        <w:pageBreakBefore w:val="0"/>
        <w:numPr>
          <w:ilvl w:val="0"/>
          <w:numId w:val="0"/>
        </w:numPr>
        <w:kinsoku/>
        <w:wordWrap/>
        <w:overflowPunct/>
        <w:topLinePunct w:val="0"/>
        <w:bidi w:val="0"/>
        <w:snapToGrid/>
        <w:spacing w:beforeAutospacing="0" w:afterAutospacing="0" w:line="360" w:lineRule="auto"/>
        <w:ind w:left="0" w:leftChars="0" w:right="0" w:rightChars="0" w:firstLine="480" w:firstLineChars="200"/>
        <w:outlineLvl w:val="9"/>
        <w:rPr>
          <w:rFonts w:hint="eastAsia" w:ascii="仿宋" w:hAnsi="仿宋" w:eastAsia="仿宋" w:cs="仿宋"/>
          <w:sz w:val="24"/>
          <w:szCs w:val="24"/>
          <w:highlight w:val="none"/>
        </w:rPr>
      </w:pPr>
      <w:r>
        <w:rPr>
          <w:rFonts w:hint="eastAsia" w:ascii="仿宋" w:hAnsi="仿宋" w:eastAsia="仿宋" w:cs="仿宋"/>
          <w:b w:val="0"/>
          <w:bCs/>
          <w:i w:val="0"/>
          <w:kern w:val="2"/>
          <w:sz w:val="24"/>
          <w:szCs w:val="24"/>
          <w:highlight w:val="none"/>
          <w:lang w:val="en-US" w:eastAsia="zh-CN" w:bidi="ar-SA"/>
        </w:rPr>
        <w:t>2.</w:t>
      </w:r>
      <w:r>
        <w:rPr>
          <w:rFonts w:hint="eastAsia" w:ascii="仿宋" w:hAnsi="仿宋" w:eastAsia="仿宋" w:cs="仿宋"/>
          <w:b w:val="0"/>
          <w:bCs/>
          <w:sz w:val="24"/>
          <w:szCs w:val="24"/>
          <w:highlight w:val="none"/>
        </w:rPr>
        <w:t>为保</w:t>
      </w:r>
      <w:r>
        <w:rPr>
          <w:rFonts w:hint="eastAsia" w:ascii="仿宋" w:hAnsi="仿宋" w:eastAsia="仿宋" w:cs="仿宋"/>
          <w:sz w:val="24"/>
          <w:szCs w:val="24"/>
          <w:highlight w:val="none"/>
        </w:rPr>
        <w:t>护本合同各方的合法权益，根据《中华人民共和国政府采购法》、《中华人民共和国民法典》等国家法律、法规及规范性文件的规定并严格遵循《</w:t>
      </w:r>
      <w:r>
        <w:rPr>
          <w:rFonts w:hint="eastAsia" w:ascii="仿宋" w:hAnsi="仿宋" w:eastAsia="仿宋" w:cs="仿宋"/>
          <w:sz w:val="24"/>
          <w:szCs w:val="24"/>
          <w:highlight w:val="none"/>
          <w:lang w:eastAsia="zh-CN"/>
        </w:rPr>
        <w:t>招标文件</w:t>
      </w:r>
      <w:r>
        <w:rPr>
          <w:rFonts w:hint="eastAsia" w:ascii="仿宋" w:hAnsi="仿宋" w:eastAsia="仿宋" w:cs="仿宋"/>
          <w:sz w:val="24"/>
          <w:szCs w:val="24"/>
          <w:highlight w:val="none"/>
        </w:rPr>
        <w:t>》的相关要求，买方和卖方订立本合同，以兹信守。</w:t>
      </w:r>
      <w:bookmarkStart w:id="0" w:name="_Toc98298169"/>
    </w:p>
    <w:p w14:paraId="3856AE54">
      <w:pPr>
        <w:keepNext w:val="0"/>
        <w:keepLines w:val="0"/>
        <w:pageBreakBefore w:val="0"/>
        <w:kinsoku/>
        <w:wordWrap/>
        <w:overflowPunct/>
        <w:topLinePunct w:val="0"/>
        <w:bidi w:val="0"/>
        <w:snapToGrid/>
        <w:spacing w:beforeAutospacing="0" w:afterAutospacing="0" w:line="360" w:lineRule="auto"/>
        <w:ind w:right="0"/>
        <w:outlineLvl w:val="9"/>
        <w:rPr>
          <w:rFonts w:hint="eastAsia" w:ascii="仿宋" w:hAnsi="仿宋" w:eastAsia="仿宋" w:cs="仿宋"/>
          <w:b/>
          <w:sz w:val="24"/>
          <w:szCs w:val="24"/>
          <w:highlight w:val="none"/>
        </w:rPr>
      </w:pPr>
      <w:r>
        <w:rPr>
          <w:rFonts w:hint="eastAsia" w:ascii="仿宋" w:hAnsi="仿宋" w:eastAsia="仿宋" w:cs="仿宋"/>
          <w:b/>
          <w:sz w:val="24"/>
          <w:szCs w:val="24"/>
          <w:highlight w:val="none"/>
        </w:rPr>
        <w:t>一、定义</w:t>
      </w:r>
      <w:bookmarkEnd w:id="0"/>
    </w:p>
    <w:p w14:paraId="17E18594">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除非本合同文中另有所指，否则本合同中的有关词语和术语的含义与</w:t>
      </w:r>
      <w:r>
        <w:rPr>
          <w:rFonts w:hint="eastAsia" w:ascii="仿宋" w:hAnsi="仿宋" w:eastAsia="仿宋" w:cs="仿宋"/>
          <w:sz w:val="24"/>
          <w:szCs w:val="24"/>
          <w:highlight w:val="none"/>
          <w:lang w:eastAsia="zh-CN"/>
        </w:rPr>
        <w:t>招标文件</w:t>
      </w:r>
      <w:r>
        <w:rPr>
          <w:rFonts w:hint="eastAsia" w:ascii="仿宋" w:hAnsi="仿宋" w:eastAsia="仿宋" w:cs="仿宋"/>
          <w:sz w:val="24"/>
          <w:szCs w:val="24"/>
          <w:highlight w:val="none"/>
        </w:rPr>
        <w:t>之“合同条款”中的定义相同。</w:t>
      </w:r>
    </w:p>
    <w:p w14:paraId="286F3F4F">
      <w:pPr>
        <w:keepNext w:val="0"/>
        <w:keepLines w:val="0"/>
        <w:pageBreakBefore w:val="0"/>
        <w:kinsoku/>
        <w:wordWrap/>
        <w:overflowPunct/>
        <w:topLinePunct w:val="0"/>
        <w:bidi w:val="0"/>
        <w:snapToGrid/>
        <w:spacing w:beforeAutospacing="0" w:afterAutospacing="0" w:line="360" w:lineRule="auto"/>
        <w:ind w:right="0"/>
        <w:outlineLvl w:val="9"/>
        <w:rPr>
          <w:rFonts w:hint="eastAsia" w:ascii="仿宋" w:hAnsi="仿宋" w:eastAsia="仿宋" w:cs="仿宋"/>
          <w:b/>
          <w:sz w:val="24"/>
          <w:szCs w:val="24"/>
          <w:highlight w:val="none"/>
        </w:rPr>
      </w:pPr>
      <w:bookmarkStart w:id="1" w:name="_Toc98298170"/>
      <w:r>
        <w:rPr>
          <w:rFonts w:hint="eastAsia" w:ascii="仿宋" w:hAnsi="仿宋" w:eastAsia="仿宋" w:cs="仿宋"/>
          <w:b/>
          <w:sz w:val="24"/>
          <w:szCs w:val="24"/>
          <w:highlight w:val="none"/>
        </w:rPr>
        <w:t>二、合同的主要内容</w:t>
      </w:r>
      <w:bookmarkEnd w:id="1"/>
    </w:p>
    <w:p w14:paraId="613B1261">
      <w:pPr>
        <w:keepNext w:val="0"/>
        <w:keepLines w:val="0"/>
        <w:pageBreakBefore w:val="0"/>
        <w:kinsoku/>
        <w:wordWrap/>
        <w:overflowPunct/>
        <w:topLinePunct w:val="0"/>
        <w:bidi w:val="0"/>
        <w:snapToGrid/>
        <w:spacing w:beforeAutospacing="0" w:afterAutospacing="0" w:line="360" w:lineRule="auto"/>
        <w:ind w:right="0" w:firstLine="482" w:firstLineChars="200"/>
        <w:outlineLvl w:val="9"/>
        <w:rPr>
          <w:rFonts w:hint="eastAsia" w:ascii="仿宋" w:hAnsi="仿宋" w:eastAsia="仿宋" w:cs="仿宋"/>
          <w:b/>
          <w:sz w:val="24"/>
          <w:szCs w:val="24"/>
          <w:highlight w:val="none"/>
        </w:rPr>
      </w:pPr>
      <w:bookmarkStart w:id="2" w:name="_Toc98298171"/>
      <w:r>
        <w:rPr>
          <w:rFonts w:hint="eastAsia" w:ascii="仿宋" w:hAnsi="仿宋" w:eastAsia="仿宋" w:cs="仿宋"/>
          <w:b/>
          <w:sz w:val="24"/>
          <w:szCs w:val="24"/>
          <w:highlight w:val="none"/>
        </w:rPr>
        <w:t>2.1合同标的、数量</w:t>
      </w:r>
      <w:bookmarkEnd w:id="2"/>
      <w:r>
        <w:rPr>
          <w:rFonts w:hint="eastAsia" w:ascii="仿宋" w:hAnsi="仿宋" w:eastAsia="仿宋" w:cs="仿宋"/>
          <w:b/>
          <w:sz w:val="24"/>
          <w:szCs w:val="24"/>
          <w:highlight w:val="none"/>
        </w:rPr>
        <w:t>、价款、交货期</w:t>
      </w:r>
    </w:p>
    <w:p w14:paraId="72DB977B">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2.1.1本合同项下的合同标的是[</w:t>
      </w:r>
      <w:r>
        <w:rPr>
          <w:rFonts w:hint="eastAsia" w:ascii="仿宋" w:hAnsi="仿宋" w:eastAsia="仿宋" w:cs="仿宋"/>
          <w:sz w:val="24"/>
          <w:szCs w:val="24"/>
          <w:highlight w:val="none"/>
          <w:lang w:eastAsia="zh-CN"/>
        </w:rPr>
        <w:t>耀州窑陈炉窑址陶瓷烧制技艺国家非遗保护展示设备配套采购</w:t>
      </w:r>
      <w:r>
        <w:rPr>
          <w:rFonts w:hint="eastAsia" w:ascii="仿宋" w:hAnsi="仿宋" w:eastAsia="仿宋" w:cs="仿宋"/>
          <w:sz w:val="24"/>
          <w:szCs w:val="24"/>
          <w:highlight w:val="none"/>
        </w:rPr>
        <w:t>]，该等货物品牌、型号、制造商等以《</w:t>
      </w:r>
      <w:r>
        <w:rPr>
          <w:rFonts w:hint="eastAsia" w:ascii="仿宋" w:hAnsi="仿宋" w:eastAsia="仿宋" w:cs="仿宋"/>
          <w:sz w:val="24"/>
          <w:szCs w:val="24"/>
          <w:highlight w:val="none"/>
          <w:lang w:eastAsia="zh-CN"/>
        </w:rPr>
        <w:t>货物清单</w:t>
      </w:r>
      <w:r>
        <w:rPr>
          <w:rFonts w:hint="eastAsia" w:ascii="仿宋" w:hAnsi="仿宋" w:eastAsia="仿宋" w:cs="仿宋"/>
          <w:sz w:val="24"/>
          <w:szCs w:val="24"/>
          <w:highlight w:val="none"/>
        </w:rPr>
        <w:t>》载明的内容为准。</w:t>
      </w:r>
    </w:p>
    <w:p w14:paraId="6D3E57FE">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2.1.2本合同项下的[</w:t>
      </w:r>
      <w:r>
        <w:rPr>
          <w:rFonts w:hint="eastAsia" w:ascii="仿宋" w:hAnsi="仿宋" w:eastAsia="仿宋" w:cs="仿宋"/>
          <w:sz w:val="24"/>
          <w:szCs w:val="24"/>
          <w:highlight w:val="none"/>
          <w:lang w:eastAsia="zh-CN"/>
        </w:rPr>
        <w:t>耀州窑陈炉窑址陶瓷烧制技艺国家非遗保护展示设备配套采购</w:t>
      </w:r>
      <w:r>
        <w:rPr>
          <w:rFonts w:hint="eastAsia" w:ascii="仿宋" w:hAnsi="仿宋" w:eastAsia="仿宋" w:cs="仿宋"/>
          <w:sz w:val="24"/>
          <w:szCs w:val="24"/>
          <w:highlight w:val="none"/>
        </w:rPr>
        <w:t>]，合同价款为</w:t>
      </w:r>
      <w:r>
        <w:rPr>
          <w:rFonts w:hint="eastAsia" w:ascii="仿宋" w:hAnsi="仿宋" w:eastAsia="仿宋" w:cs="仿宋"/>
          <w:sz w:val="24"/>
          <w:szCs w:val="24"/>
          <w:highlight w:val="none"/>
          <w:u w:val="single"/>
        </w:rPr>
        <w:t xml:space="preserve">人民币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整</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 xml:space="preserve">    ）。</w:t>
      </w:r>
    </w:p>
    <w:p w14:paraId="401C90E7">
      <w:pPr>
        <w:keepNext w:val="0"/>
        <w:keepLines w:val="0"/>
        <w:pageBreakBefore w:val="0"/>
        <w:widowControl/>
        <w:shd w:val="clear" w:color="auto" w:fill="FFFFFF"/>
        <w:kinsoku/>
        <w:wordWrap/>
        <w:overflowPunct/>
        <w:topLinePunct w:val="0"/>
        <w:bidi w:val="0"/>
        <w:snapToGrid/>
        <w:spacing w:beforeAutospacing="0" w:afterAutospacing="0" w:line="360" w:lineRule="auto"/>
        <w:ind w:left="0" w:leftChars="0" w:right="0" w:firstLine="480" w:firstLineChars="200"/>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2.1.3支付方式：</w:t>
      </w:r>
    </w:p>
    <w:p w14:paraId="021BC5CD">
      <w:pPr>
        <w:keepNext w:val="0"/>
        <w:keepLines w:val="0"/>
        <w:pageBreakBefore w:val="0"/>
        <w:widowControl/>
        <w:shd w:val="clear" w:color="auto" w:fill="FFFFFF"/>
        <w:kinsoku/>
        <w:wordWrap/>
        <w:overflowPunct/>
        <w:topLinePunct w:val="0"/>
        <w:bidi w:val="0"/>
        <w:snapToGrid/>
        <w:spacing w:beforeAutospacing="0" w:afterAutospacing="0" w:line="360" w:lineRule="auto"/>
        <w:ind w:left="0" w:leftChars="0" w:right="0" w:firstLine="480" w:firstLineChars="200"/>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 预付款，合同签订后，达到付款条件起10个工作日内，支付合同总金额的40.0%</w:t>
      </w:r>
    </w:p>
    <w:p w14:paraId="7D568ECD">
      <w:pPr>
        <w:keepNext w:val="0"/>
        <w:keepLines w:val="0"/>
        <w:pageBreakBefore w:val="0"/>
        <w:widowControl/>
        <w:shd w:val="clear" w:color="auto" w:fill="FFFFFF"/>
        <w:kinsoku/>
        <w:wordWrap/>
        <w:overflowPunct/>
        <w:topLinePunct w:val="0"/>
        <w:bidi w:val="0"/>
        <w:snapToGrid/>
        <w:spacing w:beforeAutospacing="0" w:afterAutospacing="0" w:line="360" w:lineRule="auto"/>
        <w:ind w:left="0" w:leftChars="0" w:right="0" w:firstLine="480" w:firstLineChars="200"/>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 进度款，设备到货，达到付款条件起10个工作日内，支付合同总金额的30.0%</w:t>
      </w:r>
    </w:p>
    <w:p w14:paraId="273DA537">
      <w:pPr>
        <w:keepNext w:val="0"/>
        <w:keepLines w:val="0"/>
        <w:pageBreakBefore w:val="0"/>
        <w:widowControl/>
        <w:shd w:val="clear" w:color="auto" w:fill="FFFFFF"/>
        <w:kinsoku/>
        <w:wordWrap/>
        <w:overflowPunct/>
        <w:topLinePunct w:val="0"/>
        <w:bidi w:val="0"/>
        <w:snapToGrid/>
        <w:spacing w:beforeAutospacing="0" w:afterAutospacing="0" w:line="360" w:lineRule="auto"/>
        <w:ind w:left="0" w:leftChars="0" w:right="0" w:firstLine="480" w:firstLineChars="200"/>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 进度款，安装调试完成后，达到付款条件起10个工作日内，支付合同总金额的20.0%</w:t>
      </w:r>
    </w:p>
    <w:p w14:paraId="5093685E">
      <w:pPr>
        <w:keepNext w:val="0"/>
        <w:keepLines w:val="0"/>
        <w:pageBreakBefore w:val="0"/>
        <w:widowControl/>
        <w:shd w:val="clear" w:color="auto" w:fill="FFFFFF"/>
        <w:kinsoku/>
        <w:wordWrap/>
        <w:overflowPunct/>
        <w:topLinePunct w:val="0"/>
        <w:bidi w:val="0"/>
        <w:snapToGrid/>
        <w:spacing w:beforeAutospacing="0" w:afterAutospacing="0" w:line="360" w:lineRule="auto"/>
        <w:ind w:left="0" w:leftChars="0" w:right="0" w:firstLine="480" w:firstLineChars="200"/>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 进度款，试运行60天，验收合格后，达到付款条件起10个工作日内，支付合同总金额的10.0%</w:t>
      </w:r>
    </w:p>
    <w:p w14:paraId="38189E5C">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2.1.4卖方应按照《</w:t>
      </w:r>
      <w:r>
        <w:rPr>
          <w:rFonts w:hint="eastAsia" w:ascii="仿宋" w:hAnsi="仿宋" w:eastAsia="仿宋" w:cs="仿宋"/>
          <w:sz w:val="24"/>
          <w:szCs w:val="24"/>
          <w:highlight w:val="none"/>
          <w:lang w:val="en-US" w:eastAsia="zh-CN"/>
        </w:rPr>
        <w:t>投标</w:t>
      </w:r>
      <w:r>
        <w:rPr>
          <w:rFonts w:hint="eastAsia" w:ascii="仿宋" w:hAnsi="仿宋" w:eastAsia="仿宋" w:cs="仿宋"/>
          <w:sz w:val="24"/>
          <w:szCs w:val="24"/>
          <w:highlight w:val="none"/>
        </w:rPr>
        <w:t>文件》和本合同第2.3条规定的条件</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在</w:t>
      </w:r>
      <w:r>
        <w:rPr>
          <w:rFonts w:hint="eastAsia" w:ascii="仿宋" w:hAnsi="仿宋" w:eastAsia="仿宋" w:cs="仿宋"/>
          <w:b/>
          <w:bCs/>
          <w:sz w:val="24"/>
          <w:szCs w:val="24"/>
          <w:highlight w:val="none"/>
        </w:rPr>
        <w:t>自合同签订后60天内完成交货、安装、调试</w:t>
      </w:r>
      <w:r>
        <w:rPr>
          <w:rFonts w:hint="eastAsia" w:ascii="仿宋" w:hAnsi="仿宋" w:eastAsia="仿宋" w:cs="仿宋"/>
          <w:sz w:val="24"/>
          <w:szCs w:val="24"/>
          <w:highlight w:val="none"/>
        </w:rPr>
        <w:t>。基于履行本合同而发生之任何费用</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均由卖方承担，本合同另有约定的除外。</w:t>
      </w:r>
    </w:p>
    <w:p w14:paraId="24AB7ED8">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sz w:val="24"/>
          <w:szCs w:val="24"/>
          <w:highlight w:val="none"/>
        </w:rPr>
      </w:pPr>
      <w:bookmarkStart w:id="3" w:name="_Toc98298172"/>
      <w:r>
        <w:rPr>
          <w:rFonts w:hint="eastAsia" w:ascii="仿宋" w:hAnsi="仿宋" w:eastAsia="仿宋" w:cs="仿宋"/>
          <w:b/>
          <w:sz w:val="24"/>
          <w:szCs w:val="24"/>
          <w:highlight w:val="none"/>
        </w:rPr>
        <w:t>2.2货物进口</w:t>
      </w:r>
      <w:bookmarkEnd w:id="3"/>
    </w:p>
    <w:p w14:paraId="6AA824A3">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本合同不涉及。</w:t>
      </w:r>
    </w:p>
    <w:p w14:paraId="6A43804C">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sz w:val="24"/>
          <w:szCs w:val="24"/>
          <w:highlight w:val="none"/>
        </w:rPr>
      </w:pPr>
      <w:bookmarkStart w:id="4" w:name="_Toc98298173"/>
      <w:r>
        <w:rPr>
          <w:rFonts w:hint="eastAsia" w:ascii="仿宋" w:hAnsi="仿宋" w:eastAsia="仿宋" w:cs="仿宋"/>
          <w:b/>
          <w:sz w:val="24"/>
          <w:szCs w:val="24"/>
          <w:highlight w:val="none"/>
        </w:rPr>
        <w:t>2.3货物技术规格</w:t>
      </w:r>
      <w:bookmarkEnd w:id="4"/>
      <w:r>
        <w:rPr>
          <w:rFonts w:hint="eastAsia" w:ascii="仿宋" w:hAnsi="仿宋" w:eastAsia="仿宋" w:cs="仿宋"/>
          <w:b/>
          <w:sz w:val="24"/>
          <w:szCs w:val="24"/>
          <w:highlight w:val="none"/>
        </w:rPr>
        <w:t xml:space="preserve"> </w:t>
      </w:r>
    </w:p>
    <w:p w14:paraId="2D31ED39">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2.3.1本合同项下的货物技术规格以本合同附件《技术规格》、《</w:t>
      </w:r>
      <w:r>
        <w:rPr>
          <w:rFonts w:hint="eastAsia" w:ascii="仿宋" w:hAnsi="仿宋" w:eastAsia="仿宋" w:cs="仿宋"/>
          <w:sz w:val="24"/>
          <w:szCs w:val="24"/>
          <w:highlight w:val="none"/>
          <w:lang w:eastAsia="zh-CN"/>
        </w:rPr>
        <w:t>投标文件</w:t>
      </w:r>
      <w:r>
        <w:rPr>
          <w:rFonts w:hint="eastAsia" w:ascii="仿宋" w:hAnsi="仿宋" w:eastAsia="仿宋" w:cs="仿宋"/>
          <w:sz w:val="24"/>
          <w:szCs w:val="24"/>
          <w:highlight w:val="none"/>
        </w:rPr>
        <w:t>》及《澄清文件》（若有）所载明的技术规格为准，对没有提及的适用标准，卖方承诺该等标准符合货物来源国适用的官方标准且该等标准必须是有关机构发布的最新版本的标准。</w:t>
      </w:r>
    </w:p>
    <w:p w14:paraId="2C8BB7D6">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2.3.2《</w:t>
      </w:r>
      <w:r>
        <w:rPr>
          <w:rFonts w:hint="eastAsia" w:ascii="仿宋" w:hAnsi="仿宋" w:eastAsia="仿宋" w:cs="仿宋"/>
          <w:sz w:val="24"/>
          <w:szCs w:val="24"/>
          <w:highlight w:val="none"/>
          <w:lang w:eastAsia="zh-CN"/>
        </w:rPr>
        <w:t>投标文件</w:t>
      </w:r>
      <w:r>
        <w:rPr>
          <w:rFonts w:hint="eastAsia" w:ascii="仿宋" w:hAnsi="仿宋" w:eastAsia="仿宋" w:cs="仿宋"/>
          <w:sz w:val="24"/>
          <w:szCs w:val="24"/>
          <w:highlight w:val="none"/>
        </w:rPr>
        <w:t>》及《澄清文件》（若有）所载明的货物技术规格如有任何不明确之处，卖方所提供的本合同项下货物应以《</w:t>
      </w:r>
      <w:r>
        <w:rPr>
          <w:rFonts w:hint="eastAsia" w:ascii="仿宋" w:hAnsi="仿宋" w:eastAsia="仿宋" w:cs="仿宋"/>
          <w:sz w:val="24"/>
          <w:szCs w:val="24"/>
          <w:highlight w:val="none"/>
          <w:lang w:eastAsia="zh-CN"/>
        </w:rPr>
        <w:t>招标文件</w:t>
      </w:r>
      <w:r>
        <w:rPr>
          <w:rFonts w:hint="eastAsia" w:ascii="仿宋" w:hAnsi="仿宋" w:eastAsia="仿宋" w:cs="仿宋"/>
          <w:sz w:val="24"/>
          <w:szCs w:val="24"/>
          <w:highlight w:val="none"/>
        </w:rPr>
        <w:t>》载明的技术规格为准，且不得低于该技术规格。</w:t>
      </w:r>
    </w:p>
    <w:p w14:paraId="12534A54">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bCs/>
          <w:sz w:val="24"/>
          <w:szCs w:val="24"/>
          <w:highlight w:val="none"/>
        </w:rPr>
      </w:pPr>
      <w:bookmarkStart w:id="5" w:name="_Toc469850087"/>
      <w:bookmarkStart w:id="6" w:name="_Toc89586932"/>
      <w:bookmarkStart w:id="7" w:name="_Toc91477306"/>
      <w:bookmarkStart w:id="8" w:name="_Toc91668518"/>
      <w:bookmarkStart w:id="9" w:name="_Toc89058571"/>
      <w:bookmarkStart w:id="10" w:name="_Toc91030055"/>
      <w:r>
        <w:rPr>
          <w:rFonts w:hint="eastAsia" w:ascii="仿宋" w:hAnsi="仿宋" w:eastAsia="仿宋" w:cs="仿宋"/>
          <w:b/>
          <w:bCs/>
          <w:sz w:val="24"/>
          <w:szCs w:val="24"/>
          <w:highlight w:val="none"/>
        </w:rPr>
        <w:t>2.4合同文件和资料</w:t>
      </w:r>
      <w:bookmarkEnd w:id="5"/>
      <w:bookmarkEnd w:id="6"/>
      <w:bookmarkEnd w:id="7"/>
      <w:bookmarkEnd w:id="8"/>
      <w:bookmarkEnd w:id="9"/>
      <w:bookmarkEnd w:id="10"/>
      <w:r>
        <w:rPr>
          <w:rFonts w:hint="eastAsia" w:ascii="仿宋" w:hAnsi="仿宋" w:eastAsia="仿宋" w:cs="仿宋"/>
          <w:b/>
          <w:bCs/>
          <w:sz w:val="24"/>
          <w:szCs w:val="24"/>
          <w:highlight w:val="none"/>
        </w:rPr>
        <w:t>的使用</w:t>
      </w:r>
    </w:p>
    <w:p w14:paraId="1D700EB2">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2.4.1没有对方事先书面同意，另一方不得将由对方或对方代表提供的有关合同或任何合同条文、规格、计划、图纸、模型、样品或资料提供给与履行本合同无关的任何其他人。即使向与履行本合同有关的人员提供，也应注意保密并限于履行合同必须的范围。</w:t>
      </w:r>
    </w:p>
    <w:p w14:paraId="4C72D76C">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2.4.2没有对方事先书面同意，除了履行本合同之外，另一方不应使用合同条款第2.4.1条所列举的任何文件和资料。</w:t>
      </w:r>
    </w:p>
    <w:p w14:paraId="2E01CE60">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2.4.3除了合同本身以外，合同条款第2.4.1条所列举的任何文件是买方/卖方的财产。如果对方有要求，另一方在完成合同后应将这些文件及全部复制件还给对方。 </w:t>
      </w:r>
    </w:p>
    <w:p w14:paraId="7E335E6B">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 xml:space="preserve">2.5知识产权  </w:t>
      </w:r>
    </w:p>
    <w:p w14:paraId="184FFE96">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2.5.1卖方应保证，买方在中华人民共和国使用该货物或货物的任何一部分时，免受第三方提出的侵犯其知识产权的索赔或诉讼。</w:t>
      </w:r>
    </w:p>
    <w:p w14:paraId="245DF7A5">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bCs/>
          <w:sz w:val="24"/>
          <w:szCs w:val="24"/>
          <w:highlight w:val="none"/>
        </w:rPr>
      </w:pPr>
      <w:bookmarkStart w:id="11" w:name="_Toc91477309"/>
      <w:bookmarkStart w:id="12" w:name="_Toc91668521"/>
      <w:bookmarkStart w:id="13" w:name="_Toc89058574"/>
      <w:bookmarkStart w:id="14" w:name="_Toc469850090"/>
      <w:bookmarkStart w:id="15" w:name="_Toc91030058"/>
      <w:bookmarkStart w:id="16" w:name="_Toc89586935"/>
      <w:r>
        <w:rPr>
          <w:rFonts w:hint="eastAsia" w:ascii="仿宋" w:hAnsi="仿宋" w:eastAsia="仿宋" w:cs="仿宋"/>
          <w:b/>
          <w:bCs/>
          <w:sz w:val="24"/>
          <w:szCs w:val="24"/>
          <w:highlight w:val="none"/>
        </w:rPr>
        <w:t>2.6检验和测试</w:t>
      </w:r>
      <w:bookmarkEnd w:id="11"/>
      <w:bookmarkEnd w:id="12"/>
      <w:bookmarkEnd w:id="13"/>
      <w:bookmarkEnd w:id="14"/>
      <w:bookmarkEnd w:id="15"/>
      <w:bookmarkEnd w:id="16"/>
    </w:p>
    <w:p w14:paraId="1C35A5AF">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2.6.1买方应有权检验和/或测试货物，以确认货物是否符合合同规格的要求，检验和测试费用由卖方负担。检验和测试包括合同履行过程中的生产进行验收、到货验收和调试验收等最终验收环节。买方将及时以书面形式把进行检验和/或测试代表的身份通知卖方。</w:t>
      </w:r>
    </w:p>
    <w:p w14:paraId="60E869E4">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2.6.2如果在卖方的驻地进行，检测人员应能得到全部合理的设施和协助，买方不应为此承担费用。</w:t>
      </w:r>
    </w:p>
    <w:p w14:paraId="0A490C42">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2.6.3如果任何被检验或测试的货物不能满足规格的要求，买方将及时通知卖方，卖方应免费进行必要的修改以满足规格的要求。</w:t>
      </w:r>
    </w:p>
    <w:p w14:paraId="0EE0B270">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2.6.4买方在货物到达目的港和/或项目现场后对货物进行检验、测试及必要时拒绝接受货物的权力将不会因为货物在启运前通过了买方或其代表的检验、测试和认可而受到限制或放弃。</w:t>
      </w:r>
    </w:p>
    <w:p w14:paraId="48C7387B">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2.6.5在交货前，卖方应当对货物的质量、规格、性能、数量和重量等进行详细而全面的检验，并出具一份证明货物符合合同规定的检验证书，检验证书是付款时提交给买方的文件的一个组成部分，但不能作为有关质量、规格、性能、数量或重量的最终检验。制造商检验的结果和细节应附在质量检验证书后面。</w:t>
      </w:r>
    </w:p>
    <w:p w14:paraId="1898BA28">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2.6.6境外货物抵达目的港和/或项目现场后，买方除应向中华人民共和国国家出入境检验检疫局（以下称为检验检疫局）申请对货物的质量、规格、数量和重量进行检验，并出具交货后检验证书外，亦有权自行或会同卖方对货物的质量、规格、数量和重量进行最终验收。如果检验检疫局和/或最终用户发现所供货物的质量或规格与合同要求不符，或货物被证实有缺陷，买方有权在货物到达项目现场后九十（90）日内向卖方提出索赔。就本合同条款所述的最终验收，无论卖方和最终用户对验收结论是否存在分歧，买方均有权提请国家有关专业检测机构进行检测，相关检测费用应当由卖方承担。</w:t>
      </w:r>
    </w:p>
    <w:p w14:paraId="1CCEA033">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2.6.7如果在合同条款第2.17条规定的质量保证期内，根据国家有关专业检测机构及/或最终用户的检验结果，发现货物的质量或规格与合同要求不符，或货物被证实有缺陷，包括潜在的缺陷或使用不合适的材料，买方应及时向卖方提出索赔。</w:t>
      </w:r>
    </w:p>
    <w:p w14:paraId="0C902BBE">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2.6.8合同条款第2.6条的规定不能免除卖方在本合同项下的保证义务或其他义务。</w:t>
      </w:r>
    </w:p>
    <w:p w14:paraId="630D74D5">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bCs/>
          <w:sz w:val="24"/>
          <w:szCs w:val="24"/>
          <w:highlight w:val="none"/>
        </w:rPr>
      </w:pPr>
      <w:bookmarkStart w:id="17" w:name="_Toc91477310"/>
      <w:bookmarkStart w:id="18" w:name="_Toc91668522"/>
      <w:bookmarkStart w:id="19" w:name="_Toc89058575"/>
      <w:bookmarkStart w:id="20" w:name="_Toc91030059"/>
      <w:bookmarkStart w:id="21" w:name="_Toc469850091"/>
      <w:bookmarkStart w:id="22" w:name="_Toc89586936"/>
      <w:r>
        <w:rPr>
          <w:rFonts w:hint="eastAsia" w:ascii="仿宋" w:hAnsi="仿宋" w:eastAsia="仿宋" w:cs="仿宋"/>
          <w:b/>
          <w:bCs/>
          <w:sz w:val="24"/>
          <w:szCs w:val="24"/>
          <w:highlight w:val="none"/>
        </w:rPr>
        <w:t>2.7包装</w:t>
      </w:r>
      <w:bookmarkEnd w:id="17"/>
      <w:bookmarkEnd w:id="18"/>
      <w:bookmarkEnd w:id="19"/>
      <w:bookmarkEnd w:id="20"/>
      <w:bookmarkEnd w:id="21"/>
      <w:bookmarkEnd w:id="22"/>
    </w:p>
    <w:p w14:paraId="4DF91C07">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2.7.1卖方应提供货物运至合同规定的项目现场所需要的包装，以防止货物在转运中损坏或变质。这类包装应采取防潮、防晒、防锈、防腐蚀、防震动及防止其它损坏的必要保护措施，从而保护货物能够经受多次搬运、装卸及远洋和内陆的长途运输。卖方应承担由于其包装或其防护措施不妥而引起货物锈蚀、损坏和丢失的任何损失的责任或费用。对于木质包装材料，应按照中国政府有关机构的规定进行熏蒸处理，并出具有关熏蒸证明。</w:t>
      </w:r>
    </w:p>
    <w:p w14:paraId="2C0806A5">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2.7.2每件包装箱内应附一份详细装箱清单和质量合格证。</w:t>
      </w:r>
    </w:p>
    <w:p w14:paraId="5A17EC10">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sz w:val="24"/>
          <w:szCs w:val="24"/>
          <w:highlight w:val="none"/>
        </w:rPr>
      </w:pPr>
      <w:r>
        <w:rPr>
          <w:rFonts w:hint="eastAsia" w:ascii="仿宋" w:hAnsi="仿宋" w:eastAsia="仿宋" w:cs="仿宋"/>
          <w:b/>
          <w:bCs/>
          <w:sz w:val="24"/>
          <w:szCs w:val="24"/>
          <w:highlight w:val="none"/>
        </w:rPr>
        <w:t>2.8</w:t>
      </w:r>
      <w:r>
        <w:rPr>
          <w:rFonts w:hint="eastAsia" w:ascii="仿宋" w:hAnsi="仿宋" w:eastAsia="仿宋" w:cs="仿宋"/>
          <w:b/>
          <w:sz w:val="24"/>
          <w:szCs w:val="24"/>
          <w:highlight w:val="none"/>
        </w:rPr>
        <w:t>装运标记</w:t>
      </w:r>
    </w:p>
    <w:p w14:paraId="70C69973">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2.8.1卖方应在每一包装箱相邻的四面用不可擦除的油漆和明显的中文字样做出以下标记：</w:t>
      </w:r>
    </w:p>
    <w:p w14:paraId="03B356E3">
      <w:pPr>
        <w:keepNext w:val="0"/>
        <w:keepLines w:val="0"/>
        <w:pageBreakBefore w:val="0"/>
        <w:numPr>
          <w:ilvl w:val="0"/>
          <w:numId w:val="1"/>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收货人</w:t>
      </w:r>
    </w:p>
    <w:p w14:paraId="17AEB763">
      <w:pPr>
        <w:keepNext w:val="0"/>
        <w:keepLines w:val="0"/>
        <w:pageBreakBefore w:val="0"/>
        <w:numPr>
          <w:ilvl w:val="0"/>
          <w:numId w:val="1"/>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合同号</w:t>
      </w:r>
    </w:p>
    <w:p w14:paraId="3F361B53">
      <w:pPr>
        <w:keepNext w:val="0"/>
        <w:keepLines w:val="0"/>
        <w:pageBreakBefore w:val="0"/>
        <w:numPr>
          <w:ilvl w:val="0"/>
          <w:numId w:val="1"/>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发货标记</w:t>
      </w:r>
    </w:p>
    <w:p w14:paraId="5CEE0C48">
      <w:pPr>
        <w:keepNext w:val="0"/>
        <w:keepLines w:val="0"/>
        <w:pageBreakBefore w:val="0"/>
        <w:numPr>
          <w:ilvl w:val="0"/>
          <w:numId w:val="1"/>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货物名称、品目号和箱号</w:t>
      </w:r>
    </w:p>
    <w:p w14:paraId="486809BB">
      <w:pPr>
        <w:keepNext w:val="0"/>
        <w:keepLines w:val="0"/>
        <w:pageBreakBefore w:val="0"/>
        <w:numPr>
          <w:ilvl w:val="0"/>
          <w:numId w:val="1"/>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毛重/净重(用 kg表示)</w:t>
      </w:r>
    </w:p>
    <w:p w14:paraId="643F318A">
      <w:pPr>
        <w:keepNext w:val="0"/>
        <w:keepLines w:val="0"/>
        <w:pageBreakBefore w:val="0"/>
        <w:numPr>
          <w:ilvl w:val="0"/>
          <w:numId w:val="1"/>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尺寸(长×宽×高用 cm表示)</w:t>
      </w:r>
    </w:p>
    <w:p w14:paraId="7D653639">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2.8.2如果单件包装箱的重量在2吨或2吨以上，卖方应在包装箱两侧用英语或中文和国际贸易通用的运输标记标注“重心”和“起吊点”以便装卸和搬运。根据货物的特点和运输的不同要求，卖方应在包装箱上清楚地标注“小心轻放”、“此端朝上，请勿倒置”、“保持干燥”等字样和其他国际贸易中使用的适当标记。</w:t>
      </w:r>
    </w:p>
    <w:p w14:paraId="1F238DF7">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bCs/>
          <w:sz w:val="24"/>
          <w:szCs w:val="24"/>
          <w:highlight w:val="none"/>
        </w:rPr>
      </w:pPr>
      <w:bookmarkStart w:id="23" w:name="_Toc91477312"/>
      <w:bookmarkStart w:id="24" w:name="_Toc89586938"/>
      <w:bookmarkStart w:id="25" w:name="_Toc469850093"/>
      <w:bookmarkStart w:id="26" w:name="_Toc91030061"/>
      <w:bookmarkStart w:id="27" w:name="_Toc89058577"/>
      <w:bookmarkStart w:id="28" w:name="_Toc91668524"/>
      <w:r>
        <w:rPr>
          <w:rFonts w:hint="eastAsia" w:ascii="仿宋" w:hAnsi="仿宋" w:eastAsia="仿宋" w:cs="仿宋"/>
          <w:b/>
          <w:bCs/>
          <w:sz w:val="24"/>
          <w:szCs w:val="24"/>
          <w:highlight w:val="none"/>
        </w:rPr>
        <w:t>2.9装运条件</w:t>
      </w:r>
      <w:bookmarkEnd w:id="23"/>
      <w:bookmarkEnd w:id="24"/>
      <w:bookmarkEnd w:id="25"/>
      <w:bookmarkEnd w:id="26"/>
      <w:bookmarkEnd w:id="27"/>
      <w:bookmarkEnd w:id="28"/>
    </w:p>
    <w:p w14:paraId="5D4CBF18">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2.9.1从境外供应的货物：</w:t>
      </w:r>
    </w:p>
    <w:p w14:paraId="22C608E5">
      <w:pPr>
        <w:keepNext w:val="0"/>
        <w:keepLines w:val="0"/>
        <w:pageBreakBefore w:val="0"/>
        <w:numPr>
          <w:ilvl w:val="0"/>
          <w:numId w:val="2"/>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卖方应负责安排订舱位、运输和支付至目的港及项目现场的所有相关运输费、运输保险费、仓储费、装卸费等，以确保按照合同规定的交货期交货；</w:t>
      </w:r>
    </w:p>
    <w:p w14:paraId="79F4F374">
      <w:pPr>
        <w:keepNext w:val="0"/>
        <w:keepLines w:val="0"/>
        <w:pageBreakBefore w:val="0"/>
        <w:numPr>
          <w:ilvl w:val="0"/>
          <w:numId w:val="2"/>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提单/空运提单上载明的日期应视为实际交货日期；</w:t>
      </w:r>
    </w:p>
    <w:p w14:paraId="79AA9E74">
      <w:pPr>
        <w:keepNext w:val="0"/>
        <w:keepLines w:val="0"/>
        <w:pageBreakBefore w:val="0"/>
        <w:numPr>
          <w:ilvl w:val="0"/>
          <w:numId w:val="2"/>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目的港及/或项目现场应为[西安]机场及/或最终用户营业场所所在地。</w:t>
      </w:r>
    </w:p>
    <w:p w14:paraId="367169F2">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2.9.2从境内供应的货物：</w:t>
      </w:r>
    </w:p>
    <w:p w14:paraId="2AB10E89">
      <w:pPr>
        <w:keepNext w:val="0"/>
        <w:keepLines w:val="0"/>
        <w:pageBreakBefore w:val="0"/>
        <w:numPr>
          <w:ilvl w:val="0"/>
          <w:numId w:val="3"/>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卖方应负责安排内陆运输和支付至项目现场的所有相关运输费、运输保险费、仓储费、装卸费等，以确保按照合同规定的交货期交货；</w:t>
      </w:r>
    </w:p>
    <w:p w14:paraId="7A426716">
      <w:pPr>
        <w:keepNext w:val="0"/>
        <w:keepLines w:val="0"/>
        <w:pageBreakBefore w:val="0"/>
        <w:numPr>
          <w:ilvl w:val="0"/>
          <w:numId w:val="3"/>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最终用户签发的收到货物证明的日期应视为实际交货日期。</w:t>
      </w:r>
    </w:p>
    <w:p w14:paraId="7DAE94FD">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2.9.3卖方装运的货物不应超过合同规定的数量或重量。否则，卖方应对超支数量或重量而产生的一切后果负责。</w:t>
      </w:r>
    </w:p>
    <w:p w14:paraId="66980056">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bCs/>
          <w:sz w:val="24"/>
          <w:szCs w:val="24"/>
          <w:highlight w:val="none"/>
        </w:rPr>
      </w:pPr>
      <w:bookmarkStart w:id="29" w:name="_Toc89058578"/>
      <w:bookmarkStart w:id="30" w:name="_Toc91668525"/>
      <w:bookmarkStart w:id="31" w:name="_Toc91477313"/>
      <w:bookmarkStart w:id="32" w:name="_Toc89586939"/>
      <w:bookmarkStart w:id="33" w:name="_Toc91030062"/>
      <w:bookmarkStart w:id="34" w:name="_Toc469850094"/>
      <w:r>
        <w:rPr>
          <w:rFonts w:hint="eastAsia" w:ascii="仿宋" w:hAnsi="仿宋" w:eastAsia="仿宋" w:cs="仿宋"/>
          <w:b/>
          <w:bCs/>
          <w:sz w:val="24"/>
          <w:szCs w:val="24"/>
          <w:highlight w:val="none"/>
        </w:rPr>
        <w:t>2.10装运通知</w:t>
      </w:r>
      <w:bookmarkEnd w:id="29"/>
      <w:bookmarkEnd w:id="30"/>
      <w:bookmarkEnd w:id="31"/>
      <w:bookmarkEnd w:id="32"/>
      <w:bookmarkEnd w:id="33"/>
      <w:bookmarkEnd w:id="34"/>
    </w:p>
    <w:p w14:paraId="6A938314">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2.10.1卖方应在合同规定的装运日期之前，即铁路/公路/水运前21日或空运前7日以电报或传真形式将合同号、货物名称、数量、箱数、总毛重、总体积（M</w:t>
      </w:r>
      <w:r>
        <w:rPr>
          <w:rFonts w:hint="eastAsia" w:ascii="仿宋" w:hAnsi="仿宋" w:eastAsia="仿宋" w:cs="仿宋"/>
          <w:sz w:val="24"/>
          <w:szCs w:val="24"/>
          <w:highlight w:val="none"/>
          <w:vertAlign w:val="superscript"/>
        </w:rPr>
        <w:t>3</w:t>
      </w:r>
      <w:r>
        <w:rPr>
          <w:rFonts w:hint="eastAsia" w:ascii="仿宋" w:hAnsi="仿宋" w:eastAsia="仿宋" w:cs="仿宋"/>
          <w:sz w:val="24"/>
          <w:szCs w:val="24"/>
          <w:highlight w:val="none"/>
        </w:rPr>
        <w:t>）和备妥待运的日期通知买方。同时，卖方应用邮政特快专递把详细的货物清单一式五份，包括合同号、货物名称、规格、数量、包装件数、总毛重、总净重、总体积（M</w:t>
      </w:r>
      <w:r>
        <w:rPr>
          <w:rFonts w:hint="eastAsia" w:ascii="仿宋" w:hAnsi="仿宋" w:eastAsia="仿宋" w:cs="仿宋"/>
          <w:sz w:val="24"/>
          <w:szCs w:val="24"/>
          <w:highlight w:val="none"/>
          <w:vertAlign w:val="superscript"/>
        </w:rPr>
        <w:t>3</w:t>
      </w:r>
      <w:r>
        <w:rPr>
          <w:rFonts w:hint="eastAsia" w:ascii="仿宋" w:hAnsi="仿宋" w:eastAsia="仿宋" w:cs="仿宋"/>
          <w:sz w:val="24"/>
          <w:szCs w:val="24"/>
          <w:highlight w:val="none"/>
        </w:rPr>
        <w:t>）、每箱尺寸（长×宽×高）、单价、总金额、启运口岸、备妥待运日期和货物在运输和仓储中任何特殊要求和注意事项等通知买方；</w:t>
      </w:r>
    </w:p>
    <w:p w14:paraId="41F40481">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2.10.2卖方应在货物交运完毕后24小时之内以电报或传真形式将合同号、货物名称、数量、总毛重、体积（M</w:t>
      </w:r>
      <w:r>
        <w:rPr>
          <w:rFonts w:hint="eastAsia" w:ascii="仿宋" w:hAnsi="仿宋" w:eastAsia="仿宋" w:cs="仿宋"/>
          <w:sz w:val="24"/>
          <w:szCs w:val="24"/>
          <w:highlight w:val="none"/>
          <w:vertAlign w:val="superscript"/>
        </w:rPr>
        <w:t>3</w:t>
      </w:r>
      <w:r>
        <w:rPr>
          <w:rFonts w:hint="eastAsia" w:ascii="仿宋" w:hAnsi="仿宋" w:eastAsia="仿宋" w:cs="仿宋"/>
          <w:sz w:val="24"/>
          <w:szCs w:val="24"/>
          <w:highlight w:val="none"/>
        </w:rPr>
        <w:t>）、发票金额，运输工具名称、启运日期和预计到达目的港/项目现场的日期通知买方。如果每个包装箱的重量超过20吨或体积达到或超过长12米、宽2.7米和高3米，卖方应将每个包装箱的装箱的重量和体积通知买方，易燃或危险品的细节还应另行注明。</w:t>
      </w:r>
    </w:p>
    <w:p w14:paraId="2F54935D">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b/>
          <w:bCs/>
          <w:sz w:val="24"/>
          <w:szCs w:val="24"/>
          <w:highlight w:val="none"/>
        </w:rPr>
      </w:pPr>
      <w:r>
        <w:rPr>
          <w:rFonts w:hint="eastAsia" w:ascii="仿宋" w:hAnsi="仿宋" w:eastAsia="仿宋" w:cs="仿宋"/>
          <w:sz w:val="24"/>
          <w:szCs w:val="24"/>
          <w:highlight w:val="none"/>
        </w:rPr>
        <w:t xml:space="preserve">  </w:t>
      </w:r>
      <w:bookmarkStart w:id="35" w:name="_Toc91030063"/>
      <w:bookmarkStart w:id="36" w:name="_Toc91477314"/>
      <w:bookmarkStart w:id="37" w:name="_Toc91668526"/>
      <w:bookmarkStart w:id="38" w:name="_Toc89586940"/>
      <w:bookmarkStart w:id="39" w:name="_Toc469850095"/>
      <w:bookmarkStart w:id="40" w:name="_Toc89058579"/>
      <w:r>
        <w:rPr>
          <w:rFonts w:hint="eastAsia" w:ascii="仿宋" w:hAnsi="仿宋" w:eastAsia="仿宋" w:cs="仿宋"/>
          <w:b/>
          <w:bCs/>
          <w:sz w:val="24"/>
          <w:szCs w:val="24"/>
          <w:highlight w:val="none"/>
        </w:rPr>
        <w:t>2.11交货和单据</w:t>
      </w:r>
      <w:bookmarkEnd w:id="35"/>
      <w:bookmarkEnd w:id="36"/>
      <w:bookmarkEnd w:id="37"/>
      <w:bookmarkEnd w:id="38"/>
      <w:bookmarkEnd w:id="39"/>
      <w:bookmarkEnd w:id="40"/>
    </w:p>
    <w:p w14:paraId="35F1EB02">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2.11.1卖方应按照“货物需求一览表”规定的条件交货。卖方应提供的装运细节和/或其他单据见合同条款第2.8、2.9、2.10、2.11条规定。本合同项下货物的所有权自交货之日起由卖方转移至买方。</w:t>
      </w:r>
    </w:p>
    <w:p w14:paraId="518360FF">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2.11.2最终用户签发货物最终验收报告的日期应视为货物最终验收及质量保证期起算的日期。</w:t>
      </w:r>
    </w:p>
    <w:p w14:paraId="0F312733">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2.11.3最终用户签发货物最终验收报告之日起本合同项下货物的风险责任始由卖方转移至买方。</w:t>
      </w:r>
    </w:p>
    <w:p w14:paraId="4B92D62A">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bCs/>
          <w:sz w:val="24"/>
          <w:szCs w:val="24"/>
          <w:highlight w:val="none"/>
        </w:rPr>
      </w:pPr>
      <w:bookmarkStart w:id="41" w:name="_Toc89586941"/>
      <w:bookmarkStart w:id="42" w:name="_Toc89058580"/>
      <w:bookmarkStart w:id="43" w:name="_Toc91030064"/>
      <w:bookmarkStart w:id="44" w:name="_Toc91668527"/>
      <w:bookmarkStart w:id="45" w:name="_Toc91477315"/>
      <w:r>
        <w:rPr>
          <w:rFonts w:hint="eastAsia" w:ascii="仿宋" w:hAnsi="仿宋" w:eastAsia="仿宋" w:cs="仿宋"/>
          <w:b/>
          <w:bCs/>
          <w:sz w:val="24"/>
          <w:szCs w:val="24"/>
          <w:highlight w:val="none"/>
        </w:rPr>
        <w:t>2.12保险</w:t>
      </w:r>
      <w:bookmarkEnd w:id="41"/>
      <w:bookmarkEnd w:id="42"/>
      <w:bookmarkEnd w:id="43"/>
      <w:bookmarkEnd w:id="44"/>
      <w:bookmarkEnd w:id="45"/>
    </w:p>
    <w:p w14:paraId="04F91076">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2.12.1卖方对本合同下提供的货物应对其在制造、购置、运输、存放及交货过程中的丢失或损坏进行全面保险, 保险受益人应为买方。卖方应除用一种可以自由兑换的货币办理以发票金额的百分之一百一十（110%）投保的一切险和战争险外，还应对其在项目现场进行技术服务的人员进行必要的保险。</w:t>
      </w:r>
    </w:p>
    <w:p w14:paraId="75607103">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bCs/>
          <w:sz w:val="24"/>
          <w:szCs w:val="24"/>
          <w:highlight w:val="none"/>
        </w:rPr>
      </w:pPr>
      <w:bookmarkStart w:id="46" w:name="_Toc89586942"/>
      <w:bookmarkStart w:id="47" w:name="_Toc89058581"/>
      <w:bookmarkStart w:id="48" w:name="_Toc91668528"/>
      <w:bookmarkStart w:id="49" w:name="_Toc469850097"/>
      <w:bookmarkStart w:id="50" w:name="_Toc91030065"/>
      <w:bookmarkStart w:id="51" w:name="_Toc91477316"/>
      <w:r>
        <w:rPr>
          <w:rFonts w:hint="eastAsia" w:ascii="仿宋" w:hAnsi="仿宋" w:eastAsia="仿宋" w:cs="仿宋"/>
          <w:b/>
          <w:sz w:val="24"/>
          <w:szCs w:val="24"/>
          <w:highlight w:val="none"/>
        </w:rPr>
        <w:t>2.13</w:t>
      </w:r>
      <w:r>
        <w:rPr>
          <w:rFonts w:hint="eastAsia" w:ascii="仿宋" w:hAnsi="仿宋" w:eastAsia="仿宋" w:cs="仿宋"/>
          <w:b/>
          <w:bCs/>
          <w:sz w:val="24"/>
          <w:szCs w:val="24"/>
          <w:highlight w:val="none"/>
        </w:rPr>
        <w:t>运输</w:t>
      </w:r>
      <w:bookmarkEnd w:id="46"/>
      <w:bookmarkEnd w:id="47"/>
      <w:bookmarkEnd w:id="48"/>
      <w:bookmarkEnd w:id="49"/>
      <w:bookmarkEnd w:id="50"/>
      <w:bookmarkEnd w:id="51"/>
    </w:p>
    <w:p w14:paraId="2B57B7A2">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2.13.1卖方应将货物运至项目现场（</w:t>
      </w:r>
      <w:r>
        <w:rPr>
          <w:rFonts w:hint="eastAsia" w:ascii="仿宋" w:hAnsi="仿宋" w:eastAsia="仿宋" w:cs="仿宋"/>
          <w:sz w:val="24"/>
          <w:szCs w:val="24"/>
          <w:highlight w:val="none"/>
          <w:lang w:eastAsia="zh-CN"/>
        </w:rPr>
        <w:t>铜川市印台区陈炉镇人民政府</w:t>
      </w:r>
      <w:r>
        <w:rPr>
          <w:rFonts w:hint="eastAsia" w:ascii="仿宋" w:hAnsi="仿宋" w:eastAsia="仿宋" w:cs="仿宋"/>
          <w:sz w:val="24"/>
          <w:szCs w:val="24"/>
          <w:highlight w:val="none"/>
        </w:rPr>
        <w:t>指定位置），负责办理货物运至项目现场（</w:t>
      </w:r>
      <w:r>
        <w:rPr>
          <w:rFonts w:hint="eastAsia" w:ascii="仿宋" w:hAnsi="仿宋" w:eastAsia="仿宋" w:cs="仿宋"/>
          <w:sz w:val="24"/>
          <w:szCs w:val="24"/>
          <w:highlight w:val="none"/>
          <w:lang w:eastAsia="zh-CN"/>
        </w:rPr>
        <w:t>铜川市印台区陈炉镇人民政府</w:t>
      </w:r>
      <w:r>
        <w:rPr>
          <w:rFonts w:hint="eastAsia" w:ascii="仿宋" w:hAnsi="仿宋" w:eastAsia="仿宋" w:cs="仿宋"/>
          <w:sz w:val="24"/>
          <w:szCs w:val="24"/>
          <w:highlight w:val="none"/>
        </w:rPr>
        <w:t>指定位置）期间包括合同规定的保险和储存在内的一切事项，有关费用应包括在合同价中。</w:t>
      </w:r>
    </w:p>
    <w:p w14:paraId="4B56F933">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2.13.2卖方所选择的运输工具或承运人，应当事先征得买方同意。</w:t>
      </w:r>
    </w:p>
    <w:p w14:paraId="007C56BF">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bCs/>
          <w:sz w:val="24"/>
          <w:szCs w:val="24"/>
          <w:highlight w:val="none"/>
        </w:rPr>
      </w:pPr>
      <w:bookmarkStart w:id="52" w:name="_Toc89058582"/>
      <w:bookmarkStart w:id="53" w:name="_Toc91668529"/>
      <w:bookmarkStart w:id="54" w:name="_Toc91030066"/>
      <w:bookmarkStart w:id="55" w:name="_Toc91477317"/>
      <w:bookmarkStart w:id="56" w:name="_Toc469850098"/>
      <w:bookmarkStart w:id="57" w:name="_Toc89586943"/>
      <w:r>
        <w:rPr>
          <w:rFonts w:hint="eastAsia" w:ascii="仿宋" w:hAnsi="仿宋" w:eastAsia="仿宋" w:cs="仿宋"/>
          <w:b/>
          <w:sz w:val="24"/>
          <w:szCs w:val="24"/>
          <w:highlight w:val="none"/>
        </w:rPr>
        <w:t>2.14</w:t>
      </w:r>
      <w:r>
        <w:rPr>
          <w:rFonts w:hint="eastAsia" w:ascii="仿宋" w:hAnsi="仿宋" w:eastAsia="仿宋" w:cs="仿宋"/>
          <w:b/>
          <w:bCs/>
          <w:sz w:val="24"/>
          <w:szCs w:val="24"/>
          <w:highlight w:val="none"/>
        </w:rPr>
        <w:t>伴随服务</w:t>
      </w:r>
      <w:bookmarkEnd w:id="52"/>
      <w:bookmarkEnd w:id="53"/>
      <w:bookmarkEnd w:id="54"/>
      <w:bookmarkEnd w:id="55"/>
      <w:bookmarkEnd w:id="56"/>
      <w:bookmarkEnd w:id="57"/>
    </w:p>
    <w:p w14:paraId="6D0B914F">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2.14.1卖方应按照合同附件的规定，提供下列服务中任一或所有服务，包括</w:t>
      </w:r>
      <w:r>
        <w:rPr>
          <w:rFonts w:hint="eastAsia" w:ascii="仿宋" w:hAnsi="仿宋" w:eastAsia="仿宋" w:cs="仿宋"/>
          <w:b/>
          <w:sz w:val="24"/>
          <w:szCs w:val="24"/>
          <w:highlight w:val="none"/>
        </w:rPr>
        <w:t>[招标文件之合同条款资料表]</w:t>
      </w:r>
      <w:r>
        <w:rPr>
          <w:rFonts w:hint="eastAsia" w:ascii="仿宋" w:hAnsi="仿宋" w:eastAsia="仿宋" w:cs="仿宋"/>
          <w:sz w:val="24"/>
          <w:szCs w:val="24"/>
          <w:highlight w:val="none"/>
        </w:rPr>
        <w:t>与技术规格规定的附加服务（如有）：</w:t>
      </w:r>
    </w:p>
    <w:p w14:paraId="27A99F90">
      <w:pPr>
        <w:keepNext w:val="0"/>
        <w:keepLines w:val="0"/>
        <w:pageBreakBefore w:val="0"/>
        <w:numPr>
          <w:ilvl w:val="0"/>
          <w:numId w:val="4"/>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实施所供货物的集成；</w:t>
      </w:r>
    </w:p>
    <w:p w14:paraId="7F90FF8E">
      <w:pPr>
        <w:keepNext w:val="0"/>
        <w:keepLines w:val="0"/>
        <w:pageBreakBefore w:val="0"/>
        <w:numPr>
          <w:ilvl w:val="0"/>
          <w:numId w:val="4"/>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实施所供货物的现场安装、调试和试运行；</w:t>
      </w:r>
    </w:p>
    <w:p w14:paraId="01B15637">
      <w:pPr>
        <w:keepNext w:val="0"/>
        <w:keepLines w:val="0"/>
        <w:pageBreakBefore w:val="0"/>
        <w:numPr>
          <w:ilvl w:val="0"/>
          <w:numId w:val="4"/>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提供货物组装、维修和质量保证期内正常运行和/或使用所必需的备品备件和专用工具；</w:t>
      </w:r>
    </w:p>
    <w:p w14:paraId="7640DE0D">
      <w:pPr>
        <w:keepNext w:val="0"/>
        <w:keepLines w:val="0"/>
        <w:pageBreakBefore w:val="0"/>
        <w:numPr>
          <w:ilvl w:val="0"/>
          <w:numId w:val="4"/>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为所供货物的每一适当的单台设备提供详细的中文操作和维护手册；</w:t>
      </w:r>
    </w:p>
    <w:p w14:paraId="2CAE226E">
      <w:pPr>
        <w:keepNext w:val="0"/>
        <w:keepLines w:val="0"/>
        <w:pageBreakBefore w:val="0"/>
        <w:numPr>
          <w:ilvl w:val="0"/>
          <w:numId w:val="4"/>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在协议各方商定的一定期限内对所供货物提供维修和技术支持，但前提条件是该服务并不能免除卖方在合同质量保证期内所承担的义务；</w:t>
      </w:r>
    </w:p>
    <w:p w14:paraId="405705CC">
      <w:pPr>
        <w:keepNext w:val="0"/>
        <w:keepLines w:val="0"/>
        <w:pageBreakBefore w:val="0"/>
        <w:numPr>
          <w:ilvl w:val="0"/>
          <w:numId w:val="4"/>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在卖方所在地和/或在项目现场就所供货物的组装、试运行、运行、维护和/或修理对买方人员进行培训。</w:t>
      </w:r>
    </w:p>
    <w:p w14:paraId="68B3F1D2">
      <w:pPr>
        <w:keepNext w:val="0"/>
        <w:keepLines w:val="0"/>
        <w:pageBreakBefore w:val="0"/>
        <w:numPr>
          <w:ilvl w:val="0"/>
          <w:numId w:val="4"/>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如所供货物包含放射性物质的，则卖方应当根据中国、法规的规定，承担负责回收的义务。</w:t>
      </w:r>
    </w:p>
    <w:p w14:paraId="655101C6">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2.14.2  本合同第2.14.1条所述所有伴随服务的报价应包括在合同价款中，买方无义务另行支付。</w:t>
      </w:r>
    </w:p>
    <w:p w14:paraId="10C13A4E">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bCs/>
          <w:sz w:val="24"/>
          <w:szCs w:val="24"/>
          <w:highlight w:val="none"/>
        </w:rPr>
      </w:pPr>
      <w:bookmarkStart w:id="58" w:name="_Toc89058583"/>
      <w:bookmarkStart w:id="59" w:name="_Toc91477318"/>
      <w:bookmarkStart w:id="60" w:name="_Toc91668530"/>
      <w:bookmarkStart w:id="61" w:name="_Toc91030067"/>
      <w:bookmarkStart w:id="62" w:name="_Toc469850099"/>
      <w:bookmarkStart w:id="63" w:name="_Toc89586944"/>
      <w:r>
        <w:rPr>
          <w:rFonts w:hint="eastAsia" w:ascii="仿宋" w:hAnsi="仿宋" w:eastAsia="仿宋" w:cs="仿宋"/>
          <w:b/>
          <w:bCs/>
          <w:sz w:val="24"/>
          <w:szCs w:val="24"/>
          <w:highlight w:val="none"/>
        </w:rPr>
        <w:t>2.15备品备件</w:t>
      </w:r>
      <w:bookmarkEnd w:id="58"/>
      <w:bookmarkEnd w:id="59"/>
      <w:bookmarkEnd w:id="60"/>
      <w:bookmarkEnd w:id="61"/>
      <w:bookmarkEnd w:id="62"/>
      <w:bookmarkEnd w:id="63"/>
    </w:p>
    <w:p w14:paraId="646885E7">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2.15.1正如合同条款所规定，卖方可能被要求提供下列与备品备件有关的材料、通知和资料：</w:t>
      </w:r>
    </w:p>
    <w:p w14:paraId="5936779B">
      <w:pPr>
        <w:keepNext w:val="0"/>
        <w:keepLines w:val="0"/>
        <w:pageBreakBefore w:val="0"/>
        <w:numPr>
          <w:ilvl w:val="0"/>
          <w:numId w:val="5"/>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买方从卖方选购备品备件，但前提条件是该选择并不能免除卖方在合同质量保证期内所承担的义务；</w:t>
      </w:r>
    </w:p>
    <w:p w14:paraId="534D6B63">
      <w:pPr>
        <w:keepNext w:val="0"/>
        <w:keepLines w:val="0"/>
        <w:pageBreakBefore w:val="0"/>
        <w:numPr>
          <w:ilvl w:val="0"/>
          <w:numId w:val="5"/>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在备品备件停止生产的情况下，卖方应事先将要停止生产的计划通知买方使买方有足够的时间采购所需的备品备件；</w:t>
      </w:r>
    </w:p>
    <w:p w14:paraId="15A9A7BE">
      <w:pPr>
        <w:keepNext w:val="0"/>
        <w:keepLines w:val="0"/>
        <w:pageBreakBefore w:val="0"/>
        <w:numPr>
          <w:ilvl w:val="0"/>
          <w:numId w:val="5"/>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在备品备件停止生产后，如果买方要求，免费向买方提供备品备件的蓝图、图纸和规格。</w:t>
      </w:r>
    </w:p>
    <w:p w14:paraId="31805B40">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2.15.2备品备件以各方确认的供货清单为准。</w:t>
      </w:r>
    </w:p>
    <w:p w14:paraId="73ED81C1">
      <w:pPr>
        <w:keepNext w:val="0"/>
        <w:keepLines w:val="0"/>
        <w:pageBreakBefore w:val="0"/>
        <w:tabs>
          <w:tab w:val="left" w:pos="720"/>
          <w:tab w:val="left" w:pos="900"/>
        </w:tabs>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bCs/>
          <w:sz w:val="24"/>
          <w:szCs w:val="24"/>
          <w:highlight w:val="none"/>
        </w:rPr>
      </w:pPr>
      <w:bookmarkStart w:id="64" w:name="_Toc91477319"/>
      <w:bookmarkStart w:id="65" w:name="_Toc469850100"/>
      <w:bookmarkStart w:id="66" w:name="_Toc89058584"/>
      <w:bookmarkStart w:id="67" w:name="_Toc89586945"/>
      <w:bookmarkStart w:id="68" w:name="_Toc91030068"/>
      <w:bookmarkStart w:id="69" w:name="_Toc91668531"/>
      <w:r>
        <w:rPr>
          <w:rFonts w:hint="eastAsia" w:ascii="仿宋" w:hAnsi="仿宋" w:eastAsia="仿宋" w:cs="仿宋"/>
          <w:b/>
          <w:bCs/>
          <w:sz w:val="24"/>
          <w:szCs w:val="24"/>
          <w:highlight w:val="none"/>
        </w:rPr>
        <w:t>2.16质量保证</w:t>
      </w:r>
      <w:bookmarkEnd w:id="64"/>
      <w:bookmarkEnd w:id="65"/>
      <w:bookmarkEnd w:id="66"/>
      <w:bookmarkEnd w:id="67"/>
      <w:bookmarkEnd w:id="68"/>
      <w:bookmarkEnd w:id="69"/>
    </w:p>
    <w:p w14:paraId="1CA5E4A5">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2.16.1卖方应保证合同项下所供货物是全新的、未使用过的，是最新或目前的型号，除非合同另有规定，货物应含有设计上和材料的全部最新改进。卖方进一步保证，合同项下提供的全部货物及其集成没有设计、材料和工艺上的缺陷、瑕疵（由于按买方的要求设计或按买方的规格提供的材料所产生的缺陷除外），或者没有因卖方的行为或疏忽而产生的缺陷、瑕疵，这些缺陷、瑕疵是所供货物在最终目的地国家现行条件下正常使用可能产生的，货物保用</w:t>
      </w:r>
      <w:r>
        <w:rPr>
          <w:rFonts w:hint="eastAsia" w:ascii="仿宋" w:hAnsi="仿宋" w:eastAsia="仿宋" w:cs="仿宋"/>
          <w:color w:val="000000"/>
          <w:sz w:val="24"/>
          <w:szCs w:val="24"/>
          <w:highlight w:val="none"/>
        </w:rPr>
        <w:t>期为</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sz w:val="24"/>
          <w:szCs w:val="24"/>
          <w:highlight w:val="none"/>
        </w:rPr>
        <w:t>年。为此目的，定义下述适用规则：</w:t>
      </w:r>
    </w:p>
    <w:p w14:paraId="40C320D1">
      <w:pPr>
        <w:keepNext w:val="0"/>
        <w:keepLines w:val="0"/>
        <w:pageBreakBefore w:val="0"/>
        <w:numPr>
          <w:ilvl w:val="0"/>
          <w:numId w:val="6"/>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货物保用期内，卖方应当对所</w:t>
      </w:r>
      <w:bookmarkStart w:id="160" w:name="_GoBack"/>
      <w:bookmarkEnd w:id="160"/>
      <w:r>
        <w:rPr>
          <w:rFonts w:hint="eastAsia" w:ascii="仿宋" w:hAnsi="仿宋" w:eastAsia="仿宋" w:cs="仿宋"/>
          <w:sz w:val="24"/>
          <w:szCs w:val="24"/>
          <w:highlight w:val="none"/>
        </w:rPr>
        <w:t>供货物之全部或部分因自身在设计、材料和工艺上以及因卖方的行为或疏忽而产生的任何缺陷、瑕疵所直接产生的人身、财产损害，承担损害赔偿责任。</w:t>
      </w:r>
    </w:p>
    <w:p w14:paraId="5403B89F">
      <w:pPr>
        <w:keepNext w:val="0"/>
        <w:keepLines w:val="0"/>
        <w:pageBreakBefore w:val="0"/>
        <w:numPr>
          <w:ilvl w:val="0"/>
          <w:numId w:val="6"/>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货物保用期内，所供货物之主机、核心部分不能够满足货物产品使用说明书和/或合同规定的性能和效用，卖方应当对所供货物之主机、核心部分因自身在设计、材料和工艺上以及因卖方的行为或疏忽而产生的任何缺陷、瑕疵进行免费的维修、更换。</w:t>
      </w:r>
    </w:p>
    <w:p w14:paraId="2A97079E">
      <w:pPr>
        <w:keepNext w:val="0"/>
        <w:keepLines w:val="0"/>
        <w:pageBreakBefore w:val="0"/>
        <w:numPr>
          <w:ilvl w:val="0"/>
          <w:numId w:val="6"/>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质量保证期内，所供货物之全部或部分不能够满足货物产品使用说明书和/或合同规定的性能和效用，除非买方同意卖方免费进行维修外，卖方应当对所供货物之全部或部分因自身在设计、材料和工艺上以及因卖方的行为或疏忽而产生的任何缺陷、瑕疵进行免费的更换或同意买方退货。</w:t>
      </w:r>
    </w:p>
    <w:p w14:paraId="299876A1">
      <w:pPr>
        <w:keepNext w:val="0"/>
        <w:keepLines w:val="0"/>
        <w:pageBreakBefore w:val="0"/>
        <w:numPr>
          <w:ilvl w:val="0"/>
          <w:numId w:val="6"/>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质量保证期内，因正常磨损导致所供货物之主机、核心部分不能够满足货物产品使用说明书和/或合同规定的性能和效用时，卖方应负责免费维修。</w:t>
      </w:r>
    </w:p>
    <w:p w14:paraId="783127DD">
      <w:pPr>
        <w:keepNext w:val="0"/>
        <w:keepLines w:val="0"/>
        <w:pageBreakBefore w:val="0"/>
        <w:numPr>
          <w:ilvl w:val="0"/>
          <w:numId w:val="6"/>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质量保证期内，因买方违规操作、擅自拆卸维修、不可抗力导致所供货物之全部或部分不能够满足货物产品使用说明书和/或合同规定的性能和效用时，卖方将提供有偿的售后服务，但收费标准应当不高于卖方向中国大陆提供此类或同类服务市场价格的50%。</w:t>
      </w:r>
    </w:p>
    <w:p w14:paraId="4EB9C7BE">
      <w:pPr>
        <w:keepNext w:val="0"/>
        <w:keepLines w:val="0"/>
        <w:pageBreakBefore w:val="0"/>
        <w:numPr>
          <w:ilvl w:val="0"/>
          <w:numId w:val="6"/>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质量保证期届满后至货物保用期届满前，因买方违规操作、擅自拆卸维修、不可抗力、正常磨损导致所供货物之全部或部分不能够满足货物产品使用说明书和/或合同规定的性能和效用时，卖方将提供有偿的持续售后服务，但收费标准应当不高于卖方向中国大陆提供此类或同类服务的市场价格的90%。</w:t>
      </w:r>
    </w:p>
    <w:p w14:paraId="1B9A6EEF">
      <w:pPr>
        <w:keepNext w:val="0"/>
        <w:keepLines w:val="0"/>
        <w:pageBreakBefore w:val="0"/>
        <w:numPr>
          <w:ilvl w:val="0"/>
          <w:numId w:val="6"/>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货物保用期外，所供货物无论因任何原因不能够满足货物产品使用说明书和/或合同规定的性能和效用时，卖方均无义务向买方提供持续售后服务，但卖方仍有能力提供有偿售后服务的除外。</w:t>
      </w:r>
    </w:p>
    <w:p w14:paraId="5423CA75">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2.16.2买方在质量保证期和货物保用期内就所供货物发现的缺陷、瑕疵，应尽快以书面形式通知卖方。</w:t>
      </w:r>
    </w:p>
    <w:p w14:paraId="46FA83E5">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2.16.3质量保证期应在设备验收合格之日起</w:t>
      </w:r>
      <w:r>
        <w:rPr>
          <w:rFonts w:hint="eastAsia" w:ascii="仿宋" w:hAnsi="仿宋" w:eastAsia="仿宋" w:cs="仿宋"/>
          <w:b/>
          <w:sz w:val="24"/>
          <w:szCs w:val="24"/>
          <w:highlight w:val="none"/>
          <w:u w:val="single"/>
        </w:rPr>
        <w:t>[</w:t>
      </w:r>
      <w:r>
        <w:rPr>
          <w:rFonts w:hint="eastAsia" w:ascii="仿宋" w:hAnsi="仿宋" w:eastAsia="仿宋" w:cs="仿宋"/>
          <w:b/>
          <w:sz w:val="24"/>
          <w:szCs w:val="24"/>
          <w:highlight w:val="none"/>
          <w:u w:val="single"/>
          <w:lang w:val="en-US" w:eastAsia="zh-CN"/>
        </w:rPr>
        <w:t xml:space="preserve"> </w:t>
      </w:r>
      <w:r>
        <w:rPr>
          <w:rFonts w:hint="eastAsia" w:ascii="仿宋" w:hAnsi="仿宋" w:eastAsia="仿宋" w:cs="仿宋"/>
          <w:b/>
          <w:sz w:val="24"/>
          <w:szCs w:val="24"/>
          <w:highlight w:val="none"/>
          <w:u w:val="single"/>
        </w:rPr>
        <w:t>3</w:t>
      </w:r>
      <w:r>
        <w:rPr>
          <w:rFonts w:hint="eastAsia" w:ascii="仿宋" w:hAnsi="仿宋" w:eastAsia="仿宋" w:cs="仿宋"/>
          <w:b/>
          <w:sz w:val="24"/>
          <w:szCs w:val="24"/>
          <w:highlight w:val="none"/>
          <w:u w:val="single"/>
          <w:lang w:val="en-US" w:eastAsia="zh-CN"/>
        </w:rPr>
        <w:t xml:space="preserve"> </w:t>
      </w:r>
      <w:r>
        <w:rPr>
          <w:rFonts w:hint="eastAsia" w:ascii="仿宋" w:hAnsi="仿宋" w:eastAsia="仿宋" w:cs="仿宋"/>
          <w:b/>
          <w:sz w:val="24"/>
          <w:szCs w:val="24"/>
          <w:highlight w:val="none"/>
          <w:u w:val="single"/>
        </w:rPr>
        <w:t>]</w:t>
      </w:r>
      <w:r>
        <w:rPr>
          <w:rFonts w:hint="eastAsia" w:ascii="仿宋" w:hAnsi="仿宋" w:eastAsia="仿宋" w:cs="仿宋"/>
          <w:sz w:val="24"/>
          <w:szCs w:val="24"/>
          <w:highlight w:val="none"/>
        </w:rPr>
        <w:t>年内保持有效，如货物制造商对货物质量保证期有更高规定的，则从其规定。货物保用期应自合同货物出产之日起至所供货物的正常设计/使用寿命期限内保持有效。</w:t>
      </w:r>
    </w:p>
    <w:p w14:paraId="301A96EA">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2.16.4卖方收到通知后应在</w:t>
      </w:r>
      <w:r>
        <w:rPr>
          <w:rFonts w:hint="eastAsia" w:ascii="仿宋" w:hAnsi="仿宋" w:eastAsia="仿宋" w:cs="仿宋"/>
          <w:b/>
          <w:sz w:val="24"/>
          <w:szCs w:val="24"/>
          <w:highlight w:val="none"/>
        </w:rPr>
        <w:t>[</w:t>
      </w:r>
      <w:r>
        <w:rPr>
          <w:rFonts w:hint="eastAsia" w:ascii="仿宋" w:hAnsi="仿宋" w:eastAsia="仿宋" w:cs="仿宋"/>
          <w:sz w:val="24"/>
          <w:szCs w:val="24"/>
          <w:highlight w:val="none"/>
        </w:rPr>
        <w:t>合同中所述时间内以合理的速度按照2.16.1条(b)款、(c)款、(d)款的规定维修、更换有缺陷、瑕疵的货物或标准附件、备品备件，被修理或更换的货物或标准附件、备品备件从出厂地至最终目的地的所有运输费、保险费等均由卖方承担</w:t>
      </w:r>
      <w:r>
        <w:rPr>
          <w:rFonts w:hint="eastAsia" w:ascii="仿宋" w:hAnsi="仿宋" w:eastAsia="仿宋" w:cs="仿宋"/>
          <w:b/>
          <w:bCs/>
          <w:sz w:val="24"/>
          <w:szCs w:val="24"/>
          <w:highlight w:val="none"/>
        </w:rPr>
        <w:t>]</w:t>
      </w:r>
      <w:r>
        <w:rPr>
          <w:rFonts w:hint="eastAsia" w:ascii="仿宋" w:hAnsi="仿宋" w:eastAsia="仿宋" w:cs="仿宋"/>
          <w:sz w:val="24"/>
          <w:szCs w:val="24"/>
          <w:highlight w:val="none"/>
        </w:rPr>
        <w:t>。</w:t>
      </w:r>
    </w:p>
    <w:p w14:paraId="6DBFB059">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2.16.5如果卖方收到通知后在合同规定的时间内没有按照2.16.4条的规定以合理的速度弥补缺陷、瑕疵，买方可采取必要的补救措施，但其风险和费用将由卖方承担，买方根据合同规定对卖方行使的其他</w:t>
      </w:r>
      <w:r>
        <w:rPr>
          <w:rFonts w:hint="eastAsia" w:ascii="仿宋" w:hAnsi="仿宋" w:eastAsia="仿宋" w:cs="仿宋"/>
          <w:sz w:val="24"/>
          <w:szCs w:val="24"/>
          <w:highlight w:val="none"/>
          <w:lang w:eastAsia="zh-CN"/>
        </w:rPr>
        <w:t>权利</w:t>
      </w:r>
      <w:r>
        <w:rPr>
          <w:rFonts w:hint="eastAsia" w:ascii="仿宋" w:hAnsi="仿宋" w:eastAsia="仿宋" w:cs="仿宋"/>
          <w:sz w:val="24"/>
          <w:szCs w:val="24"/>
          <w:highlight w:val="none"/>
        </w:rPr>
        <w:t>不受影响。</w:t>
      </w:r>
    </w:p>
    <w:p w14:paraId="34D635B1">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bCs/>
          <w:sz w:val="24"/>
          <w:szCs w:val="24"/>
          <w:highlight w:val="none"/>
        </w:rPr>
      </w:pPr>
      <w:bookmarkStart w:id="70" w:name="_Toc89058585"/>
      <w:bookmarkStart w:id="71" w:name="_Toc91030069"/>
      <w:bookmarkStart w:id="72" w:name="_Toc91668532"/>
      <w:bookmarkStart w:id="73" w:name="_Toc91477320"/>
      <w:bookmarkStart w:id="74" w:name="_Toc89586946"/>
      <w:bookmarkStart w:id="75" w:name="_Toc469850101"/>
      <w:r>
        <w:rPr>
          <w:rFonts w:hint="eastAsia" w:ascii="仿宋" w:hAnsi="仿宋" w:eastAsia="仿宋" w:cs="仿宋"/>
          <w:b/>
          <w:bCs/>
          <w:sz w:val="24"/>
          <w:szCs w:val="24"/>
          <w:highlight w:val="none"/>
        </w:rPr>
        <w:t>2.17违约行为及索赔</w:t>
      </w:r>
      <w:bookmarkEnd w:id="70"/>
      <w:bookmarkEnd w:id="71"/>
      <w:bookmarkEnd w:id="72"/>
      <w:bookmarkEnd w:id="73"/>
      <w:bookmarkEnd w:id="74"/>
      <w:bookmarkEnd w:id="75"/>
    </w:p>
    <w:p w14:paraId="78DE8877">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bCs/>
          <w:sz w:val="24"/>
          <w:szCs w:val="24"/>
          <w:highlight w:val="none"/>
        </w:rPr>
      </w:pPr>
      <w:r>
        <w:rPr>
          <w:rFonts w:hint="eastAsia" w:ascii="仿宋" w:hAnsi="仿宋" w:eastAsia="仿宋" w:cs="仿宋"/>
          <w:bCs/>
          <w:sz w:val="24"/>
          <w:szCs w:val="24"/>
          <w:highlight w:val="none"/>
        </w:rPr>
        <w:t>2.17.1卖方违反本合同条款项下已向买方做出之义务、责任、保证，包括但不限于货物技术规格、交货期限及方式、检验、安装、调试、验收、质量保证期、伴随服务、相关声明与保证等，均被视为违约行为，在买方向其提出索赔要求时，卖方应承担由此造成的一切损失。</w:t>
      </w:r>
    </w:p>
    <w:p w14:paraId="3B0101E5">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bCs/>
          <w:sz w:val="24"/>
          <w:szCs w:val="24"/>
          <w:highlight w:val="none"/>
        </w:rPr>
      </w:pPr>
      <w:r>
        <w:rPr>
          <w:rFonts w:hint="eastAsia" w:ascii="仿宋" w:hAnsi="仿宋" w:eastAsia="仿宋" w:cs="仿宋"/>
          <w:bCs/>
          <w:sz w:val="24"/>
          <w:szCs w:val="24"/>
          <w:highlight w:val="none"/>
        </w:rPr>
        <w:t>2.17.2就卖方履约迟延之违约行为，买方有权从合同价中扣除误期赔偿费。每延误一周（不足一周以一周计）的赔偿费按迟交货物相应价款的百分之零点五计收，直至卖方实际交货之日止。误期赔偿费的最高限额为合同价的百分之五。一旦达到误期赔偿费的最高限额，买方有权选择终止合同之履行，并要求卖方承担由此造成的其他损失。</w:t>
      </w:r>
    </w:p>
    <w:p w14:paraId="637BF7D5">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2.17.3就卖方有关质量保证之违约行为，根据买方检验结果，如果卖方所供货物的数量、质量或规格与合同不符，或证实货物是有缺陷的，包括潜在缺陷或使用不符合要求的材料等，买方在合同条款第2.16条或合同的其他地方规定的检验、安装、调试、验收和质量保证期内提出了索赔，卖方应按照买方同意的下列一种或几种方式结合起来解决索赔事宜： </w:t>
      </w:r>
    </w:p>
    <w:p w14:paraId="7A577835">
      <w:pPr>
        <w:keepNext w:val="0"/>
        <w:keepLines w:val="0"/>
        <w:pageBreakBefore w:val="0"/>
        <w:numPr>
          <w:ilvl w:val="0"/>
          <w:numId w:val="7"/>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bCs/>
          <w:sz w:val="24"/>
          <w:szCs w:val="24"/>
          <w:highlight w:val="none"/>
        </w:rPr>
      </w:pPr>
      <w:r>
        <w:rPr>
          <w:rFonts w:hint="eastAsia" w:ascii="仿宋" w:hAnsi="仿宋" w:eastAsia="仿宋" w:cs="仿宋"/>
          <w:bCs/>
          <w:sz w:val="24"/>
          <w:szCs w:val="24"/>
          <w:highlight w:val="none"/>
        </w:rPr>
        <w:t>卖方同意退货并用合同规定的货币将相应货款退还给买方，并承担由此发生的一切损失和费用，包括利息、银行手续费、运费、保险费、检验费、仓储费、装卸费以及为看管和保护退回货物所需的其它必要费用。</w:t>
      </w:r>
    </w:p>
    <w:p w14:paraId="181BFF04">
      <w:pPr>
        <w:keepNext w:val="0"/>
        <w:keepLines w:val="0"/>
        <w:pageBreakBefore w:val="0"/>
        <w:numPr>
          <w:ilvl w:val="0"/>
          <w:numId w:val="7"/>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bCs/>
          <w:sz w:val="24"/>
          <w:szCs w:val="24"/>
          <w:highlight w:val="none"/>
        </w:rPr>
      </w:pPr>
      <w:r>
        <w:rPr>
          <w:rFonts w:hint="eastAsia" w:ascii="仿宋" w:hAnsi="仿宋" w:eastAsia="仿宋" w:cs="仿宋"/>
          <w:bCs/>
          <w:sz w:val="24"/>
          <w:szCs w:val="24"/>
          <w:highlight w:val="none"/>
        </w:rPr>
        <w:t>根据货物的偏差情况、损坏程度等卖方违约情节以及买方所遭受损失的实际情况，经买方、卖方双方商定降低货物的价格。</w:t>
      </w:r>
    </w:p>
    <w:p w14:paraId="2237060A">
      <w:pPr>
        <w:keepNext w:val="0"/>
        <w:keepLines w:val="0"/>
        <w:pageBreakBefore w:val="0"/>
        <w:numPr>
          <w:ilvl w:val="0"/>
          <w:numId w:val="7"/>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bCs/>
          <w:sz w:val="24"/>
          <w:szCs w:val="24"/>
          <w:highlight w:val="none"/>
        </w:rPr>
      </w:pPr>
      <w:r>
        <w:rPr>
          <w:rFonts w:hint="eastAsia" w:ascii="仿宋" w:hAnsi="仿宋" w:eastAsia="仿宋" w:cs="仿宋"/>
          <w:bCs/>
          <w:sz w:val="24"/>
          <w:szCs w:val="24"/>
          <w:highlight w:val="none"/>
        </w:rPr>
        <w:t>用符合合同规定的技术规格、质量和性能要求的新软件、零件、部件来更换有缺陷的部分和/或修补缺陷部分，卖方应承担一切损失、费用和风险。同时，卖方应相应延长所更换货物的质量保证期。</w:t>
      </w:r>
    </w:p>
    <w:p w14:paraId="6ADD76C0">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bCs/>
          <w:sz w:val="24"/>
          <w:szCs w:val="24"/>
          <w:highlight w:val="none"/>
        </w:rPr>
      </w:pPr>
      <w:r>
        <w:rPr>
          <w:rFonts w:hint="eastAsia" w:ascii="仿宋" w:hAnsi="仿宋" w:eastAsia="仿宋" w:cs="仿宋"/>
          <w:bCs/>
          <w:sz w:val="24"/>
          <w:szCs w:val="24"/>
          <w:highlight w:val="none"/>
        </w:rPr>
        <w:t>2.17.4如果在买方发出索赔通知后三十天内，卖方未作答复，上述索赔应视为已被卖方接受。如卖方未能在买方发出索赔通知后三十天内或买方同意的延长期限内，按照买方选择的方法解决索赔事宜，买方有权直接从未付货款及/或从履约保证金中扣回索赔金额之全部及/或部分。</w:t>
      </w:r>
    </w:p>
    <w:p w14:paraId="26147206">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bCs/>
          <w:sz w:val="24"/>
          <w:szCs w:val="24"/>
          <w:highlight w:val="none"/>
        </w:rPr>
      </w:pPr>
      <w:bookmarkStart w:id="76" w:name="_Toc89586949"/>
      <w:bookmarkStart w:id="77" w:name="_Toc91030072"/>
      <w:bookmarkStart w:id="78" w:name="_Toc89058588"/>
      <w:bookmarkStart w:id="79" w:name="_Toc91477323"/>
      <w:bookmarkStart w:id="80" w:name="_Toc91668535"/>
      <w:r>
        <w:rPr>
          <w:rFonts w:hint="eastAsia" w:ascii="仿宋" w:hAnsi="仿宋" w:eastAsia="仿宋" w:cs="仿宋"/>
          <w:b/>
          <w:bCs/>
          <w:sz w:val="24"/>
          <w:szCs w:val="24"/>
          <w:highlight w:val="none"/>
        </w:rPr>
        <w:t>2.18变更指令</w:t>
      </w:r>
      <w:bookmarkEnd w:id="76"/>
      <w:bookmarkEnd w:id="77"/>
      <w:bookmarkEnd w:id="78"/>
      <w:bookmarkEnd w:id="79"/>
      <w:bookmarkEnd w:id="80"/>
    </w:p>
    <w:p w14:paraId="3A68A69C">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2.18.1买方有权在任何时候书面向卖方发出指令，在本合同的一般范围内变更下述一项或几项：</w:t>
      </w:r>
    </w:p>
    <w:p w14:paraId="5FBD83AF">
      <w:pPr>
        <w:keepNext w:val="0"/>
        <w:keepLines w:val="0"/>
        <w:pageBreakBefore w:val="0"/>
        <w:numPr>
          <w:ilvl w:val="0"/>
          <w:numId w:val="8"/>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本合同项下提供的货物是专为买方制造时，变更图纸、设计或规格；</w:t>
      </w:r>
    </w:p>
    <w:p w14:paraId="068FF5F1">
      <w:pPr>
        <w:keepNext w:val="0"/>
        <w:keepLines w:val="0"/>
        <w:pageBreakBefore w:val="0"/>
        <w:numPr>
          <w:ilvl w:val="0"/>
          <w:numId w:val="8"/>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运输或包装的方法；</w:t>
      </w:r>
    </w:p>
    <w:p w14:paraId="438A6A9E">
      <w:pPr>
        <w:keepNext w:val="0"/>
        <w:keepLines w:val="0"/>
        <w:pageBreakBefore w:val="0"/>
        <w:numPr>
          <w:ilvl w:val="0"/>
          <w:numId w:val="8"/>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交货地点；</w:t>
      </w:r>
    </w:p>
    <w:p w14:paraId="2083E093">
      <w:pPr>
        <w:keepNext w:val="0"/>
        <w:keepLines w:val="0"/>
        <w:pageBreakBefore w:val="0"/>
        <w:numPr>
          <w:ilvl w:val="0"/>
          <w:numId w:val="8"/>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交货时间；</w:t>
      </w:r>
    </w:p>
    <w:p w14:paraId="7FD0D475">
      <w:pPr>
        <w:keepNext w:val="0"/>
        <w:keepLines w:val="0"/>
        <w:pageBreakBefore w:val="0"/>
        <w:numPr>
          <w:ilvl w:val="0"/>
          <w:numId w:val="8"/>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卖方提供的伴随服务。</w:t>
      </w:r>
    </w:p>
    <w:p w14:paraId="04192A3A">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2.18.2卖方应当对买方的上述变更指令及时作出响应，</w:t>
      </w:r>
      <w:r>
        <w:rPr>
          <w:rFonts w:hint="eastAsia" w:ascii="仿宋" w:hAnsi="仿宋" w:eastAsia="仿宋" w:cs="仿宋"/>
          <w:kern w:val="0"/>
          <w:sz w:val="24"/>
          <w:szCs w:val="24"/>
          <w:highlight w:val="none"/>
        </w:rPr>
        <w:t>如果上述变更使卖方履行合同义务的费用或时间增加或减少，协议各方将对合同价款或交货时间进行公平的调整，同时相应修改合同。但如果上述变更使卖方履行合同义务的时间增加不超过30日或增加的费用不超过分项报价的1%且累计不超过合同价款的0.5%，则买方无需向卖方作出任何补偿。</w:t>
      </w:r>
      <w:r>
        <w:rPr>
          <w:rFonts w:hint="eastAsia" w:ascii="仿宋" w:hAnsi="仿宋" w:eastAsia="仿宋" w:cs="仿宋"/>
          <w:sz w:val="24"/>
          <w:szCs w:val="24"/>
          <w:highlight w:val="none"/>
        </w:rPr>
        <w:t>卖方根据本条进行调整的要求必须在收到买方的变更指令后三十(30)日内提出，否则视为放弃要求调整的权利。</w:t>
      </w:r>
    </w:p>
    <w:p w14:paraId="1A91A1BC">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bCs/>
          <w:sz w:val="24"/>
          <w:szCs w:val="24"/>
          <w:highlight w:val="none"/>
        </w:rPr>
      </w:pPr>
      <w:bookmarkStart w:id="81" w:name="_Toc89586950"/>
      <w:bookmarkStart w:id="82" w:name="_Toc469850104"/>
      <w:bookmarkStart w:id="83" w:name="_Toc91668536"/>
      <w:bookmarkStart w:id="84" w:name="_Toc89058589"/>
      <w:bookmarkStart w:id="85" w:name="_Toc91030073"/>
      <w:bookmarkStart w:id="86" w:name="_Toc91477324"/>
      <w:r>
        <w:rPr>
          <w:rFonts w:hint="eastAsia" w:ascii="仿宋" w:hAnsi="仿宋" w:eastAsia="仿宋" w:cs="仿宋"/>
          <w:b/>
          <w:bCs/>
          <w:sz w:val="24"/>
          <w:szCs w:val="24"/>
          <w:highlight w:val="none"/>
        </w:rPr>
        <w:t>2.19合同修改</w:t>
      </w:r>
      <w:bookmarkEnd w:id="81"/>
      <w:bookmarkEnd w:id="82"/>
      <w:bookmarkEnd w:id="83"/>
      <w:bookmarkEnd w:id="84"/>
      <w:bookmarkEnd w:id="85"/>
      <w:bookmarkEnd w:id="86"/>
    </w:p>
    <w:p w14:paraId="72AB0F9E">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2.19.1任何对合同条款的变更或修改均须协议各方签订书面的合同修改书。</w:t>
      </w:r>
    </w:p>
    <w:p w14:paraId="55B8C99C">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bCs/>
          <w:sz w:val="24"/>
          <w:szCs w:val="24"/>
          <w:highlight w:val="none"/>
        </w:rPr>
      </w:pPr>
      <w:bookmarkStart w:id="87" w:name="_Toc89058590"/>
      <w:bookmarkStart w:id="88" w:name="_Toc91477325"/>
      <w:bookmarkStart w:id="89" w:name="_Toc91668537"/>
      <w:bookmarkStart w:id="90" w:name="_Toc469850105"/>
      <w:bookmarkStart w:id="91" w:name="_Toc91030074"/>
      <w:bookmarkStart w:id="92" w:name="_Toc89586951"/>
      <w:r>
        <w:rPr>
          <w:rFonts w:hint="eastAsia" w:ascii="仿宋" w:hAnsi="仿宋" w:eastAsia="仿宋" w:cs="仿宋"/>
          <w:b/>
          <w:bCs/>
          <w:sz w:val="24"/>
          <w:szCs w:val="24"/>
          <w:highlight w:val="none"/>
        </w:rPr>
        <w:t>2.20转让</w:t>
      </w:r>
      <w:bookmarkEnd w:id="87"/>
      <w:bookmarkEnd w:id="88"/>
      <w:bookmarkEnd w:id="89"/>
      <w:bookmarkEnd w:id="90"/>
      <w:bookmarkEnd w:id="91"/>
      <w:bookmarkEnd w:id="92"/>
    </w:p>
    <w:p w14:paraId="7C55B5AD">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b/>
          <w:bCs/>
          <w:sz w:val="24"/>
          <w:szCs w:val="24"/>
          <w:highlight w:val="none"/>
        </w:rPr>
      </w:pPr>
      <w:r>
        <w:rPr>
          <w:rFonts w:hint="eastAsia" w:ascii="仿宋" w:hAnsi="仿宋" w:eastAsia="仿宋" w:cs="仿宋"/>
          <w:sz w:val="24"/>
          <w:szCs w:val="24"/>
          <w:highlight w:val="none"/>
        </w:rPr>
        <w:t>2.20.1除买方事先书面同意外，卖方不得部分转让或全部转让其应履行的合同义务。</w:t>
      </w:r>
    </w:p>
    <w:p w14:paraId="75F16A2F">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2.20.2除买方应承担的付款义务外，卖方同意买方根据自己的不时之需将其在本合同项下的权利义务部分或全部转让给买方指定的最终用户，其中买方在本合同项下享有和承担的与货物检验、测试、索赔、验收有关的权利和义务自本合同生效之日起转移至最终用户，买方在本合同项下享有和承担的其他权利义务自货物最终验收合格之日起全部转移至最终用户。</w:t>
      </w:r>
    </w:p>
    <w:p w14:paraId="2E0BB380">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bCs/>
          <w:sz w:val="24"/>
          <w:szCs w:val="24"/>
          <w:highlight w:val="none"/>
        </w:rPr>
      </w:pPr>
      <w:bookmarkStart w:id="93" w:name="_Toc91668538"/>
      <w:bookmarkStart w:id="94" w:name="_Toc91030075"/>
      <w:bookmarkStart w:id="95" w:name="_Toc91477326"/>
      <w:bookmarkStart w:id="96" w:name="_Toc89586952"/>
      <w:bookmarkStart w:id="97" w:name="_Toc469850106"/>
      <w:bookmarkStart w:id="98" w:name="_Toc89058591"/>
      <w:r>
        <w:rPr>
          <w:rFonts w:hint="eastAsia" w:ascii="仿宋" w:hAnsi="仿宋" w:eastAsia="仿宋" w:cs="仿宋"/>
          <w:b/>
          <w:bCs/>
          <w:sz w:val="24"/>
          <w:szCs w:val="24"/>
          <w:highlight w:val="none"/>
        </w:rPr>
        <w:t>2.21分包</w:t>
      </w:r>
      <w:bookmarkEnd w:id="93"/>
      <w:bookmarkEnd w:id="94"/>
      <w:bookmarkEnd w:id="95"/>
      <w:bookmarkEnd w:id="96"/>
      <w:bookmarkEnd w:id="97"/>
      <w:bookmarkEnd w:id="98"/>
    </w:p>
    <w:p w14:paraId="082D021C">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2.21.1在本合同签订时，卖方应书面通知买方其在本合同中所分包的全部分包商，分包商的名单应作为合同的一部分，并要得到买方的确认，不经买方同意不可以变更，但此分包通知并不能解除卖方履行本合同的责任和义务，卖方有义务为所有分包商的行为和责任向买方承担个别及连带责任。</w:t>
      </w:r>
    </w:p>
    <w:p w14:paraId="013D04A8">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bCs/>
          <w:sz w:val="24"/>
          <w:szCs w:val="24"/>
          <w:highlight w:val="none"/>
        </w:rPr>
      </w:pPr>
      <w:bookmarkStart w:id="99" w:name="_Toc91668539"/>
      <w:bookmarkStart w:id="100" w:name="_Toc89058592"/>
      <w:bookmarkStart w:id="101" w:name="_Toc91030076"/>
      <w:bookmarkStart w:id="102" w:name="_Toc469850107"/>
      <w:bookmarkStart w:id="103" w:name="_Toc91477327"/>
      <w:bookmarkStart w:id="104" w:name="_Toc89586953"/>
      <w:r>
        <w:rPr>
          <w:rFonts w:hint="eastAsia" w:ascii="仿宋" w:hAnsi="仿宋" w:eastAsia="仿宋" w:cs="仿宋"/>
          <w:b/>
          <w:sz w:val="24"/>
          <w:szCs w:val="24"/>
          <w:highlight w:val="none"/>
        </w:rPr>
        <w:t>2.22</w:t>
      </w:r>
      <w:r>
        <w:rPr>
          <w:rFonts w:hint="eastAsia" w:ascii="仿宋" w:hAnsi="仿宋" w:eastAsia="仿宋" w:cs="仿宋"/>
          <w:b/>
          <w:bCs/>
          <w:sz w:val="24"/>
          <w:szCs w:val="24"/>
          <w:highlight w:val="none"/>
        </w:rPr>
        <w:t>卖方履约延误</w:t>
      </w:r>
      <w:bookmarkEnd w:id="99"/>
      <w:bookmarkEnd w:id="100"/>
      <w:bookmarkEnd w:id="101"/>
      <w:bookmarkEnd w:id="102"/>
      <w:bookmarkEnd w:id="103"/>
      <w:bookmarkEnd w:id="104"/>
    </w:p>
    <w:p w14:paraId="22485B17">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2.22.1卖方应按照“货物需求一览表”或本合同中买方规定的时间表交货和提供服务。</w:t>
      </w:r>
    </w:p>
    <w:p w14:paraId="1EF0AD6C">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2.22.2在履行合同过程中，如果卖方及其分包人遇到妨碍按时交货和提供服务的情况时，应及时以书面形式将拖延的事实、可能拖延的时间和原因通知买方。买方在收到卖方通知后，应尽快对情况进行评价，并确定是否酌情延长交货时间和提供服务以及是否收取误期赔偿费。延期应通过修改合同的方式由协议各方认可。</w:t>
      </w:r>
    </w:p>
    <w:p w14:paraId="584C1931">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2.22.3除了合同条款第2.23条的情况外，除非延期是根据合同条款第2.22.2条的规定取得同意而不收取误期赔偿费之外，卖方拖延交货和提供服务，将按合同条款第2.17.2条的规定被收取误期赔偿费。</w:t>
      </w:r>
      <w:bookmarkStart w:id="105" w:name="_Toc89058593"/>
      <w:bookmarkStart w:id="106" w:name="_Toc91030077"/>
      <w:bookmarkStart w:id="107" w:name="_Toc89586954"/>
      <w:bookmarkStart w:id="108" w:name="_Toc469850108"/>
      <w:bookmarkStart w:id="109" w:name="_Toc91668540"/>
      <w:bookmarkStart w:id="110" w:name="_Toc91477328"/>
    </w:p>
    <w:bookmarkEnd w:id="105"/>
    <w:bookmarkEnd w:id="106"/>
    <w:bookmarkEnd w:id="107"/>
    <w:bookmarkEnd w:id="108"/>
    <w:bookmarkEnd w:id="109"/>
    <w:bookmarkEnd w:id="110"/>
    <w:p w14:paraId="7CC40B77">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2.23不可抗力</w:t>
      </w:r>
    </w:p>
    <w:p w14:paraId="68357296">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2.23.1协议各方任一方由于受不可抗力事件的影响而不能执行合同时，履行合同的期限应予以延长，其延长的期限应相当于事件所影响的时间。不可抗力事件系指协议各方在缔结合同时所不能预见的，并且它的发生及其后果是无法避免和无法克服的事件，诸如战争、严重火灾、洪水、台风、地震等，以及各方同意的其他不可抗力事件。在此，协议各方同意将政府采购计划和预算的变更视为不可抗力，即合同签订后至卖方履行交货义务前，中国政府有权部门调整采购计划或预算而导致采购预算减少或采购任务取消的行为属于不可抗力事件。 </w:t>
      </w:r>
    </w:p>
    <w:p w14:paraId="51A48F2C">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2.23.2如果发生不可抗力事件，任何一方对因不可抗力事件而不能或延迟履行本合同而造成的损害、损失或增加的费用不承担责任，因不可抗力事件而不能或延迟履行本合同不得被视为违反本合同。</w:t>
      </w:r>
    </w:p>
    <w:p w14:paraId="7BE1D85F">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2.23.3受阻一方应在不可抗力事件发生后尽快用电报、传真或电传通知对方，并于事件发生后14日内将有关当局出具的证明文件用邮政特快专递寄给对方审阅确认。一旦不可抗力事件的影响持续90日以上，协议各方应通过友好协商在合理的时间内达成进一步履行合同的协议。在出现政府采购计划和预算变更的情形下，买方有权变更或解除合同而无需对此承担违约责任且不给卖方以任何补偿。</w:t>
      </w:r>
    </w:p>
    <w:p w14:paraId="1EF130E9">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sz w:val="24"/>
          <w:szCs w:val="24"/>
          <w:highlight w:val="none"/>
        </w:rPr>
      </w:pPr>
      <w:r>
        <w:rPr>
          <w:rFonts w:hint="eastAsia" w:ascii="仿宋" w:hAnsi="仿宋" w:eastAsia="仿宋" w:cs="仿宋"/>
          <w:b/>
          <w:bCs/>
          <w:sz w:val="24"/>
          <w:szCs w:val="24"/>
          <w:highlight w:val="none"/>
        </w:rPr>
        <w:t>2.24因违约而终止合同</w:t>
      </w:r>
    </w:p>
    <w:p w14:paraId="4C399E31">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2.24.1在买方对卖方违约而采取的任何补救措施不受影响的情况下，买方有权向卖方发出书面违约通知书，提出终止部分或全部合同且不给卖方任何补偿。此等情形包括：</w:t>
      </w:r>
    </w:p>
    <w:p w14:paraId="47239DC7">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2.24.2卖方未能在合同规定的限期或买方根据合同条款第2.25条的规定同意延长的限期内提供部分或全部货物和/或服务；</w:t>
      </w:r>
    </w:p>
    <w:p w14:paraId="3F5D4752">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2.24.3卖方在合同规定的履行期限届满之前明确表示或者以自己的行为表明无法提供部分或全部货物和/或服务。下述情形应视为卖方无法履行全部或部分合同义务：</w:t>
      </w:r>
    </w:p>
    <w:p w14:paraId="48C2EFA0">
      <w:pPr>
        <w:keepNext w:val="0"/>
        <w:keepLines w:val="0"/>
        <w:pageBreakBefore w:val="0"/>
        <w:numPr>
          <w:ilvl w:val="0"/>
          <w:numId w:val="9"/>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卖方以书面方式向买方表明无法履行全部或部分合同义务；</w:t>
      </w:r>
    </w:p>
    <w:p w14:paraId="6057D927">
      <w:pPr>
        <w:keepNext w:val="0"/>
        <w:keepLines w:val="0"/>
        <w:pageBreakBefore w:val="0"/>
        <w:numPr>
          <w:ilvl w:val="0"/>
          <w:numId w:val="9"/>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卖方未能按照约定进度完成货物生产计划，在买方同意的宽限期内仍无法完成生产计划的；</w:t>
      </w:r>
    </w:p>
    <w:p w14:paraId="2942BC75">
      <w:pPr>
        <w:keepNext w:val="0"/>
        <w:keepLines w:val="0"/>
        <w:pageBreakBefore w:val="0"/>
        <w:numPr>
          <w:ilvl w:val="0"/>
          <w:numId w:val="9"/>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如本合同项下的货物和/或服务需要取得货物来源国的出口许可，卖方在买方规定的期限之前无法获得该许可的。</w:t>
      </w:r>
    </w:p>
    <w:p w14:paraId="5E809370">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2.24.4卖方未能履行合同规定货物质量保证义务及其它任何义务。</w:t>
      </w:r>
    </w:p>
    <w:p w14:paraId="53F88671">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2.24.5买方或中国政府采购管理当局认为卖方在本合同的竞争和实施过程中有腐败和欺诈行为。为此目的，定义下述条件：</w:t>
      </w:r>
    </w:p>
    <w:p w14:paraId="709DBB09">
      <w:pPr>
        <w:keepNext w:val="0"/>
        <w:keepLines w:val="0"/>
        <w:pageBreakBefore w:val="0"/>
        <w:numPr>
          <w:ilvl w:val="0"/>
          <w:numId w:val="10"/>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“腐败行为”是指提供、给予、接受或索取任何有价值的物品来影响公共官员在采购过程或合同实施过程中的行为；</w:t>
      </w:r>
    </w:p>
    <w:p w14:paraId="2F00F775">
      <w:pPr>
        <w:keepNext w:val="0"/>
        <w:keepLines w:val="0"/>
        <w:pageBreakBefore w:val="0"/>
        <w:numPr>
          <w:ilvl w:val="0"/>
          <w:numId w:val="10"/>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“欺诈行为”是指为了影响采购过程或合同实施过程而谎报事实，损害买方的利益。</w:t>
      </w:r>
    </w:p>
    <w:p w14:paraId="239127E3">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b/>
          <w:sz w:val="24"/>
          <w:szCs w:val="24"/>
          <w:highlight w:val="none"/>
        </w:rPr>
      </w:pPr>
      <w:r>
        <w:rPr>
          <w:rFonts w:hint="eastAsia" w:ascii="仿宋" w:hAnsi="仿宋" w:eastAsia="仿宋" w:cs="仿宋"/>
          <w:sz w:val="24"/>
          <w:szCs w:val="24"/>
          <w:highlight w:val="none"/>
        </w:rPr>
        <w:t>2.24.6如果买方根据上述第2.24.1条的规定，终止了全部或部分合同，买方有权依其认为适当的条件和方法购买与未交货物及服务或类似的货物及服务，卖方应对购买类似货物及服务的费用负责。但是，卖方应继续执行合同中未终止的部分。</w:t>
      </w:r>
      <w:r>
        <w:rPr>
          <w:rFonts w:hint="eastAsia" w:ascii="仿宋" w:hAnsi="仿宋" w:eastAsia="仿宋" w:cs="仿宋"/>
          <w:b/>
          <w:sz w:val="24"/>
          <w:szCs w:val="24"/>
          <w:highlight w:val="none"/>
        </w:rPr>
        <w:t xml:space="preserve"> </w:t>
      </w:r>
    </w:p>
    <w:p w14:paraId="30C4AB3C">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bCs/>
          <w:sz w:val="24"/>
          <w:szCs w:val="24"/>
          <w:highlight w:val="none"/>
        </w:rPr>
      </w:pPr>
      <w:bookmarkStart w:id="111" w:name="_Toc89586957"/>
      <w:bookmarkStart w:id="112" w:name="_Toc89058596"/>
      <w:bookmarkStart w:id="113" w:name="_Toc91030080"/>
      <w:bookmarkStart w:id="114" w:name="_Toc91668543"/>
      <w:bookmarkStart w:id="115" w:name="_Toc469850111"/>
      <w:bookmarkStart w:id="116" w:name="_Toc91477331"/>
      <w:r>
        <w:rPr>
          <w:rFonts w:hint="eastAsia" w:ascii="仿宋" w:hAnsi="仿宋" w:eastAsia="仿宋" w:cs="仿宋"/>
          <w:b/>
          <w:bCs/>
          <w:sz w:val="24"/>
          <w:szCs w:val="24"/>
          <w:highlight w:val="none"/>
        </w:rPr>
        <w:t>2.25因破产或其他情形而终止合同</w:t>
      </w:r>
      <w:bookmarkEnd w:id="111"/>
      <w:bookmarkEnd w:id="112"/>
      <w:bookmarkEnd w:id="113"/>
      <w:bookmarkEnd w:id="114"/>
      <w:bookmarkEnd w:id="115"/>
      <w:bookmarkEnd w:id="116"/>
    </w:p>
    <w:p w14:paraId="16DFDBFD">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b/>
          <w:bCs/>
          <w:sz w:val="24"/>
          <w:szCs w:val="24"/>
          <w:highlight w:val="none"/>
        </w:rPr>
      </w:pPr>
      <w:r>
        <w:rPr>
          <w:rFonts w:hint="eastAsia" w:ascii="仿宋" w:hAnsi="仿宋" w:eastAsia="仿宋" w:cs="仿宋"/>
          <w:bCs/>
          <w:sz w:val="24"/>
          <w:szCs w:val="24"/>
          <w:highlight w:val="none"/>
        </w:rPr>
        <w:t>2.25.1</w:t>
      </w:r>
      <w:r>
        <w:rPr>
          <w:rFonts w:hint="eastAsia" w:ascii="仿宋" w:hAnsi="仿宋" w:eastAsia="仿宋" w:cs="仿宋"/>
          <w:sz w:val="24"/>
          <w:szCs w:val="24"/>
          <w:highlight w:val="none"/>
        </w:rPr>
        <w:t>具有下述情形之一的，买方可在任何时候以书面形式通知卖方，提出终止合同而无需对此承担违约责任且不给卖方以任何补偿。该终止合同将不损害或影响买方已经采取或将要采取的任何行动或补救措施的权力：</w:t>
      </w:r>
    </w:p>
    <w:p w14:paraId="2B6668FB">
      <w:pPr>
        <w:keepNext w:val="0"/>
        <w:keepLines w:val="0"/>
        <w:pageBreakBefore w:val="0"/>
        <w:numPr>
          <w:ilvl w:val="0"/>
          <w:numId w:val="11"/>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卖方破产或无清偿能力；</w:t>
      </w:r>
    </w:p>
    <w:p w14:paraId="79B65C28">
      <w:pPr>
        <w:keepNext w:val="0"/>
        <w:keepLines w:val="0"/>
        <w:pageBreakBefore w:val="0"/>
        <w:numPr>
          <w:ilvl w:val="0"/>
          <w:numId w:val="11"/>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卖方及/或货物来源国的政府对中国政府实施贸易禁运；</w:t>
      </w:r>
    </w:p>
    <w:p w14:paraId="4205EE86">
      <w:pPr>
        <w:keepNext w:val="0"/>
        <w:keepLines w:val="0"/>
        <w:pageBreakBefore w:val="0"/>
        <w:numPr>
          <w:ilvl w:val="0"/>
          <w:numId w:val="11"/>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卖方及/或货物制造商被其所在国政府取缔或强制解散；</w:t>
      </w:r>
    </w:p>
    <w:p w14:paraId="7809FE5F">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bCs/>
          <w:sz w:val="24"/>
          <w:szCs w:val="24"/>
          <w:highlight w:val="none"/>
        </w:rPr>
      </w:pPr>
      <w:bookmarkStart w:id="117" w:name="_Toc91030081"/>
      <w:bookmarkStart w:id="118" w:name="_Toc89586958"/>
      <w:bookmarkStart w:id="119" w:name="_Toc91668544"/>
      <w:bookmarkStart w:id="120" w:name="_Toc91477332"/>
      <w:bookmarkStart w:id="121" w:name="_Toc89058597"/>
      <w:bookmarkStart w:id="122" w:name="_Toc469850112"/>
      <w:r>
        <w:rPr>
          <w:rFonts w:hint="eastAsia" w:ascii="仿宋" w:hAnsi="仿宋" w:eastAsia="仿宋" w:cs="仿宋"/>
          <w:b/>
          <w:sz w:val="24"/>
          <w:szCs w:val="24"/>
          <w:highlight w:val="none"/>
        </w:rPr>
        <w:t>2.26</w:t>
      </w:r>
      <w:r>
        <w:rPr>
          <w:rFonts w:hint="eastAsia" w:ascii="仿宋" w:hAnsi="仿宋" w:eastAsia="仿宋" w:cs="仿宋"/>
          <w:b/>
          <w:bCs/>
          <w:sz w:val="24"/>
          <w:szCs w:val="24"/>
          <w:highlight w:val="none"/>
        </w:rPr>
        <w:t>因买方的便利而终止合同</w:t>
      </w:r>
      <w:bookmarkEnd w:id="117"/>
      <w:bookmarkEnd w:id="118"/>
      <w:bookmarkEnd w:id="119"/>
      <w:bookmarkEnd w:id="120"/>
      <w:bookmarkEnd w:id="121"/>
      <w:bookmarkEnd w:id="122"/>
    </w:p>
    <w:p w14:paraId="35BC8967">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2.26.1买方可在任何时候出于自身的便利向卖方发出书面通知全部或部分终止合同，终止通知应明确该终止合同是出于买方的便利，合同终止的程度，以及终止的生效日期。</w:t>
      </w:r>
    </w:p>
    <w:p w14:paraId="1A3DB6F8">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2.26.2对卖方在收到终止通知后十五(15)日内已完成并准备装运的货物，买方应按原合同价款和条款予以接收，对于剩下的货物，买方可：</w:t>
      </w:r>
    </w:p>
    <w:p w14:paraId="01F4E0D0">
      <w:pPr>
        <w:keepNext w:val="0"/>
        <w:keepLines w:val="0"/>
        <w:pageBreakBefore w:val="0"/>
        <w:numPr>
          <w:ilvl w:val="0"/>
          <w:numId w:val="12"/>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仅对部分货物及服务按照原来的合同价款和条款予以接受；或</w:t>
      </w:r>
    </w:p>
    <w:p w14:paraId="5D45F7C1">
      <w:pPr>
        <w:keepNext w:val="0"/>
        <w:keepLines w:val="0"/>
        <w:pageBreakBefore w:val="0"/>
        <w:numPr>
          <w:ilvl w:val="0"/>
          <w:numId w:val="12"/>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取消对所剩货物及服务的采购，并按各方商定的金额向卖方支付部分完成的货物和服务以及卖方以前已采购的备品备件、选购件的费用。</w:t>
      </w:r>
    </w:p>
    <w:p w14:paraId="4CFDCB3C">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2.26.3如买方指定的最终用户在政府采购合同书生效之日起九十（90）日内未能获得中国政府有权部门给予的因履行本合同而必须获得的特许资格(包括但不限于免税、机电产品进口许可等)，则买方有权选择解除合同而无需对此承担违约责任且不给卖方任何补偿。</w:t>
      </w:r>
    </w:p>
    <w:p w14:paraId="19A0052C">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bCs/>
          <w:sz w:val="24"/>
          <w:szCs w:val="24"/>
          <w:highlight w:val="none"/>
        </w:rPr>
      </w:pPr>
      <w:bookmarkStart w:id="123" w:name="_Toc469850113"/>
      <w:bookmarkStart w:id="124" w:name="_Toc91030082"/>
      <w:bookmarkStart w:id="125" w:name="_Toc91477333"/>
      <w:bookmarkStart w:id="126" w:name="_Toc89058598"/>
      <w:bookmarkStart w:id="127" w:name="_Toc89586959"/>
      <w:bookmarkStart w:id="128" w:name="_Toc91668545"/>
      <w:r>
        <w:rPr>
          <w:rFonts w:hint="eastAsia" w:ascii="仿宋" w:hAnsi="仿宋" w:eastAsia="仿宋" w:cs="仿宋"/>
          <w:b/>
          <w:bCs/>
          <w:sz w:val="24"/>
          <w:szCs w:val="24"/>
          <w:highlight w:val="none"/>
        </w:rPr>
        <w:t>2.27争端的解决</w:t>
      </w:r>
      <w:bookmarkEnd w:id="123"/>
      <w:bookmarkEnd w:id="124"/>
      <w:bookmarkEnd w:id="125"/>
      <w:bookmarkEnd w:id="126"/>
      <w:bookmarkEnd w:id="127"/>
      <w:bookmarkEnd w:id="128"/>
    </w:p>
    <w:p w14:paraId="16D87BF9">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lang w:val="zh-CN"/>
        </w:rPr>
      </w:pPr>
      <w:r>
        <w:rPr>
          <w:rFonts w:hint="eastAsia" w:ascii="仿宋" w:hAnsi="仿宋" w:eastAsia="仿宋" w:cs="仿宋"/>
          <w:sz w:val="24"/>
          <w:szCs w:val="24"/>
          <w:highlight w:val="none"/>
        </w:rPr>
        <w:t>2.27.1合同实施或与</w:t>
      </w:r>
      <w:r>
        <w:rPr>
          <w:rFonts w:hint="eastAsia" w:ascii="仿宋" w:hAnsi="仿宋" w:eastAsia="仿宋" w:cs="仿宋"/>
          <w:sz w:val="24"/>
          <w:szCs w:val="24"/>
          <w:highlight w:val="none"/>
          <w:lang w:val="zh-CN"/>
        </w:rPr>
        <w:t>合同有关的一切争端，协议各方应通过协商解决</w:t>
      </w:r>
      <w:r>
        <w:rPr>
          <w:rFonts w:hint="eastAsia" w:ascii="仿宋" w:hAnsi="仿宋" w:eastAsia="仿宋" w:cs="仿宋"/>
          <w:sz w:val="24"/>
          <w:szCs w:val="24"/>
          <w:highlight w:val="none"/>
        </w:rPr>
        <w:t>。如果协商开始后60日内还不能解决，争端应</w:t>
      </w:r>
      <w:r>
        <w:rPr>
          <w:rFonts w:hint="eastAsia" w:ascii="仿宋" w:hAnsi="仿宋" w:eastAsia="仿宋" w:cs="仿宋"/>
          <w:sz w:val="24"/>
          <w:szCs w:val="24"/>
          <w:highlight w:val="none"/>
          <w:lang w:val="zh-CN"/>
        </w:rPr>
        <w:t>提交</w:t>
      </w:r>
      <w:r>
        <w:rPr>
          <w:rFonts w:hint="eastAsia" w:ascii="仿宋" w:hAnsi="仿宋" w:eastAsia="仿宋" w:cs="仿宋"/>
          <w:sz w:val="24"/>
          <w:szCs w:val="24"/>
          <w:highlight w:val="none"/>
          <w:lang w:val="en-US" w:eastAsia="zh-CN"/>
        </w:rPr>
        <w:t>买方</w:t>
      </w:r>
      <w:r>
        <w:rPr>
          <w:rFonts w:hint="eastAsia" w:ascii="仿宋" w:hAnsi="仿宋" w:eastAsia="仿宋" w:cs="仿宋"/>
          <w:sz w:val="24"/>
          <w:szCs w:val="24"/>
          <w:highlight w:val="none"/>
          <w:lang w:val="zh-CN"/>
        </w:rPr>
        <w:t>所在地的人民法院诉讼解决，期间所发生的合理费用依法应当由违约方承担。</w:t>
      </w:r>
    </w:p>
    <w:p w14:paraId="609BE4EA">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2.27.</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所有的</w:t>
      </w:r>
      <w:r>
        <w:rPr>
          <w:rFonts w:hint="eastAsia" w:ascii="仿宋" w:hAnsi="仿宋" w:eastAsia="仿宋" w:cs="仿宋"/>
          <w:sz w:val="24"/>
          <w:szCs w:val="24"/>
          <w:highlight w:val="none"/>
          <w:lang w:val="zh-CN"/>
        </w:rPr>
        <w:t>诉讼</w:t>
      </w:r>
      <w:r>
        <w:rPr>
          <w:rFonts w:hint="eastAsia" w:ascii="仿宋" w:hAnsi="仿宋" w:eastAsia="仿宋" w:cs="仿宋"/>
          <w:sz w:val="24"/>
          <w:szCs w:val="24"/>
          <w:highlight w:val="none"/>
        </w:rPr>
        <w:t>费用，包括但不限于</w:t>
      </w:r>
      <w:r>
        <w:rPr>
          <w:rFonts w:hint="eastAsia" w:ascii="仿宋" w:hAnsi="仿宋" w:eastAsia="仿宋" w:cs="仿宋"/>
          <w:sz w:val="24"/>
          <w:szCs w:val="24"/>
          <w:highlight w:val="none"/>
          <w:lang w:val="zh-CN"/>
        </w:rPr>
        <w:t>诉讼</w:t>
      </w:r>
      <w:r>
        <w:rPr>
          <w:rFonts w:hint="eastAsia" w:ascii="仿宋" w:hAnsi="仿宋" w:eastAsia="仿宋" w:cs="仿宋"/>
          <w:sz w:val="24"/>
          <w:szCs w:val="24"/>
          <w:highlight w:val="none"/>
        </w:rPr>
        <w:t>费、律师费、交通</w:t>
      </w:r>
      <w:r>
        <w:rPr>
          <w:rFonts w:hint="eastAsia" w:ascii="仿宋" w:hAnsi="仿宋" w:eastAsia="仿宋" w:cs="仿宋"/>
          <w:sz w:val="24"/>
          <w:szCs w:val="24"/>
          <w:highlight w:val="none"/>
          <w:lang w:eastAsia="zh-CN"/>
        </w:rPr>
        <w:t>费等</w:t>
      </w:r>
      <w:r>
        <w:rPr>
          <w:rFonts w:hint="eastAsia" w:ascii="仿宋" w:hAnsi="仿宋" w:eastAsia="仿宋" w:cs="仿宋"/>
          <w:sz w:val="24"/>
          <w:szCs w:val="24"/>
          <w:highlight w:val="none"/>
        </w:rPr>
        <w:t>，除</w:t>
      </w:r>
      <w:r>
        <w:rPr>
          <w:rFonts w:hint="eastAsia" w:ascii="仿宋" w:hAnsi="仿宋" w:eastAsia="仿宋" w:cs="仿宋"/>
          <w:sz w:val="24"/>
          <w:szCs w:val="24"/>
          <w:highlight w:val="none"/>
          <w:lang w:val="zh-CN"/>
        </w:rPr>
        <w:t>诉讼</w:t>
      </w:r>
      <w:r>
        <w:rPr>
          <w:rFonts w:hint="eastAsia" w:ascii="仿宋" w:hAnsi="仿宋" w:eastAsia="仿宋" w:cs="仿宋"/>
          <w:sz w:val="24"/>
          <w:szCs w:val="24"/>
          <w:highlight w:val="none"/>
        </w:rPr>
        <w:t>机关另有裁决外均应由败诉方负担。</w:t>
      </w:r>
    </w:p>
    <w:p w14:paraId="4B679496">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2.27.</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在</w:t>
      </w:r>
      <w:r>
        <w:rPr>
          <w:rFonts w:hint="eastAsia" w:ascii="仿宋" w:hAnsi="仿宋" w:eastAsia="仿宋" w:cs="仿宋"/>
          <w:sz w:val="24"/>
          <w:szCs w:val="24"/>
          <w:highlight w:val="none"/>
          <w:lang w:val="zh-CN"/>
        </w:rPr>
        <w:t>诉讼</w:t>
      </w:r>
      <w:r>
        <w:rPr>
          <w:rFonts w:hint="eastAsia" w:ascii="仿宋" w:hAnsi="仿宋" w:eastAsia="仿宋" w:cs="仿宋"/>
          <w:sz w:val="24"/>
          <w:szCs w:val="24"/>
          <w:highlight w:val="none"/>
        </w:rPr>
        <w:t>期间，除正在进行</w:t>
      </w:r>
      <w:r>
        <w:rPr>
          <w:rFonts w:hint="eastAsia" w:ascii="仿宋" w:hAnsi="仿宋" w:eastAsia="仿宋" w:cs="仿宋"/>
          <w:sz w:val="24"/>
          <w:szCs w:val="24"/>
          <w:highlight w:val="none"/>
          <w:lang w:val="zh-CN"/>
        </w:rPr>
        <w:t>诉讼</w:t>
      </w:r>
      <w:r>
        <w:rPr>
          <w:rFonts w:hint="eastAsia" w:ascii="仿宋" w:hAnsi="仿宋" w:eastAsia="仿宋" w:cs="仿宋"/>
          <w:sz w:val="24"/>
          <w:szCs w:val="24"/>
          <w:highlight w:val="none"/>
        </w:rPr>
        <w:t>的部分外，本合同其它部分应继续执行。</w:t>
      </w:r>
    </w:p>
    <w:p w14:paraId="6703DFA3">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bCs/>
          <w:sz w:val="24"/>
          <w:szCs w:val="24"/>
          <w:highlight w:val="none"/>
        </w:rPr>
      </w:pPr>
      <w:bookmarkStart w:id="129" w:name="_Toc91668546"/>
      <w:bookmarkStart w:id="130" w:name="_Toc89058599"/>
      <w:bookmarkStart w:id="131" w:name="_Toc89586960"/>
      <w:bookmarkStart w:id="132" w:name="_Toc469850114"/>
      <w:bookmarkStart w:id="133" w:name="_Toc91477334"/>
      <w:bookmarkStart w:id="134" w:name="_Toc91030083"/>
      <w:r>
        <w:rPr>
          <w:rFonts w:hint="eastAsia" w:ascii="仿宋" w:hAnsi="仿宋" w:eastAsia="仿宋" w:cs="仿宋"/>
          <w:b/>
          <w:bCs/>
          <w:sz w:val="24"/>
          <w:szCs w:val="24"/>
          <w:highlight w:val="none"/>
        </w:rPr>
        <w:t>2.28合同语言</w:t>
      </w:r>
      <w:bookmarkEnd w:id="129"/>
      <w:bookmarkEnd w:id="130"/>
      <w:bookmarkEnd w:id="131"/>
      <w:bookmarkEnd w:id="132"/>
      <w:bookmarkEnd w:id="133"/>
      <w:bookmarkEnd w:id="134"/>
    </w:p>
    <w:p w14:paraId="56BD0F3D">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2.28.1除非协议各方另行同意，本合同语言为中文。各方交换的与合同有关的信件和其他文件可用中文和/或英文分别书写。但当各方就中英文解释发生争议时，应当以中文为准。</w:t>
      </w:r>
    </w:p>
    <w:p w14:paraId="196BFE97">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bCs/>
          <w:sz w:val="24"/>
          <w:szCs w:val="24"/>
          <w:highlight w:val="none"/>
        </w:rPr>
      </w:pPr>
      <w:bookmarkStart w:id="135" w:name="_Toc89586961"/>
      <w:bookmarkStart w:id="136" w:name="_Toc89058600"/>
      <w:bookmarkStart w:id="137" w:name="_Toc91030084"/>
      <w:bookmarkStart w:id="138" w:name="_Toc91668547"/>
      <w:bookmarkStart w:id="139" w:name="_Toc469850115"/>
      <w:bookmarkStart w:id="140" w:name="_Toc91477335"/>
      <w:r>
        <w:rPr>
          <w:rFonts w:hint="eastAsia" w:ascii="仿宋" w:hAnsi="仿宋" w:eastAsia="仿宋" w:cs="仿宋"/>
          <w:b/>
          <w:bCs/>
          <w:sz w:val="24"/>
          <w:szCs w:val="24"/>
          <w:highlight w:val="none"/>
        </w:rPr>
        <w:t>2.29适用法律</w:t>
      </w:r>
      <w:bookmarkEnd w:id="135"/>
      <w:bookmarkEnd w:id="136"/>
      <w:bookmarkEnd w:id="137"/>
      <w:bookmarkEnd w:id="138"/>
      <w:bookmarkEnd w:id="139"/>
      <w:bookmarkEnd w:id="140"/>
    </w:p>
    <w:p w14:paraId="168C5EAA">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2.29.1本合同应按照中华人民共和国的现行法律、行政法规进行解释。</w:t>
      </w:r>
    </w:p>
    <w:p w14:paraId="1DFC10E0">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bCs/>
          <w:sz w:val="24"/>
          <w:szCs w:val="24"/>
          <w:highlight w:val="none"/>
        </w:rPr>
      </w:pPr>
      <w:bookmarkStart w:id="141" w:name="_Toc469850116"/>
      <w:bookmarkStart w:id="142" w:name="_Toc89586962"/>
      <w:bookmarkStart w:id="143" w:name="_Toc89058601"/>
      <w:bookmarkStart w:id="144" w:name="_Toc91668548"/>
      <w:bookmarkStart w:id="145" w:name="_Toc91477336"/>
      <w:bookmarkStart w:id="146" w:name="_Toc91030085"/>
      <w:r>
        <w:rPr>
          <w:rFonts w:hint="eastAsia" w:ascii="仿宋" w:hAnsi="仿宋" w:eastAsia="仿宋" w:cs="仿宋"/>
          <w:b/>
          <w:bCs/>
          <w:sz w:val="24"/>
          <w:szCs w:val="24"/>
          <w:highlight w:val="none"/>
        </w:rPr>
        <w:t>2.30通知</w:t>
      </w:r>
      <w:bookmarkEnd w:id="141"/>
      <w:bookmarkEnd w:id="142"/>
      <w:bookmarkEnd w:id="143"/>
      <w:bookmarkEnd w:id="144"/>
      <w:bookmarkEnd w:id="145"/>
      <w:bookmarkEnd w:id="146"/>
    </w:p>
    <w:p w14:paraId="76848168">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2.30.1除非有更改地址的书面通知，本合同项下的通知应通过专人递送、传真或挂号邮寄的方式按照下列地址和号码发出。通知如果是以挂号邮寄的方式发送，则挂号邮件的回执上记载的签收日期为送达日，如果以专人递送或传真方式发送，则以发送之日起次日为送达日。以传真方式发送的，应在发送后立即将原件以挂号邮寄或专人递送的方式发出。</w:t>
      </w:r>
    </w:p>
    <w:p w14:paraId="330B5B35">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2.30.2合同中标明的协议各方的法定地址为本条所称通知送达的地址。送达该地址即视为对方收到该通知。</w:t>
      </w:r>
    </w:p>
    <w:p w14:paraId="7317FE70">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2.30.3通知以送到日期或通知书的生效日期为生效日期，两者中以晚的一个日期为准。</w:t>
      </w:r>
    </w:p>
    <w:p w14:paraId="0AB47718">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bCs/>
          <w:sz w:val="24"/>
          <w:szCs w:val="24"/>
          <w:highlight w:val="none"/>
        </w:rPr>
      </w:pPr>
      <w:bookmarkStart w:id="147" w:name="_Toc91477337"/>
      <w:bookmarkStart w:id="148" w:name="_Toc89058602"/>
      <w:bookmarkStart w:id="149" w:name="_Toc469850117"/>
      <w:bookmarkStart w:id="150" w:name="_Toc91668549"/>
      <w:bookmarkStart w:id="151" w:name="_Toc91030086"/>
      <w:bookmarkStart w:id="152" w:name="_Toc89586963"/>
      <w:r>
        <w:rPr>
          <w:rFonts w:hint="eastAsia" w:ascii="仿宋" w:hAnsi="仿宋" w:eastAsia="仿宋" w:cs="仿宋"/>
          <w:b/>
          <w:bCs/>
          <w:sz w:val="24"/>
          <w:szCs w:val="24"/>
          <w:highlight w:val="none"/>
        </w:rPr>
        <w:t>2.31税费</w:t>
      </w:r>
      <w:bookmarkEnd w:id="147"/>
      <w:bookmarkEnd w:id="148"/>
      <w:bookmarkEnd w:id="149"/>
      <w:bookmarkEnd w:id="150"/>
      <w:bookmarkEnd w:id="151"/>
      <w:bookmarkEnd w:id="152"/>
    </w:p>
    <w:p w14:paraId="07C4F37F">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2.31.1中国政府根据现行税法对卖方征收的与本合同有关的一切税费均应由卖方负担。</w:t>
      </w:r>
    </w:p>
    <w:p w14:paraId="2166D9E0">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2.31.2中国政府根据现行税法对买方征收的与本合同有关的一切税费均应由买方负担（合同中已规定由卖方支付的税费除外）。</w:t>
      </w:r>
    </w:p>
    <w:p w14:paraId="7A98F435">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2.31.3  在中国境外发生的与本合同执行有关的一切税费均应由卖方负担。</w:t>
      </w:r>
    </w:p>
    <w:p w14:paraId="03939C28">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2.32可分割性</w:t>
      </w:r>
    </w:p>
    <w:p w14:paraId="00B26720">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2.32.1本合同任何条款由于法律的原因而无效不影响本合同中未受行使。</w:t>
      </w:r>
    </w:p>
    <w:p w14:paraId="52A18BD6">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bCs/>
          <w:sz w:val="24"/>
          <w:szCs w:val="24"/>
          <w:highlight w:val="none"/>
        </w:rPr>
      </w:pPr>
      <w:bookmarkStart w:id="153" w:name="_Toc469850118"/>
      <w:bookmarkStart w:id="154" w:name="_Toc91668550"/>
      <w:bookmarkStart w:id="155" w:name="_Toc89058603"/>
      <w:bookmarkStart w:id="156" w:name="_Toc91030087"/>
      <w:bookmarkStart w:id="157" w:name="_Toc91477338"/>
      <w:bookmarkStart w:id="158" w:name="_Toc89586964"/>
      <w:r>
        <w:rPr>
          <w:rFonts w:hint="eastAsia" w:ascii="仿宋" w:hAnsi="仿宋" w:eastAsia="仿宋" w:cs="仿宋"/>
          <w:b/>
          <w:bCs/>
          <w:sz w:val="24"/>
          <w:szCs w:val="24"/>
          <w:highlight w:val="none"/>
        </w:rPr>
        <w:t>2.33合同成立和生效</w:t>
      </w:r>
      <w:bookmarkEnd w:id="153"/>
      <w:bookmarkEnd w:id="154"/>
      <w:bookmarkEnd w:id="155"/>
      <w:bookmarkEnd w:id="156"/>
      <w:bookmarkEnd w:id="157"/>
      <w:bookmarkEnd w:id="158"/>
    </w:p>
    <w:p w14:paraId="481CB124">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2.33.1本合同自协议各方签字盖章之日生效。</w:t>
      </w:r>
    </w:p>
    <w:p w14:paraId="3DCA7CAE">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b/>
          <w:bCs/>
          <w:sz w:val="24"/>
          <w:szCs w:val="24"/>
          <w:highlight w:val="none"/>
        </w:rPr>
      </w:pPr>
      <w:r>
        <w:rPr>
          <w:rFonts w:hint="eastAsia" w:ascii="仿宋" w:hAnsi="仿宋" w:eastAsia="仿宋" w:cs="仿宋"/>
          <w:sz w:val="24"/>
          <w:szCs w:val="24"/>
          <w:highlight w:val="none"/>
        </w:rPr>
        <w:t>该无效条款影响的任何其他条款的有效性。</w:t>
      </w:r>
    </w:p>
    <w:p w14:paraId="31DD880E">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2.32.2买方未行使或延迟行使本合同项下的任何一项权利，不应被解释为放弃该权利；任何单独一次或部分行使一项权利亦不排除将来对该项权利的其他</w:t>
      </w:r>
    </w:p>
    <w:p w14:paraId="71948CF4">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2.34其他</w:t>
      </w:r>
    </w:p>
    <w:p w14:paraId="17A6E558">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2.34.1如果本合同的货物在其所在国需要出口许可证，卖方应负责办理出口许可证，费用自理。 </w:t>
      </w:r>
    </w:p>
    <w:p w14:paraId="79932AF8">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2.34.2本合同未尽事宜，协议各方可以依法签订有关补充协议，补充协议具有与本合同同等的法律效力，但协议各方签订的任何补充协议不能对本合同所述及的货物名称、规格、来源国；履约保证；违约责任；适用法律及仲裁机构作出实质性的背离。</w:t>
      </w:r>
    </w:p>
    <w:p w14:paraId="3F345ED1">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2.34.3合同文件由</w:t>
      </w:r>
      <w:r>
        <w:rPr>
          <w:rFonts w:hint="eastAsia" w:ascii="仿宋" w:hAnsi="仿宋" w:eastAsia="仿宋" w:cs="仿宋"/>
          <w:sz w:val="24"/>
          <w:szCs w:val="24"/>
          <w:highlight w:val="none"/>
          <w:lang w:eastAsia="zh-CN"/>
        </w:rPr>
        <w:t>招标文件</w:t>
      </w:r>
      <w:r>
        <w:rPr>
          <w:rFonts w:hint="eastAsia" w:ascii="仿宋" w:hAnsi="仿宋" w:eastAsia="仿宋" w:cs="仿宋"/>
          <w:sz w:val="24"/>
          <w:szCs w:val="24"/>
          <w:highlight w:val="none"/>
        </w:rPr>
        <w:t>、本合同条款及所列示的各附件、</w:t>
      </w:r>
      <w:r>
        <w:rPr>
          <w:rFonts w:hint="eastAsia" w:ascii="仿宋" w:hAnsi="仿宋" w:eastAsia="仿宋" w:cs="仿宋"/>
          <w:sz w:val="24"/>
          <w:szCs w:val="24"/>
          <w:highlight w:val="none"/>
          <w:lang w:eastAsia="zh-CN"/>
        </w:rPr>
        <w:t>投标文件</w:t>
      </w:r>
      <w:r>
        <w:rPr>
          <w:rFonts w:hint="eastAsia" w:ascii="仿宋" w:hAnsi="仿宋" w:eastAsia="仿宋" w:cs="仿宋"/>
          <w:sz w:val="24"/>
          <w:szCs w:val="24"/>
          <w:highlight w:val="none"/>
        </w:rPr>
        <w:t>、澄清文件（如有）等项文件共同组成。组成合同的各个文件应该被认为是一个整体，彼此相互解释，相互补充。合同文件的构成及优先支配地位和效力应依次如下：</w:t>
      </w:r>
    </w:p>
    <w:p w14:paraId="4F98C7C6">
      <w:pPr>
        <w:keepNext w:val="0"/>
        <w:keepLines w:val="0"/>
        <w:pageBreakBefore w:val="0"/>
        <w:numPr>
          <w:ilvl w:val="0"/>
          <w:numId w:val="13"/>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本合同条款；</w:t>
      </w:r>
    </w:p>
    <w:p w14:paraId="331738AC">
      <w:pPr>
        <w:keepNext w:val="0"/>
        <w:keepLines w:val="0"/>
        <w:pageBreakBefore w:val="0"/>
        <w:numPr>
          <w:ilvl w:val="0"/>
          <w:numId w:val="13"/>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本合同条款所列示的各附件；</w:t>
      </w:r>
    </w:p>
    <w:p w14:paraId="632D1C59">
      <w:pPr>
        <w:keepNext w:val="0"/>
        <w:keepLines w:val="0"/>
        <w:pageBreakBefore w:val="0"/>
        <w:numPr>
          <w:ilvl w:val="0"/>
          <w:numId w:val="13"/>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澄清文件（如有）； </w:t>
      </w:r>
    </w:p>
    <w:p w14:paraId="3C67BB40">
      <w:pPr>
        <w:keepNext w:val="0"/>
        <w:keepLines w:val="0"/>
        <w:pageBreakBefore w:val="0"/>
        <w:numPr>
          <w:ilvl w:val="0"/>
          <w:numId w:val="13"/>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投标文件</w:t>
      </w:r>
      <w:r>
        <w:rPr>
          <w:rFonts w:hint="eastAsia" w:ascii="仿宋" w:hAnsi="仿宋" w:eastAsia="仿宋" w:cs="仿宋"/>
          <w:sz w:val="24"/>
          <w:szCs w:val="24"/>
          <w:highlight w:val="none"/>
        </w:rPr>
        <w:t>；</w:t>
      </w:r>
    </w:p>
    <w:p w14:paraId="146D7E1C">
      <w:pPr>
        <w:keepNext w:val="0"/>
        <w:keepLines w:val="0"/>
        <w:pageBreakBefore w:val="0"/>
        <w:numPr>
          <w:ilvl w:val="0"/>
          <w:numId w:val="13"/>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招标文件</w:t>
      </w:r>
      <w:r>
        <w:rPr>
          <w:rFonts w:hint="eastAsia" w:ascii="仿宋" w:hAnsi="仿宋" w:eastAsia="仿宋" w:cs="仿宋"/>
          <w:sz w:val="24"/>
          <w:szCs w:val="24"/>
          <w:highlight w:val="none"/>
        </w:rPr>
        <w:t xml:space="preserve">；   </w:t>
      </w:r>
    </w:p>
    <w:p w14:paraId="2E77947C">
      <w:pPr>
        <w:keepNext w:val="0"/>
        <w:keepLines w:val="0"/>
        <w:pageBreakBefore w:val="0"/>
        <w:numPr>
          <w:ilvl w:val="0"/>
          <w:numId w:val="13"/>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其他文件。</w:t>
      </w:r>
    </w:p>
    <w:p w14:paraId="2E6B54C9">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2.34.4当合同文件在解释上发生冲突时，在任何情形下均应首先以本合同条款约定的内容为准。只有在本合同条款没有约定或者约定不明的情况下才能适用其他合同文件，但</w:t>
      </w:r>
      <w:r>
        <w:rPr>
          <w:rFonts w:hint="eastAsia" w:ascii="仿宋" w:hAnsi="仿宋" w:eastAsia="仿宋" w:cs="仿宋"/>
          <w:sz w:val="24"/>
          <w:szCs w:val="24"/>
          <w:highlight w:val="none"/>
          <w:lang w:eastAsia="zh-CN"/>
        </w:rPr>
        <w:t>即便</w:t>
      </w:r>
      <w:r>
        <w:rPr>
          <w:rFonts w:hint="eastAsia" w:ascii="仿宋" w:hAnsi="仿宋" w:eastAsia="仿宋" w:cs="仿宋"/>
          <w:sz w:val="24"/>
          <w:szCs w:val="24"/>
          <w:highlight w:val="none"/>
        </w:rPr>
        <w:t>适用其他合同文件也</w:t>
      </w:r>
      <w:r>
        <w:rPr>
          <w:rFonts w:hint="eastAsia" w:ascii="仿宋" w:hAnsi="仿宋" w:eastAsia="仿宋" w:cs="仿宋"/>
          <w:sz w:val="24"/>
          <w:szCs w:val="24"/>
          <w:highlight w:val="none"/>
          <w:lang w:eastAsia="zh-CN"/>
        </w:rPr>
        <w:t>必须</w:t>
      </w:r>
      <w:r>
        <w:rPr>
          <w:rFonts w:hint="eastAsia" w:ascii="仿宋" w:hAnsi="仿宋" w:eastAsia="仿宋" w:cs="仿宋"/>
          <w:sz w:val="24"/>
          <w:szCs w:val="24"/>
          <w:highlight w:val="none"/>
        </w:rPr>
        <w:t xml:space="preserve">遵循该适用得出的解释必须具有唯一性和排他性。 </w:t>
      </w:r>
    </w:p>
    <w:p w14:paraId="0A46C41E">
      <w:pPr>
        <w:keepNext w:val="0"/>
        <w:keepLines w:val="0"/>
        <w:pageBreakBefore w:val="0"/>
        <w:kinsoku/>
        <w:wordWrap/>
        <w:overflowPunct/>
        <w:topLinePunct w:val="0"/>
        <w:autoSpaceDE w:val="0"/>
        <w:autoSpaceDN w:val="0"/>
        <w:bidi w:val="0"/>
        <w:adjustRightInd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2.34.5在特殊情况下,协议各方可以赋予新的合同及/或协议对上述文件具有优先解释权，但其前提是协议各方均在相关合同及/或协议中作出明确无误的声明或确认。</w:t>
      </w:r>
    </w:p>
    <w:p w14:paraId="5198A169">
      <w:pPr>
        <w:keepNext w:val="0"/>
        <w:keepLines w:val="0"/>
        <w:pageBreakBefore w:val="0"/>
        <w:kinsoku/>
        <w:wordWrap/>
        <w:overflowPunct/>
        <w:topLinePunct w:val="0"/>
        <w:bidi w:val="0"/>
        <w:snapToGrid/>
        <w:spacing w:beforeAutospacing="0" w:afterAutospacing="0" w:line="360" w:lineRule="auto"/>
        <w:ind w:right="0"/>
        <w:outlineLvl w:val="9"/>
        <w:rPr>
          <w:rFonts w:hint="eastAsia" w:ascii="仿宋" w:hAnsi="仿宋" w:eastAsia="仿宋" w:cs="仿宋"/>
          <w:b/>
          <w:sz w:val="24"/>
          <w:szCs w:val="24"/>
          <w:highlight w:val="none"/>
        </w:rPr>
      </w:pPr>
      <w:bookmarkStart w:id="159" w:name="_Toc98298186"/>
      <w:r>
        <w:rPr>
          <w:rFonts w:hint="eastAsia" w:ascii="仿宋" w:hAnsi="仿宋" w:eastAsia="仿宋" w:cs="仿宋"/>
          <w:b/>
          <w:sz w:val="24"/>
          <w:szCs w:val="24"/>
          <w:highlight w:val="none"/>
        </w:rPr>
        <w:t>三、合同附件</w:t>
      </w:r>
      <w:bookmarkEnd w:id="159"/>
    </w:p>
    <w:p w14:paraId="329B22D4">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下述文件是本合同不可分割的组成部分：</w:t>
      </w:r>
    </w:p>
    <w:p w14:paraId="22692904">
      <w:pPr>
        <w:keepNext w:val="0"/>
        <w:keepLines w:val="0"/>
        <w:pageBreakBefore w:val="0"/>
        <w:numPr>
          <w:ilvl w:val="0"/>
          <w:numId w:val="14"/>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货物清单</w:t>
      </w:r>
      <w:r>
        <w:rPr>
          <w:rFonts w:hint="eastAsia" w:ascii="仿宋" w:hAnsi="仿宋" w:eastAsia="仿宋" w:cs="仿宋"/>
          <w:sz w:val="24"/>
          <w:szCs w:val="24"/>
          <w:highlight w:val="none"/>
        </w:rPr>
        <w:t>》；</w:t>
      </w:r>
    </w:p>
    <w:p w14:paraId="1668B963">
      <w:pPr>
        <w:keepNext w:val="0"/>
        <w:keepLines w:val="0"/>
        <w:pageBreakBefore w:val="0"/>
        <w:numPr>
          <w:ilvl w:val="0"/>
          <w:numId w:val="14"/>
        </w:numPr>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《服务条款》；</w:t>
      </w:r>
    </w:p>
    <w:p w14:paraId="2A6196BE">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p>
    <w:p w14:paraId="7EFCEBCB">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b/>
          <w:sz w:val="24"/>
          <w:szCs w:val="24"/>
          <w:highlight w:val="none"/>
        </w:rPr>
      </w:pPr>
      <w:r>
        <w:rPr>
          <w:rFonts w:hint="eastAsia" w:ascii="仿宋" w:hAnsi="仿宋" w:eastAsia="仿宋" w:cs="仿宋"/>
          <w:sz w:val="24"/>
          <w:szCs w:val="24"/>
          <w:highlight w:val="none"/>
        </w:rPr>
        <w:t>协议各方已于本合同文首载明的地点签署本合同，谨此确认。</w:t>
      </w:r>
    </w:p>
    <w:p w14:paraId="3C292429">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sz w:val="24"/>
          <w:szCs w:val="24"/>
          <w:highlight w:val="none"/>
        </w:rPr>
      </w:pPr>
      <w:r>
        <w:rPr>
          <w:rFonts w:hint="eastAsia" w:ascii="仿宋" w:hAnsi="仿宋" w:eastAsia="仿宋" w:cs="仿宋"/>
          <w:b/>
          <w:sz w:val="24"/>
          <w:szCs w:val="24"/>
          <w:highlight w:val="none"/>
        </w:rPr>
        <w:t>（本页为合同签字页，无合同正文）</w:t>
      </w:r>
    </w:p>
    <w:p w14:paraId="41531CC3">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sz w:val="24"/>
          <w:szCs w:val="24"/>
          <w:highlight w:val="none"/>
        </w:rPr>
      </w:pPr>
    </w:p>
    <w:p w14:paraId="14F5322C">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sz w:val="24"/>
          <w:szCs w:val="24"/>
          <w:highlight w:val="none"/>
        </w:rPr>
      </w:pPr>
    </w:p>
    <w:p w14:paraId="0BF2FF24">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sz w:val="24"/>
          <w:szCs w:val="24"/>
          <w:highlight w:val="none"/>
          <w:lang w:eastAsia="zh-CN"/>
        </w:rPr>
      </w:pPr>
      <w:r>
        <w:rPr>
          <w:rFonts w:hint="eastAsia" w:ascii="仿宋" w:hAnsi="仿宋" w:eastAsia="仿宋" w:cs="仿宋"/>
          <w:b/>
          <w:sz w:val="24"/>
          <w:szCs w:val="24"/>
          <w:highlight w:val="none"/>
        </w:rPr>
        <w:t>买方（附公章）：</w:t>
      </w:r>
      <w:r>
        <w:rPr>
          <w:rFonts w:hint="eastAsia" w:ascii="仿宋" w:hAnsi="仿宋" w:eastAsia="仿宋" w:cs="仿宋"/>
          <w:kern w:val="0"/>
          <w:sz w:val="24"/>
          <w:szCs w:val="24"/>
          <w:highlight w:val="none"/>
          <w:lang w:eastAsia="zh-CN"/>
        </w:rPr>
        <w:t>铜川市印台区陈炉镇人民政府</w:t>
      </w:r>
    </w:p>
    <w:p w14:paraId="3DCC1118">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p>
    <w:p w14:paraId="3FBDF6B7">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sz w:val="24"/>
          <w:szCs w:val="24"/>
          <w:highlight w:val="none"/>
        </w:rPr>
      </w:pPr>
      <w:r>
        <w:rPr>
          <w:rFonts w:hint="eastAsia" w:ascii="仿宋" w:hAnsi="仿宋" w:eastAsia="仿宋" w:cs="仿宋"/>
          <w:b/>
          <w:sz w:val="24"/>
          <w:szCs w:val="24"/>
          <w:highlight w:val="none"/>
        </w:rPr>
        <w:t>法人代表</w:t>
      </w:r>
      <w:r>
        <w:rPr>
          <w:rFonts w:hint="eastAsia" w:ascii="仿宋" w:hAnsi="仿宋" w:eastAsia="仿宋" w:cs="仿宋"/>
          <w:b/>
          <w:sz w:val="24"/>
          <w:szCs w:val="24"/>
          <w:highlight w:val="none"/>
          <w:lang w:val="en-US" w:eastAsia="zh-CN"/>
        </w:rPr>
        <w:t>或授权代表</w:t>
      </w:r>
      <w:r>
        <w:rPr>
          <w:rFonts w:hint="eastAsia" w:ascii="仿宋" w:hAnsi="仿宋" w:eastAsia="仿宋" w:cs="仿宋"/>
          <w:b/>
          <w:sz w:val="24"/>
          <w:szCs w:val="24"/>
          <w:highlight w:val="none"/>
        </w:rPr>
        <w:t xml:space="preserve">：                </w:t>
      </w:r>
    </w:p>
    <w:p w14:paraId="670A1500">
      <w:pPr>
        <w:keepNext w:val="0"/>
        <w:keepLines w:val="0"/>
        <w:pageBreakBefore w:val="0"/>
        <w:kinsoku/>
        <w:wordWrap/>
        <w:overflowPunct/>
        <w:topLinePunct w:val="0"/>
        <w:bidi w:val="0"/>
        <w:snapToGrid/>
        <w:spacing w:beforeAutospacing="0" w:afterAutospacing="0" w:line="360" w:lineRule="auto"/>
        <w:ind w:left="0" w:leftChars="0" w:right="0" w:firstLine="480" w:firstLineChars="200"/>
        <w:outlineLvl w:val="9"/>
        <w:rPr>
          <w:rFonts w:hint="eastAsia" w:ascii="仿宋" w:hAnsi="仿宋" w:eastAsia="仿宋" w:cs="仿宋"/>
          <w:sz w:val="24"/>
          <w:szCs w:val="24"/>
          <w:highlight w:val="none"/>
        </w:rPr>
      </w:pPr>
    </w:p>
    <w:p w14:paraId="2EB92475">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sz w:val="24"/>
          <w:szCs w:val="24"/>
          <w:highlight w:val="none"/>
        </w:rPr>
      </w:pPr>
      <w:r>
        <w:rPr>
          <w:rFonts w:hint="eastAsia" w:ascii="仿宋" w:hAnsi="仿宋" w:eastAsia="仿宋" w:cs="仿宋"/>
          <w:b/>
          <w:sz w:val="24"/>
          <w:szCs w:val="24"/>
          <w:highlight w:val="none"/>
        </w:rPr>
        <w:t xml:space="preserve">签署日： </w:t>
      </w:r>
      <w:r>
        <w:rPr>
          <w:rFonts w:hint="eastAsia" w:ascii="仿宋" w:hAnsi="仿宋" w:eastAsia="仿宋" w:cs="仿宋"/>
          <w:sz w:val="24"/>
          <w:szCs w:val="24"/>
          <w:highlight w:val="none"/>
        </w:rPr>
        <w:t xml:space="preserve">      年      月      日                                 </w:t>
      </w:r>
    </w:p>
    <w:p w14:paraId="43908CD5">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sz w:val="24"/>
          <w:szCs w:val="24"/>
          <w:highlight w:val="none"/>
        </w:rPr>
      </w:pPr>
    </w:p>
    <w:p w14:paraId="3E46E991">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sz w:val="24"/>
          <w:szCs w:val="24"/>
          <w:highlight w:val="none"/>
        </w:rPr>
      </w:pPr>
    </w:p>
    <w:p w14:paraId="69168B45">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sz w:val="24"/>
          <w:szCs w:val="24"/>
          <w:highlight w:val="none"/>
        </w:rPr>
      </w:pPr>
    </w:p>
    <w:p w14:paraId="0734F808">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sz w:val="24"/>
          <w:szCs w:val="24"/>
          <w:highlight w:val="none"/>
        </w:rPr>
      </w:pPr>
    </w:p>
    <w:p w14:paraId="3C580AEF">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sz w:val="24"/>
          <w:szCs w:val="24"/>
          <w:highlight w:val="none"/>
        </w:rPr>
      </w:pPr>
      <w:r>
        <w:rPr>
          <w:rFonts w:hint="eastAsia" w:ascii="仿宋" w:hAnsi="仿宋" w:eastAsia="仿宋" w:cs="仿宋"/>
          <w:b/>
          <w:sz w:val="24"/>
          <w:szCs w:val="24"/>
          <w:highlight w:val="none"/>
        </w:rPr>
        <w:t xml:space="preserve">卖方（附公章）： </w:t>
      </w:r>
    </w:p>
    <w:p w14:paraId="5A6BBFA5">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sz w:val="24"/>
          <w:szCs w:val="24"/>
          <w:highlight w:val="none"/>
        </w:rPr>
      </w:pPr>
    </w:p>
    <w:p w14:paraId="504344A5">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sz w:val="24"/>
          <w:szCs w:val="24"/>
          <w:highlight w:val="none"/>
        </w:rPr>
      </w:pPr>
      <w:r>
        <w:rPr>
          <w:rFonts w:hint="eastAsia" w:ascii="仿宋" w:hAnsi="仿宋" w:eastAsia="仿宋" w:cs="仿宋"/>
          <w:b/>
          <w:sz w:val="24"/>
          <w:szCs w:val="24"/>
          <w:highlight w:val="none"/>
        </w:rPr>
        <w:t>法人代表</w:t>
      </w:r>
      <w:r>
        <w:rPr>
          <w:rFonts w:hint="eastAsia" w:ascii="仿宋" w:hAnsi="仿宋" w:eastAsia="仿宋" w:cs="仿宋"/>
          <w:b/>
          <w:sz w:val="24"/>
          <w:szCs w:val="24"/>
          <w:highlight w:val="none"/>
          <w:lang w:val="en-US" w:eastAsia="zh-CN"/>
        </w:rPr>
        <w:t>或授权代表</w:t>
      </w:r>
      <w:r>
        <w:rPr>
          <w:rFonts w:hint="eastAsia" w:ascii="仿宋" w:hAnsi="仿宋" w:eastAsia="仿宋" w:cs="仿宋"/>
          <w:b/>
          <w:sz w:val="24"/>
          <w:szCs w:val="24"/>
          <w:highlight w:val="none"/>
        </w:rPr>
        <w:t xml:space="preserve">：                </w:t>
      </w:r>
    </w:p>
    <w:p w14:paraId="65B75E31">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b/>
          <w:sz w:val="24"/>
          <w:szCs w:val="24"/>
          <w:highlight w:val="none"/>
          <w:u w:val="thick"/>
        </w:rPr>
      </w:pPr>
    </w:p>
    <w:p w14:paraId="16361C0E">
      <w:pPr>
        <w:keepNext w:val="0"/>
        <w:keepLines w:val="0"/>
        <w:pageBreakBefore w:val="0"/>
        <w:kinsoku/>
        <w:wordWrap/>
        <w:overflowPunct/>
        <w:topLinePunct w:val="0"/>
        <w:bidi w:val="0"/>
        <w:snapToGrid/>
        <w:spacing w:beforeAutospacing="0" w:afterAutospacing="0" w:line="360" w:lineRule="auto"/>
        <w:ind w:left="0" w:leftChars="0" w:right="0" w:firstLine="482" w:firstLineChars="200"/>
        <w:outlineLvl w:val="9"/>
        <w:rPr>
          <w:rFonts w:hint="eastAsia" w:ascii="仿宋" w:hAnsi="仿宋" w:eastAsia="仿宋" w:cs="仿宋"/>
          <w:sz w:val="24"/>
          <w:szCs w:val="24"/>
          <w:highlight w:val="none"/>
        </w:rPr>
      </w:pPr>
      <w:r>
        <w:rPr>
          <w:rFonts w:hint="eastAsia" w:ascii="仿宋" w:hAnsi="仿宋" w:eastAsia="仿宋" w:cs="仿宋"/>
          <w:b/>
          <w:sz w:val="24"/>
          <w:szCs w:val="24"/>
          <w:highlight w:val="none"/>
        </w:rPr>
        <w:t>签署日：</w:t>
      </w:r>
      <w:r>
        <w:rPr>
          <w:rFonts w:hint="eastAsia" w:ascii="仿宋" w:hAnsi="仿宋" w:eastAsia="仿宋" w:cs="仿宋"/>
          <w:sz w:val="24"/>
          <w:szCs w:val="24"/>
          <w:highlight w:val="none"/>
        </w:rPr>
        <w:t xml:space="preserve">       年      月      日</w:t>
      </w:r>
    </w:p>
    <w:p w14:paraId="0ED3BE8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062A9"/>
    <w:multiLevelType w:val="multilevel"/>
    <w:tmpl w:val="008062A9"/>
    <w:lvl w:ilvl="0" w:tentative="0">
      <w:start w:val="1"/>
      <w:numFmt w:val="lowerLetter"/>
      <w:lvlText w:val="(%1)"/>
      <w:lvlJc w:val="left"/>
      <w:pPr>
        <w:tabs>
          <w:tab w:val="left" w:pos="890"/>
        </w:tabs>
        <w:ind w:left="89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DE685E"/>
    <w:multiLevelType w:val="multilevel"/>
    <w:tmpl w:val="00DE685E"/>
    <w:lvl w:ilvl="0" w:tentative="0">
      <w:start w:val="1"/>
      <w:numFmt w:val="lowerLetter"/>
      <w:lvlText w:val="(%1)"/>
      <w:lvlJc w:val="left"/>
      <w:pPr>
        <w:tabs>
          <w:tab w:val="left" w:pos="890"/>
        </w:tabs>
        <w:ind w:left="89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7D5198D"/>
    <w:multiLevelType w:val="multilevel"/>
    <w:tmpl w:val="07D5198D"/>
    <w:lvl w:ilvl="0" w:tentative="0">
      <w:start w:val="1"/>
      <w:numFmt w:val="lowerLetter"/>
      <w:lvlText w:val="(%1)"/>
      <w:lvlJc w:val="left"/>
      <w:pPr>
        <w:tabs>
          <w:tab w:val="left" w:pos="890"/>
        </w:tabs>
        <w:ind w:left="89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7F86AAE"/>
    <w:multiLevelType w:val="multilevel"/>
    <w:tmpl w:val="07F86AAE"/>
    <w:lvl w:ilvl="0" w:tentative="0">
      <w:start w:val="1"/>
      <w:numFmt w:val="lowerLetter"/>
      <w:lvlText w:val="(%1)"/>
      <w:lvlJc w:val="left"/>
      <w:pPr>
        <w:tabs>
          <w:tab w:val="left" w:pos="890"/>
        </w:tabs>
        <w:ind w:left="89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15F63827"/>
    <w:multiLevelType w:val="multilevel"/>
    <w:tmpl w:val="15F63827"/>
    <w:lvl w:ilvl="0" w:tentative="0">
      <w:start w:val="1"/>
      <w:numFmt w:val="lowerLetter"/>
      <w:lvlText w:val="(%1)"/>
      <w:lvlJc w:val="left"/>
      <w:pPr>
        <w:tabs>
          <w:tab w:val="left" w:pos="890"/>
        </w:tabs>
        <w:ind w:left="89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25060C26"/>
    <w:multiLevelType w:val="multilevel"/>
    <w:tmpl w:val="25060C26"/>
    <w:lvl w:ilvl="0" w:tentative="0">
      <w:start w:val="1"/>
      <w:numFmt w:val="lowerLetter"/>
      <w:lvlText w:val="(%1)"/>
      <w:lvlJc w:val="left"/>
      <w:pPr>
        <w:tabs>
          <w:tab w:val="left" w:pos="890"/>
        </w:tabs>
        <w:ind w:left="89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2B075FCD"/>
    <w:multiLevelType w:val="multilevel"/>
    <w:tmpl w:val="2B075FCD"/>
    <w:lvl w:ilvl="0" w:tentative="0">
      <w:start w:val="1"/>
      <w:numFmt w:val="lowerLetter"/>
      <w:lvlText w:val="(%1)"/>
      <w:lvlJc w:val="left"/>
      <w:pPr>
        <w:tabs>
          <w:tab w:val="left" w:pos="890"/>
        </w:tabs>
        <w:ind w:left="89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2CC00C3C"/>
    <w:multiLevelType w:val="multilevel"/>
    <w:tmpl w:val="2CC00C3C"/>
    <w:lvl w:ilvl="0" w:tentative="0">
      <w:start w:val="1"/>
      <w:numFmt w:val="decimal"/>
      <w:lvlText w:val="%1."/>
      <w:lvlJc w:val="left"/>
      <w:pPr>
        <w:tabs>
          <w:tab w:val="left" w:pos="927"/>
        </w:tabs>
        <w:ind w:left="927" w:hanging="567"/>
      </w:pPr>
      <w:rPr>
        <w:rFonts w:hint="default" w:ascii="Arial" w:hAnsi="Arial"/>
        <w:b/>
        <w:i w:val="0"/>
        <w:sz w:val="24"/>
        <w:szCs w:val="24"/>
      </w:rPr>
    </w:lvl>
    <w:lvl w:ilvl="1" w:tentative="0">
      <w:start w:val="1"/>
      <w:numFmt w:val="lowerLetter"/>
      <w:lvlText w:val="%2)"/>
      <w:lvlJc w:val="left"/>
      <w:pPr>
        <w:tabs>
          <w:tab w:val="left" w:pos="1200"/>
        </w:tabs>
        <w:ind w:left="1200" w:hanging="420"/>
      </w:pPr>
    </w:lvl>
    <w:lvl w:ilvl="2" w:tentative="0">
      <w:start w:val="1"/>
      <w:numFmt w:val="lowerRoman"/>
      <w:lvlText w:val="%3."/>
      <w:lvlJc w:val="right"/>
      <w:pPr>
        <w:tabs>
          <w:tab w:val="left" w:pos="1620"/>
        </w:tabs>
        <w:ind w:left="1620" w:hanging="420"/>
      </w:pPr>
    </w:lvl>
    <w:lvl w:ilvl="3" w:tentative="0">
      <w:start w:val="1"/>
      <w:numFmt w:val="decimal"/>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8">
    <w:nsid w:val="2E0C407D"/>
    <w:multiLevelType w:val="multilevel"/>
    <w:tmpl w:val="2E0C407D"/>
    <w:lvl w:ilvl="0" w:tentative="0">
      <w:start w:val="1"/>
      <w:numFmt w:val="lowerLetter"/>
      <w:lvlText w:val="(%1)"/>
      <w:lvlJc w:val="left"/>
      <w:pPr>
        <w:tabs>
          <w:tab w:val="left" w:pos="890"/>
        </w:tabs>
        <w:ind w:left="89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3A9B7FA5"/>
    <w:multiLevelType w:val="multilevel"/>
    <w:tmpl w:val="3A9B7FA5"/>
    <w:lvl w:ilvl="0" w:tentative="0">
      <w:start w:val="1"/>
      <w:numFmt w:val="lowerLetter"/>
      <w:lvlText w:val="(%1)"/>
      <w:lvlJc w:val="left"/>
      <w:pPr>
        <w:tabs>
          <w:tab w:val="left" w:pos="890"/>
        </w:tabs>
        <w:ind w:left="89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44CB5236"/>
    <w:multiLevelType w:val="multilevel"/>
    <w:tmpl w:val="44CB5236"/>
    <w:lvl w:ilvl="0" w:tentative="0">
      <w:start w:val="1"/>
      <w:numFmt w:val="lowerLetter"/>
      <w:lvlText w:val="(%1)"/>
      <w:lvlJc w:val="left"/>
      <w:pPr>
        <w:tabs>
          <w:tab w:val="left" w:pos="890"/>
        </w:tabs>
        <w:ind w:left="89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46DA4EFB"/>
    <w:multiLevelType w:val="multilevel"/>
    <w:tmpl w:val="46DA4EFB"/>
    <w:lvl w:ilvl="0" w:tentative="0">
      <w:start w:val="1"/>
      <w:numFmt w:val="lowerLetter"/>
      <w:lvlText w:val="(%1)"/>
      <w:lvlJc w:val="left"/>
      <w:pPr>
        <w:tabs>
          <w:tab w:val="left" w:pos="890"/>
        </w:tabs>
        <w:ind w:left="89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64927E98"/>
    <w:multiLevelType w:val="multilevel"/>
    <w:tmpl w:val="64927E98"/>
    <w:lvl w:ilvl="0" w:tentative="0">
      <w:start w:val="1"/>
      <w:numFmt w:val="lowerLetter"/>
      <w:lvlText w:val="(%1)"/>
      <w:lvlJc w:val="left"/>
      <w:pPr>
        <w:tabs>
          <w:tab w:val="left" w:pos="890"/>
        </w:tabs>
        <w:ind w:left="89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759D4A35"/>
    <w:multiLevelType w:val="multilevel"/>
    <w:tmpl w:val="759D4A35"/>
    <w:lvl w:ilvl="0" w:tentative="0">
      <w:start w:val="1"/>
      <w:numFmt w:val="lowerLetter"/>
      <w:lvlText w:val="(%1)"/>
      <w:lvlJc w:val="left"/>
      <w:pPr>
        <w:tabs>
          <w:tab w:val="left" w:pos="890"/>
        </w:tabs>
        <w:ind w:left="89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5"/>
  </w:num>
  <w:num w:numId="2">
    <w:abstractNumId w:val="11"/>
  </w:num>
  <w:num w:numId="3">
    <w:abstractNumId w:val="12"/>
  </w:num>
  <w:num w:numId="4">
    <w:abstractNumId w:val="13"/>
  </w:num>
  <w:num w:numId="5">
    <w:abstractNumId w:val="2"/>
  </w:num>
  <w:num w:numId="6">
    <w:abstractNumId w:val="4"/>
  </w:num>
  <w:num w:numId="7">
    <w:abstractNumId w:val="1"/>
  </w:num>
  <w:num w:numId="8">
    <w:abstractNumId w:val="6"/>
  </w:num>
  <w:num w:numId="9">
    <w:abstractNumId w:val="0"/>
  </w:num>
  <w:num w:numId="10">
    <w:abstractNumId w:val="10"/>
  </w:num>
  <w:num w:numId="11">
    <w:abstractNumId w:val="9"/>
  </w:num>
  <w:num w:numId="12">
    <w:abstractNumId w:val="3"/>
  </w:num>
  <w:num w:numId="13">
    <w:abstractNumId w:val="8"/>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A25B0"/>
    <w:rsid w:val="02671BD1"/>
    <w:rsid w:val="032F672A"/>
    <w:rsid w:val="0717375D"/>
    <w:rsid w:val="0B4F211E"/>
    <w:rsid w:val="10ED3781"/>
    <w:rsid w:val="119F5E84"/>
    <w:rsid w:val="127A33F4"/>
    <w:rsid w:val="13961EAE"/>
    <w:rsid w:val="15E642A8"/>
    <w:rsid w:val="1B4F0C9B"/>
    <w:rsid w:val="1B545651"/>
    <w:rsid w:val="1EF02DBA"/>
    <w:rsid w:val="227B0BEC"/>
    <w:rsid w:val="23931F66"/>
    <w:rsid w:val="295C1217"/>
    <w:rsid w:val="2AFD6C9D"/>
    <w:rsid w:val="2BA32F62"/>
    <w:rsid w:val="35C6441D"/>
    <w:rsid w:val="395835DE"/>
    <w:rsid w:val="3CFE6FFB"/>
    <w:rsid w:val="41AA074E"/>
    <w:rsid w:val="431B61D5"/>
    <w:rsid w:val="467B278A"/>
    <w:rsid w:val="481E2EC7"/>
    <w:rsid w:val="4D761E2D"/>
    <w:rsid w:val="545F7ABE"/>
    <w:rsid w:val="594C6863"/>
    <w:rsid w:val="64F46001"/>
    <w:rsid w:val="668E1D45"/>
    <w:rsid w:val="687F3E33"/>
    <w:rsid w:val="688D6550"/>
    <w:rsid w:val="714F4CEB"/>
    <w:rsid w:val="7AC31131"/>
    <w:rsid w:val="7C9F776D"/>
    <w:rsid w:val="7F7D380F"/>
    <w:rsid w:val="7FE168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ind w:firstLine="420"/>
      <w:jc w:val="left"/>
    </w:pPr>
    <w:rPr>
      <w:rFonts w:ascii="宋体"/>
      <w:kern w:val="0"/>
      <w:sz w:val="24"/>
      <w:szCs w:val="20"/>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Heading #1|1"/>
    <w:basedOn w:val="1"/>
    <w:qFormat/>
    <w:uiPriority w:val="0"/>
    <w:pPr>
      <w:spacing w:after="1140"/>
      <w:outlineLvl w:val="0"/>
    </w:pPr>
    <w:rPr>
      <w:rFonts w:ascii="宋体" w:hAnsi="宋体" w:eastAsia="宋体" w:cs="宋体"/>
      <w:sz w:val="72"/>
      <w:szCs w:val="72"/>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10152</Words>
  <Characters>10784</Characters>
  <Lines>0</Lines>
  <Paragraphs>0</Paragraphs>
  <TotalTime>0</TotalTime>
  <ScaleCrop>false</ScaleCrop>
  <LinksUpToDate>false</LinksUpToDate>
  <CharactersWithSpaces>10953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2026-06-15T14:49:00Z</dcterms:created>
  <dc:creator>Administrator</dc:creator>
  <cp:lastModifiedBy>Jun</cp:lastModifiedBy>
  <dcterms:modified xsi:type="dcterms:W3CDTF">2026-06-16T12:24:15Z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eyJoZGlkIjoiZDU3NDQxYWM0MTczYjBhMzlmYjdkYmMwMzBhMmYwMWMiLCJ1c2VySWQiOiIyNTQ0OTA1OTQifQ==</vt:lpwstr>
  </property>
  <property fmtid="{D5CDD505-2E9C-101B-9397-08002B2CF9AE}" pid="4" name="ICV">
    <vt:lpwstr>24342E656F7C4DE0B8FFBAE6A0724BC4_12</vt:lpwstr>
  </property>
</Properties>
</file>