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版本号：【KRDL】K4-260405020260513001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雁塔校区北院部分道路（共青团路、篮球场南侧、保卫处停车场）维修项目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【KRDL】K4-2604050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雁塔校区北院部分道路（共青团路、篮球场南侧、保卫处停车场）维修项目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【KRDL】K4-2604050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雁塔校区北院部分道路（共青团路、篮球场南侧、保卫处停车场）维修项目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共青团路路面存在坑洼、破损，局部区域出现塌陷；篮球场南侧道路路面出现明显裂缝与沉降；保卫处停车场目前存在地面多处出现坑洼、裂缝，部分区域地面裸露、砂石外露，停车区域划分不清晰，该停车场的通行条件、环境整洁度与使用体验均有待提升。本项目涉及路面填补坑洼、修复塌陷与沉降，硬化道路等内容，改造面积约2600㎡，工程质量执行国家、陕西省、西安市现行工程质量验评标准。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采购包1（雁塔校区北院部分道路（共青团路、篮球场南侧、保卫处停车场）维修项目）：属于专门面向中小企业采购。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采购包1：1,196,100.00元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踏勘时间：2026-05-22 09:30:00</w:t>
            </w:r>
          </w:p>
          <w:p>
            <w:pPr>
              <w:pStyle w:val="null3"/>
              <w:ind w:firstLine="975"/>
            </w:pPr>
            <w:r>
              <w:rPr>
                <w:rFonts w:ascii="仿宋_GB2312" w:hAnsi="仿宋_GB2312" w:cs="仿宋_GB2312" w:eastAsia="仿宋_GB2312"/>
              </w:rPr>
              <w:t>踏勘地点：西安建筑科技大学雁塔校区北院西大门内</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联系人：代光艳、刘如拉、贾亚妮、路坦</w:t>
      </w:r>
    </w:p>
    <w:p>
      <w:pPr>
        <w:pStyle w:val="null3"/>
      </w:pPr>
      <w:r>
        <w:rPr>
          <w:rFonts w:ascii="仿宋_GB2312" w:hAnsi="仿宋_GB2312" w:cs="仿宋_GB2312" w:eastAsia="仿宋_GB2312"/>
        </w:rPr>
        <w:t>联系电话：029-89581863、15229797656、17302920968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1,196,100.00</w:t>
      </w:r>
    </w:p>
    <w:p>
      <w:pPr>
        <w:pStyle w:val="null3"/>
      </w:pPr>
      <w:r>
        <w:rPr>
          <w:rFonts w:ascii="仿宋_GB2312" w:hAnsi="仿宋_GB2312" w:cs="仿宋_GB2312" w:eastAsia="仿宋_GB2312"/>
        </w:rPr>
        <w:t>采购包最高限价（元）: 1,196,100.00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雁塔校区北院部分道路（共青团路和篮球场南侧及保卫处停车场）维修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1,196,100.00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标的名称：雁塔校区北院部分道路（共青团路和篮球场南侧及保卫处停车场）维修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西安建筑科技大学雁塔校区共青团路路面存在坑洼、破损，局部区域出现塌陷；篮球场南侧道路路面出现明显裂缝与沉降；保卫处停车场目前存在地面多处出现坑洼、裂缝，部分区域地面裸露、砂石外露，停车区域划分不清晰，该停车场的通行条件、环境整洁度与使用体验均有待提升。本项目涉及路面填补坑洼、修复塌陷与沉降，硬化道路等内容，改造面积约</w:t>
            </w:r>
            <w:r>
              <w:rPr>
                <w:rFonts w:ascii="仿宋_GB2312" w:hAnsi="仿宋_GB2312" w:cs="仿宋_GB2312" w:eastAsia="仿宋_GB2312"/>
                <w:sz w:val="24"/>
              </w:rPr>
              <w:t>2600㎡，工程质量执行国家、陕西省、西安市现行工程质量验评标准。</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《工程量清单》</w:t>
            </w:r>
          </w:p>
          <w:tbl>
            <w:tblPr>
              <w:tblBorders>
                <w:top w:val="none" w:color="000000" w:sz="4"/>
                <w:left w:val="none" w:color="000000" w:sz="4"/>
                <w:bottom w:val="none" w:color="000000" w:sz="4"/>
                <w:right w:val="none" w:color="000000" w:sz="4"/>
                <w:insideH w:val="none"/>
                <w:insideV w:val="none"/>
              </w:tblBorders>
            </w:tblPr>
            <w:tblGrid>
              <w:gridCol w:w="315"/>
              <w:gridCol w:w="453"/>
              <w:gridCol w:w="1126"/>
              <w:gridCol w:w="364"/>
              <w:gridCol w:w="295"/>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第一部分</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施工内容</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工程量</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南侧绿植处地面硬化</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地面清表</w:t>
                  </w:r>
                </w:p>
              </w:tc>
              <w:tc>
                <w:tcPr>
                  <w:tcW w:type="dxa" w:w="11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绿植树木砍伐及清理</w:t>
                  </w:r>
                </w:p>
              </w:tc>
              <w:tc>
                <w:tcPr>
                  <w:tcW w:type="dxa" w:w="3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土方开挖</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开挖土方、深度</w:t>
                  </w:r>
                  <w:r>
                    <w:rPr>
                      <w:rFonts w:ascii="仿宋_GB2312" w:hAnsi="仿宋_GB2312" w:cs="仿宋_GB2312" w:eastAsia="仿宋_GB2312"/>
                      <w:sz w:val="24"/>
                    </w:rPr>
                    <w:t>300mm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灰土垫层</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3:7灰土夯实 厚度300mm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路面浇筑</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C25混凝土地面硬化 厚200mm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m3</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原石子地面硬化</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道牙拆除</w:t>
                  </w:r>
                </w:p>
              </w:tc>
              <w:tc>
                <w:tcPr>
                  <w:tcW w:type="dxa" w:w="11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水泥道牙拆除</w:t>
                  </w:r>
                </w:p>
              </w:tc>
              <w:tc>
                <w:tcPr>
                  <w:tcW w:type="dxa" w:w="3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路面拆除</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石子地面高出部分开挖找平</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基层处理</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150级配碎石铺设</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路面浇筑</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C25混凝土地面硬化 厚200mm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m3</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北侧道路</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土方开挖</w:t>
                  </w:r>
                </w:p>
              </w:tc>
              <w:tc>
                <w:tcPr>
                  <w:tcW w:type="dxa" w:w="11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开挖土方、深度</w:t>
                  </w:r>
                  <w:r>
                    <w:rPr>
                      <w:rFonts w:ascii="仿宋_GB2312" w:hAnsi="仿宋_GB2312" w:cs="仿宋_GB2312" w:eastAsia="仿宋_GB2312"/>
                      <w:sz w:val="24"/>
                    </w:rPr>
                    <w:t>300mm</w:t>
                  </w:r>
                </w:p>
              </w:tc>
              <w:tc>
                <w:tcPr>
                  <w:tcW w:type="dxa" w:w="3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368.5</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灰土垫层</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3:7灰土夯实 厚度300mm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368.5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路面浇筑</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C25混凝土地面硬化 厚200mm</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368.5</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暂列金</w:t>
                  </w:r>
                </w:p>
              </w:tc>
            </w:tr>
            <w:tr>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暂列金</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30000.00</w:t>
                  </w:r>
                </w:p>
              </w:tc>
              <w:tc>
                <w:tcPr>
                  <w:tcW w:type="dxa" w:w="3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55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第二部分</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共青团路、篮球场南侧道路</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路面维修</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详见</w:t>
                  </w:r>
                  <w:r>
                    <w:rPr>
                      <w:rFonts w:ascii="仿宋_GB2312" w:hAnsi="仿宋_GB2312" w:cs="仿宋_GB2312" w:eastAsia="仿宋_GB2312"/>
                      <w:sz w:val="24"/>
                    </w:rPr>
                    <w:t>附件</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bl>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rPr>
              <w:t>项目需执行的国家标准、行业标准、地方标准或者其他标准、规范等：</w:t>
            </w:r>
          </w:p>
          <w:tbl>
            <w:tblPr>
              <w:tblInd w:type="dxa" w:w="390"/>
              <w:tblBorders>
                <w:top w:val="none" w:color="000000" w:sz="4"/>
                <w:left w:val="none" w:color="000000" w:sz="4"/>
                <w:bottom w:val="none" w:color="000000" w:sz="4"/>
                <w:right w:val="none" w:color="000000" w:sz="4"/>
                <w:insideH w:val="none"/>
                <w:insideV w:val="none"/>
              </w:tblBorders>
            </w:tblPr>
            <w:tblGrid>
              <w:gridCol w:w="337"/>
              <w:gridCol w:w="2216"/>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标准、规范、规程名称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GB50300-2013）</w:t>
                  </w:r>
                </w:p>
              </w:tc>
            </w:tr>
          </w:tbl>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8.成交供应商必须自行施工，不得转包、分包。</w:t>
            </w:r>
          </w:p>
          <w:p>
            <w:pPr>
              <w:pStyle w:val="null3"/>
              <w:ind w:firstLine="480"/>
              <w:jc w:val="both"/>
            </w:pPr>
            <w:r>
              <w:rPr>
                <w:rFonts w:ascii="仿宋_GB2312" w:hAnsi="仿宋_GB2312" w:cs="仿宋_GB2312" w:eastAsia="仿宋_GB2312"/>
                <w:sz w:val="24"/>
              </w:rPr>
              <w:t>9.成交供应商在施工过程中不得影响学校的日常生活、工作秩序。</w:t>
            </w:r>
          </w:p>
          <w:p>
            <w:pPr>
              <w:pStyle w:val="null3"/>
              <w:ind w:firstLine="480"/>
              <w:jc w:val="both"/>
            </w:pPr>
            <w:r>
              <w:rPr>
                <w:rFonts w:ascii="仿宋_GB2312" w:hAnsi="仿宋_GB2312" w:cs="仿宋_GB2312" w:eastAsia="仿宋_GB2312"/>
                <w:sz w:val="24"/>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rPr>
              <w:t>三、工程量清单及图纸</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无</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45</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西安建筑科技大学雁塔校区北院西大门内</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w:t>
            </w:r>
            <w:r>
              <w:rPr>
                <w:rFonts w:ascii="仿宋_GB2312" w:hAnsi="仿宋_GB2312" w:cs="仿宋_GB2312" w:eastAsia="仿宋_GB2312"/>
                <w:sz w:val="24"/>
              </w:rPr>
              <w:t>工程验收标准执行国家现有的有关规范及标准，本工程质量要求为合格。</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签订合同完毕，</w:t>
            </w:r>
            <w:r>
              <w:rPr>
                <w:rFonts w:ascii="仿宋_GB2312" w:hAnsi="仿宋_GB2312" w:cs="仿宋_GB2312" w:eastAsia="仿宋_GB2312"/>
                <w:sz w:val="24"/>
              </w:rPr>
              <w:t>成交</w:t>
            </w:r>
            <w:r>
              <w:rPr>
                <w:rFonts w:ascii="仿宋_GB2312" w:hAnsi="仿宋_GB2312" w:cs="仿宋_GB2312" w:eastAsia="仿宋_GB2312"/>
                <w:sz w:val="24"/>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rPr>
              <w:t>“开证行仅凭受益人单方签署的索赔声明付款”，</w:t>
            </w:r>
            <w:r>
              <w:rPr>
                <w:rFonts w:ascii="仿宋_GB2312" w:hAnsi="仿宋_GB2312" w:cs="仿宋_GB2312" w:eastAsia="仿宋_GB2312"/>
                <w:sz w:val="24"/>
              </w:rPr>
              <w:t>采购人</w:t>
            </w:r>
            <w:r>
              <w:rPr>
                <w:rFonts w:ascii="仿宋_GB2312" w:hAnsi="仿宋_GB2312" w:cs="仿宋_GB2312" w:eastAsia="仿宋_GB2312"/>
                <w:sz w:val="24"/>
              </w:rPr>
              <w:t>支付合同总价的</w:t>
            </w:r>
            <w:r>
              <w:rPr>
                <w:rFonts w:ascii="仿宋_GB2312" w:hAnsi="仿宋_GB2312" w:cs="仿宋_GB2312" w:eastAsia="仿宋_GB2312"/>
                <w:sz w:val="24"/>
              </w:rPr>
              <w:t>40%作为预付款，否则，</w:t>
            </w:r>
            <w:r>
              <w:rPr>
                <w:rFonts w:ascii="仿宋_GB2312" w:hAnsi="仿宋_GB2312" w:cs="仿宋_GB2312" w:eastAsia="仿宋_GB2312"/>
                <w:sz w:val="24"/>
              </w:rPr>
              <w:t>采购人</w:t>
            </w:r>
            <w:r>
              <w:rPr>
                <w:rFonts w:ascii="仿宋_GB2312" w:hAnsi="仿宋_GB2312" w:cs="仿宋_GB2312" w:eastAsia="仿宋_GB2312"/>
                <w:sz w:val="24"/>
              </w:rPr>
              <w:t>不予支付预付款。</w:t>
            </w:r>
          </w:p>
          <w:p>
            <w:pPr>
              <w:pStyle w:val="null3"/>
              <w:ind w:firstLine="480"/>
              <w:jc w:val="both"/>
            </w:pPr>
            <w:r>
              <w:rPr>
                <w:rFonts w:ascii="仿宋_GB2312" w:hAnsi="仿宋_GB2312" w:cs="仿宋_GB2312" w:eastAsia="仿宋_GB2312"/>
                <w:sz w:val="24"/>
              </w:rPr>
              <w:t>签订合同完毕，</w:t>
            </w:r>
            <w:r>
              <w:rPr>
                <w:rFonts w:ascii="仿宋_GB2312" w:hAnsi="仿宋_GB2312" w:cs="仿宋_GB2312" w:eastAsia="仿宋_GB2312"/>
                <w:sz w:val="24"/>
              </w:rPr>
              <w:t>成交</w:t>
            </w:r>
            <w:r>
              <w:rPr>
                <w:rFonts w:ascii="仿宋_GB2312" w:hAnsi="仿宋_GB2312" w:cs="仿宋_GB2312" w:eastAsia="仿宋_GB2312"/>
                <w:sz w:val="24"/>
              </w:rPr>
              <w:t>供应商无法提供预付款保函，</w:t>
            </w:r>
            <w:r>
              <w:rPr>
                <w:rFonts w:ascii="仿宋_GB2312" w:hAnsi="仿宋_GB2312" w:cs="仿宋_GB2312" w:eastAsia="仿宋_GB2312"/>
                <w:sz w:val="24"/>
              </w:rPr>
              <w:t>施工满一个月，且经核算完成</w:t>
            </w:r>
            <w:r>
              <w:rPr>
                <w:rFonts w:ascii="仿宋_GB2312" w:hAnsi="仿宋_GB2312" w:cs="仿宋_GB2312" w:eastAsia="仿宋_GB2312"/>
                <w:sz w:val="24"/>
              </w:rPr>
              <w:t>80%改造工程内容后，支付合同额60%进度款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工程竣工验收合格后经审计部门或其委托有工程造价咨询资质的机构审定结算后，缴纳施工水电费后，支付至审定结算价的</w:t>
            </w:r>
            <w:r>
              <w:rPr>
                <w:rFonts w:ascii="仿宋_GB2312" w:hAnsi="仿宋_GB2312" w:cs="仿宋_GB2312" w:eastAsia="仿宋_GB2312"/>
                <w:sz w:val="24"/>
              </w:rPr>
              <w:t>100%；但在国家规定的保修期限内，保修责任仍由承包人继续承担。</w:t>
            </w:r>
          </w:p>
          <w:p>
            <w:pPr>
              <w:pStyle w:val="null3"/>
              <w:ind w:firstLine="480"/>
              <w:jc w:val="both"/>
            </w:pPr>
            <w:r>
              <w:rPr>
                <w:rFonts w:ascii="仿宋_GB2312" w:hAnsi="仿宋_GB2312" w:cs="仿宋_GB2312" w:eastAsia="仿宋_GB2312"/>
                <w:sz w:val="24"/>
              </w:rPr>
              <w:t>本工程的工程量据实结算，若</w:t>
            </w:r>
            <w:r>
              <w:rPr>
                <w:rFonts w:ascii="仿宋_GB2312" w:hAnsi="仿宋_GB2312" w:cs="仿宋_GB2312" w:eastAsia="仿宋_GB2312"/>
                <w:sz w:val="24"/>
              </w:rPr>
              <w:t>成交供应商</w:t>
            </w:r>
            <w:r>
              <w:rPr>
                <w:rFonts w:ascii="仿宋_GB2312" w:hAnsi="仿宋_GB2312" w:cs="仿宋_GB2312" w:eastAsia="仿宋_GB2312"/>
                <w:sz w:val="24"/>
              </w:rPr>
              <w:t>报送的原始结算价超出</w:t>
            </w:r>
            <w:r>
              <w:rPr>
                <w:rFonts w:ascii="仿宋_GB2312" w:hAnsi="仿宋_GB2312" w:cs="仿宋_GB2312" w:eastAsia="仿宋_GB2312"/>
                <w:sz w:val="24"/>
              </w:rPr>
              <w:t>采购人</w:t>
            </w:r>
            <w:r>
              <w:rPr>
                <w:rFonts w:ascii="仿宋_GB2312" w:hAnsi="仿宋_GB2312" w:cs="仿宋_GB2312" w:eastAsia="仿宋_GB2312"/>
                <w:sz w:val="24"/>
              </w:rPr>
              <w:t>审定结算价的</w:t>
            </w:r>
            <w:r>
              <w:rPr>
                <w:rFonts w:ascii="仿宋_GB2312" w:hAnsi="仿宋_GB2312" w:cs="仿宋_GB2312" w:eastAsia="仿宋_GB2312"/>
                <w:sz w:val="24"/>
              </w:rPr>
              <w:t>3％，则</w:t>
            </w:r>
            <w:r>
              <w:rPr>
                <w:rFonts w:ascii="仿宋_GB2312" w:hAnsi="仿宋_GB2312" w:cs="仿宋_GB2312" w:eastAsia="仿宋_GB2312"/>
                <w:sz w:val="24"/>
              </w:rPr>
              <w:t>成交供应商</w:t>
            </w:r>
            <w:r>
              <w:rPr>
                <w:rFonts w:ascii="仿宋_GB2312" w:hAnsi="仿宋_GB2312" w:cs="仿宋_GB2312" w:eastAsia="仿宋_GB2312"/>
                <w:sz w:val="24"/>
              </w:rPr>
              <w:t>承担全部审计费，在结算付款时一次性扣除。</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质量保证期</w:t>
            </w:r>
            <w:r>
              <w:rPr>
                <w:rFonts w:ascii="仿宋_GB2312" w:hAnsi="仿宋_GB2312" w:cs="仿宋_GB2312" w:eastAsia="仿宋_GB2312"/>
                <w:sz w:val="24"/>
              </w:rPr>
              <w:t>：</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）保修要求：属于保修范围和内容的项目，成交供应商应在接到维修通知后，</w:t>
            </w:r>
            <w:r>
              <w:rPr>
                <w:rFonts w:ascii="仿宋_GB2312" w:hAnsi="仿宋_GB2312" w:cs="仿宋_GB2312" w:eastAsia="仿宋_GB2312"/>
                <w:sz w:val="24"/>
              </w:rPr>
              <w:t>1天内派人维修。</w:t>
            </w:r>
            <w:r>
              <w:rPr>
                <w:rFonts w:ascii="仿宋_GB2312" w:hAnsi="仿宋_GB2312" w:cs="仿宋_GB2312" w:eastAsia="仿宋_GB2312"/>
                <w:sz w:val="24"/>
              </w:rPr>
              <w:t>发生紧急抢修事故（如上水管跑水、爆裂，供电设施漏、断电等），成交供应商应在接到事故通知后</w:t>
            </w:r>
            <w:r>
              <w:rPr>
                <w:rFonts w:ascii="仿宋_GB2312" w:hAnsi="仿宋_GB2312" w:cs="仿宋_GB2312" w:eastAsia="仿宋_GB2312"/>
                <w:sz w:val="24"/>
              </w:rPr>
              <w:t>2 小时内到达事故现场并于</w:t>
            </w:r>
            <w:r>
              <w:rPr>
                <w:rFonts w:ascii="仿宋_GB2312" w:hAnsi="仿宋_GB2312" w:cs="仿宋_GB2312" w:eastAsia="仿宋_GB2312"/>
                <w:sz w:val="24"/>
              </w:rPr>
              <w:t>4</w:t>
            </w:r>
            <w:r>
              <w:rPr>
                <w:rFonts w:ascii="仿宋_GB2312" w:hAnsi="仿宋_GB2312" w:cs="仿宋_GB2312" w:eastAsia="仿宋_GB2312"/>
                <w:sz w:val="24"/>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质量标准：工程验收标准执行国家现有的有关规范及标准，本工程质量要求为合格。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一、响应报价要求 1.本项目工程量清单分为两个部分： 第一部分（包含：南侧绿植处地面硬化、原石子地面硬化、北侧道路）供应商应充分考虑磋商文件的各项条款和所掌握的市场情况及本工程的实际情况，且应根据企业自身情况自主做出填全费用单价响应报价，其中，暂列金应按照本项目列明的金额进行填报。 第二部分（共青团路、篮球场南侧道路）采用工程量清单计价，自主填报已标价工程量清单，已标价工程量清单中供应商均应按清单项填报综合单价并计算合价，每一项目只允许有一个报价。 结算时，依据采购人审定的工程量，按实际发生量据实结算，工程价款结算时依据最终价款和一次报价的下浮比例执行。 评审时根据供应商填报的第一部分响应报价与第二部分响应报价之和进行评审。任何有选择的报价将不予接受。供应商未填综合单价和合价的，均视为此项目费用已包含在其他综合单价和合价中，成交后不予增加。所有磋商报价中的单价和合价均以人民币表示。 二、响应保证金及纸质版响应文件注意事项 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2698462816@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3.供应商未按指定账户提交响应保证金的，我公司将退回，供应商须在文件递交截止时间前按照指定账户再次提交。 4.本项目成交供应商须在领取中标（成交）通知书同一时间向采购代理机构提供响应文件（应与政府采购电子化交易平台上传的响应文件完全一致）正本1份、副本1份。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已标价工程量清单【第二部分】 已标价工程量清单【第一部分】.docx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已标价工程量清单【第二部分】 已标价工程量清单【第一部分】.docx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质量管理体系与保证措施.docx 供应商应提交的资格审查资料.docx 确保安全生产、文明施工的技术组织措施及环境保护措施.docx 拟派项目经理证明材料.docx 中小企业声明函 对项目整体理解及施工方案.docx 企业业绩.docx 服务承诺.docx 技术服务合同条款及其他商务要求应答表 工程进度计划与保证措施.docx 响应文件封面 已标价工程量清单【第二部分】 已标价工程量清单【第一部分】.docx 残疾人福利性单位声明函 法定代表人证明书及授权书.docx 报价函 标的清单 响应函 项目人员组成.docx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w:t>
            </w:r>
          </w:p>
        </w:tc>
        <w:tc>
          <w:tcPr>
            <w:tcW w:type="dxa" w:w="1661"/>
          </w:tcPr>
          <w:p>
            <w:pPr>
              <w:pStyle w:val="null3"/>
            </w:pPr>
            <w:r>
              <w:rPr>
                <w:rFonts w:ascii="仿宋_GB2312" w:hAnsi="仿宋_GB2312" w:cs="仿宋_GB2312" w:eastAsia="仿宋_GB2312"/>
              </w:rPr>
              <w:t>已标价工程量清单【第二部分】</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拟派项目经理证明材料.docx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内容完备、科学、合理、针对性强得2分； 内容有缺失或不合理的得1分； 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内容有缺失或不合理的得1分； 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内容完备、科学、合理、针对性强得2分； 内容有缺失或不合理的得1分； 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内容完备、科学、合理、针对性强得4分； 内容较为完备，针对性较强的得3分， 内容简较为简略、方案基本可行得2分； 内容有缺失或不合理的得1分 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内容完备、科学、合理、针对性强得4分； 内容较完备、较科学、较合理、针对性较强得3分； 内容一般、基本可行得2分； 内容存在明显缺陷或可行性较差得1分；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内容完备、科学、合理、针对性强得4分； 内容较完备、较科学、较合理、针对性较强得3分； 内容一般、基本可行得2分； 内容存在明显缺陷或可行性较差得1分；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内容完备、科学、合理、针对性强得4分； 内容较完备、较科学、较合理、针对性较强得3分； 内容一般、基本可行得2分； 内容存在明显缺陷或可行性较差得1分；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内容完备、科学、合理、针对性强得3分； 内容一般、基本可行得2分； 内容存在明显缺陷或可行性较差得1分； 缺项或未提供的得0分。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内容完备、科学、合理、针对性强得3分； 内容一般、基本可行得2分； 内容存在明显缺陷或可行性较差得1分； 缺项或未提供的得0分。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供应商提供拟派项目经理自2023年5月1日至今的类似业绩证明材料，每提供1项得1分，最多得5分。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内容简较为简略、方案基本可行得2分； 内容有缺失或不合理的得1分； 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提供供应商2023年5月1日至今(以合同签订日期为准)类似业绩证明材料，每份业绩计1分，满分5分。 备注：业绩时间以合同签订时间所体现的时间为准。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方案完善、科学合理，针对性强，服务承诺明确的得4分； 方案较完善、较科学合理，针对性较强，服务承诺较明确的得3分；方案较完善、较科学合理，针对性一般，服务承诺基本明确的得2分； 方案一般、基本可行，特点和承诺不明确的得1分；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详见附件：已标价工程量清单【第一部分】.docx</w:t>
      </w:r>
    </w:p>
    <w:p>
      <w:pPr>
        <w:pStyle w:val="null3"/>
        <w:ind w:firstLine="960"/>
      </w:pPr>
      <w:r>
        <w:rPr>
          <w:rFonts w:ascii="仿宋_GB2312" w:hAnsi="仿宋_GB2312" w:cs="仿宋_GB2312" w:eastAsia="仿宋_GB2312"/>
        </w:rPr>
        <w:t>详见附件：已标价工程量清单【第二部分】</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