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版本号：ZCSP-临渭区-2026-0014620260624002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2026年度中央财政支持实施城市更新行动实施方案编制项目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ZCSP-临渭区-2026-00146</w:t>
      </w:r>
      <w:r>
        <w:br/>
      </w:r>
      <w:r>
        <w:br/>
      </w:r>
      <w:r>
        <w:br/>
      </w:r>
    </w:p>
    <w:p>
      <w:pPr>
        <w:pStyle w:val="null3"/>
        <w:jc w:val="center"/>
        <w:outlineLvl w:val="2"/>
      </w:pPr>
      <w:r>
        <w:rPr>
          <w:rFonts w:ascii="仿宋_GB2312" w:hAnsi="仿宋_GB2312" w:cs="仿宋_GB2312" w:eastAsia="仿宋_GB2312"/>
          <w:sz w:val="28"/>
          <w:b/>
        </w:rPr>
        <w:t>陕西省渭南市临渭区住房和城乡建设局</w:t>
      </w:r>
    </w:p>
    <w:p>
      <w:pPr>
        <w:pStyle w:val="null3"/>
        <w:jc w:val="center"/>
        <w:outlineLvl w:val="2"/>
      </w:pPr>
      <w:r>
        <w:rPr>
          <w:rFonts w:ascii="仿宋_GB2312" w:hAnsi="仿宋_GB2312" w:cs="仿宋_GB2312" w:eastAsia="仿宋_GB2312"/>
          <w:sz w:val="28"/>
          <w:b/>
        </w:rPr>
        <w:t>华兴天成项目咨询有限公司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华兴天成项目咨询有限公司</w:t>
      </w:r>
      <w:r>
        <w:rPr>
          <w:rFonts w:ascii="仿宋_GB2312" w:hAnsi="仿宋_GB2312" w:cs="仿宋_GB2312" w:eastAsia="仿宋_GB2312"/>
        </w:rPr>
        <w:t>（以下简称“代理机构”）受</w:t>
      </w:r>
      <w:r>
        <w:rPr>
          <w:rFonts w:ascii="仿宋_GB2312" w:hAnsi="仿宋_GB2312" w:cs="仿宋_GB2312" w:eastAsia="仿宋_GB2312"/>
        </w:rPr>
        <w:t>陕西省渭南市临渭区住房和城乡建设局</w:t>
      </w:r>
      <w:r>
        <w:rPr>
          <w:rFonts w:ascii="仿宋_GB2312" w:hAnsi="仿宋_GB2312" w:cs="仿宋_GB2312" w:eastAsia="仿宋_GB2312"/>
        </w:rPr>
        <w:t>委托，拟对</w:t>
      </w:r>
      <w:r>
        <w:rPr>
          <w:rFonts w:ascii="仿宋_GB2312" w:hAnsi="仿宋_GB2312" w:cs="仿宋_GB2312" w:eastAsia="仿宋_GB2312"/>
        </w:rPr>
        <w:t>2026年度中央财政支持实施城市更新行动实施方案编制项目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ZCSP-临渭区-2026-00146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2026年度中央财政支持实施城市更新行动实施方案编制项目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编制2026年度中央财政支持实施城市更新行动实施方案，开展临渭区更新规划编制工作，结合城市体检评估成果，确定城市更新行动目标、重点任务、建设项目和实施时序，建立完善规划实施体系，确保城市更新项目落地。</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1、法定代表人身份证明书/法定代表人授权委托书：法定代表人参与磋商时需提供法定代表人身份证明书；被授权人参与磋商时需提供法定代表人 身份证明书及法定代表人授权委托书；</w:t>
      </w:r>
    </w:p>
    <w:p>
      <w:pPr>
        <w:pStyle w:val="null3"/>
      </w:pPr>
      <w:r>
        <w:rPr>
          <w:rFonts w:ascii="仿宋_GB2312" w:hAnsi="仿宋_GB2312" w:cs="仿宋_GB2312" w:eastAsia="仿宋_GB2312"/>
        </w:rPr>
        <w:t>2、磋商保证金交纳凭证：磋商保证金交纳凭证；</w:t>
      </w:r>
    </w:p>
    <w:p>
      <w:pPr>
        <w:pStyle w:val="null3"/>
      </w:pPr>
      <w:r>
        <w:rPr>
          <w:rFonts w:ascii="仿宋_GB2312" w:hAnsi="仿宋_GB2312" w:cs="仿宋_GB2312" w:eastAsia="仿宋_GB2312"/>
        </w:rPr>
        <w:t>3、信用信息：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4、企业资质：供应商具备在有效期内且由国家行政主管部门颁发的城乡规划编制甲级资质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陕西省渭南市临渭区住房和城乡建设局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渭南市临渭区东风大街83号院</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聂艳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0913-3039791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华兴天成项目咨询有限公司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陕西省西安市雁塔区陕西省西安市高新区唐延路11号禾盛京广中心B座14层1403室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13571518412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渭南市临渭区政府采购管理股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吕洁</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0913-2130873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采购包1保证金金额：9,000.00元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开户名称：华兴天成项目咨询有限公司</w:t>
            </w:r>
          </w:p>
          <w:p>
            <w:pPr>
              <w:pStyle w:val="null3"/>
            </w:pPr>
            <w:r>
              <w:rPr>
                <w:rFonts w:ascii="仿宋_GB2312" w:hAnsi="仿宋_GB2312" w:cs="仿宋_GB2312" w:eastAsia="仿宋_GB2312"/>
              </w:rPr>
              <w:t>开户银行：西安银行股份有限公司未来支行</w:t>
            </w:r>
          </w:p>
          <w:p>
            <w:pPr>
              <w:pStyle w:val="null3"/>
            </w:pPr>
            <w:r>
              <w:rPr>
                <w:rFonts w:ascii="仿宋_GB2312" w:hAnsi="仿宋_GB2312" w:cs="仿宋_GB2312" w:eastAsia="仿宋_GB2312"/>
              </w:rPr>
              <w:t>银行账号：291011580000051615</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国家发展改革委关于进一步放开建设项目专业服务价格的通知》（发改价格﹝2015﹞299号）的要求，参照计价格﹝2002﹞1980号、发改价格﹝2011﹞534号文件的计费标准，以中标（成交）价为基数计算，按照标准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陕西省渭南市临渭区住房和城乡建设局</w:t>
      </w:r>
      <w:r>
        <w:rPr>
          <w:rFonts w:ascii="仿宋_GB2312" w:hAnsi="仿宋_GB2312" w:cs="仿宋_GB2312" w:eastAsia="仿宋_GB2312"/>
        </w:rPr>
        <w:t>和</w:t>
      </w:r>
      <w:r>
        <w:rPr>
          <w:rFonts w:ascii="仿宋_GB2312" w:hAnsi="仿宋_GB2312" w:cs="仿宋_GB2312" w:eastAsia="仿宋_GB2312"/>
        </w:rPr>
        <w:t>华兴天成项目咨询有限公司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陕西省渭南市临渭区住房和城乡建设局</w:t>
      </w:r>
      <w:r>
        <w:rPr>
          <w:rFonts w:ascii="仿宋_GB2312" w:hAnsi="仿宋_GB2312" w:cs="仿宋_GB2312" w:eastAsia="仿宋_GB2312"/>
        </w:rPr>
        <w:t>负责解释。除上述磋商文件内容，其他内容由</w:t>
      </w:r>
      <w:r>
        <w:rPr>
          <w:rFonts w:ascii="仿宋_GB2312" w:hAnsi="仿宋_GB2312" w:cs="仿宋_GB2312" w:eastAsia="仿宋_GB2312"/>
        </w:rPr>
        <w:t>华兴天成项目咨询有限公司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陕西省渭南市临渭区住房和城乡建设局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华兴天成项目咨询有限公司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 二、供应商将在采购项目实施过程中采用自有或者第三方知识成果的，采购项目涉及采购标的的知识产权相关事宜由采购人结合项目实际自主确认或协商约定，具体如下： 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 三、如采用供应商所不拥有的知识产权，则在报价中必须包括合法使用该知识产权的相关费用。 四、构成本磋商文件的各组成部分，未经采购人书面同意，供应商不得擅自复印或用于非本磋商项目所需的其他目的。</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在服务期限内，根据相关标准切实完成采购工作任务清单，按要求及时出具技术报告及成果，达到采购要求。 在项目结束1个月内，由项目单位组织专家以验收会的形式对项目成果进行验收，并以专家最终意见作为项目验收依据。</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华兴天成项目咨询有限公司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华兴天成项目咨询有限公司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华兴天成项目咨询有限公司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联系人：王敏</w:t>
      </w:r>
    </w:p>
    <w:p>
      <w:pPr>
        <w:pStyle w:val="null3"/>
      </w:pPr>
      <w:r>
        <w:rPr>
          <w:rFonts w:ascii="仿宋_GB2312" w:hAnsi="仿宋_GB2312" w:cs="仿宋_GB2312" w:eastAsia="仿宋_GB2312"/>
        </w:rPr>
        <w:t>联系电话：13571518412</w:t>
      </w:r>
    </w:p>
    <w:p>
      <w:pPr>
        <w:pStyle w:val="null3"/>
      </w:pPr>
      <w:r>
        <w:rPr>
          <w:rFonts w:ascii="仿宋_GB2312" w:hAnsi="仿宋_GB2312" w:cs="仿宋_GB2312" w:eastAsia="仿宋_GB2312"/>
        </w:rPr>
        <w:t>地址：陕西省西安市高新区唐延路11号禾盛京广中心E座17层1704A室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编制2026年度中央财政支持实施城市更新行动实施方案，开展临渭区更新规划编制工作，结合城市体检评估成果，确定城市更新行动目标、重点任务、建设项目和实施时序，建立完善规划实施体系，确保城市更新项目落地。</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900,000.00</w:t>
      </w:r>
    </w:p>
    <w:p>
      <w:pPr>
        <w:pStyle w:val="null3"/>
      </w:pPr>
      <w:r>
        <w:rPr>
          <w:rFonts w:ascii="仿宋_GB2312" w:hAnsi="仿宋_GB2312" w:cs="仿宋_GB2312" w:eastAsia="仿宋_GB2312"/>
        </w:rPr>
        <w:t>采购包最高限价（元）: 900,000.00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2026年度中央财政支持实施城市更新行动实施方案编制</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标的名称：2026年度中央财政支持实施城市更新行动实施方案编制</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1.项目概况</w:t>
            </w:r>
          </w:p>
          <w:p>
            <w:pPr>
              <w:pStyle w:val="null3"/>
            </w:pPr>
            <w:r>
              <w:rPr>
                <w:rFonts w:ascii="仿宋_GB2312" w:hAnsi="仿宋_GB2312" w:cs="仿宋_GB2312" w:eastAsia="仿宋_GB2312"/>
              </w:rPr>
              <w:t>开展临渭区更新规划编制工作，结合城市体检评估成果，确定城市更新行动目标、重点任务、建设项目和实施时序，建立完善规划实施体系，确保城市更新项目落地</w:t>
            </w:r>
          </w:p>
          <w:p>
            <w:pPr>
              <w:pStyle w:val="null3"/>
            </w:pPr>
            <w:r>
              <w:rPr>
                <w:rFonts w:ascii="仿宋_GB2312" w:hAnsi="仿宋_GB2312" w:cs="仿宋_GB2312" w:eastAsia="仿宋_GB2312"/>
              </w:rPr>
              <w:t>2.服务内容</w:t>
            </w:r>
          </w:p>
          <w:p>
            <w:pPr>
              <w:pStyle w:val="null3"/>
            </w:pPr>
            <w:r>
              <w:rPr>
                <w:rFonts w:ascii="仿宋_GB2312" w:hAnsi="仿宋_GB2312" w:cs="仿宋_GB2312" w:eastAsia="仿宋_GB2312"/>
              </w:rPr>
              <w:t>临渭区城市更新行动（2026—2028年）工作方案编制主要包含以下内容：</w:t>
            </w:r>
          </w:p>
          <w:p>
            <w:pPr>
              <w:pStyle w:val="null3"/>
            </w:pPr>
            <w:r>
              <w:rPr>
                <w:rFonts w:ascii="仿宋_GB2312" w:hAnsi="仿宋_GB2312" w:cs="仿宋_GB2312" w:eastAsia="仿宋_GB2312"/>
              </w:rPr>
              <w:t>（1）基本情况：摘要、城市概况、工作基础、主要问题和需求分析。</w:t>
            </w:r>
          </w:p>
          <w:p>
            <w:pPr>
              <w:pStyle w:val="null3"/>
            </w:pPr>
            <w:r>
              <w:rPr>
                <w:rFonts w:ascii="仿宋_GB2312" w:hAnsi="仿宋_GB2312" w:cs="仿宋_GB2312" w:eastAsia="仿宋_GB2312"/>
              </w:rPr>
              <w:t>（2）总体要求：总体思路、基本原则、主要目标（包括总体目标、三年行动绩效目标、年度目标3个部分）</w:t>
            </w:r>
          </w:p>
          <w:p>
            <w:pPr>
              <w:pStyle w:val="null3"/>
            </w:pPr>
            <w:r>
              <w:rPr>
                <w:rFonts w:ascii="仿宋_GB2312" w:hAnsi="仿宋_GB2312" w:cs="仿宋_GB2312" w:eastAsia="仿宋_GB2312"/>
              </w:rPr>
              <w:t>（3）实施内容：聚焦本城市人民群众身边的急难愁盼问题，注重机制创新，注重提振消费，注重投资于物和投资于人相结合，创新完善以需求为导向、以项目为牵引的城市更新体制机制，以重点样板片区建设探索可复制可推广的机制，以机制建设带动实施示范项目，彰显成效。</w:t>
            </w:r>
          </w:p>
          <w:p>
            <w:pPr>
              <w:pStyle w:val="null3"/>
            </w:pPr>
            <w:r>
              <w:rPr>
                <w:rFonts w:ascii="仿宋_GB2312" w:hAnsi="仿宋_GB2312" w:cs="仿宋_GB2312" w:eastAsia="仿宋_GB2312"/>
              </w:rPr>
              <w:t>（4）效益分析：简要分析评估实施城市更新行动后的成效，可从社会效益、生态效益、经济效益等方面进行。</w:t>
            </w:r>
          </w:p>
          <w:p>
            <w:pPr>
              <w:pStyle w:val="null3"/>
            </w:pPr>
            <w:r>
              <w:rPr>
                <w:rFonts w:ascii="仿宋_GB2312" w:hAnsi="仿宋_GB2312" w:cs="仿宋_GB2312" w:eastAsia="仿宋_GB2312"/>
              </w:rPr>
              <w:t>（5）保障措施：从组织领导、政策保障、管理机制、资金筹措、后期管理等方面，说明拟采取的保障措施。</w:t>
            </w:r>
          </w:p>
          <w:p>
            <w:pPr>
              <w:pStyle w:val="null3"/>
            </w:pPr>
            <w:r>
              <w:rPr>
                <w:rFonts w:ascii="仿宋_GB2312" w:hAnsi="仿宋_GB2312" w:cs="仿宋_GB2312" w:eastAsia="仿宋_GB2312"/>
              </w:rPr>
              <w:t>（6）附件：片区及项目清单、重点样板片区布局图、佐证材料。</w:t>
            </w:r>
          </w:p>
          <w:p>
            <w:pPr>
              <w:pStyle w:val="null3"/>
            </w:pPr>
            <w:r>
              <w:rPr>
                <w:rFonts w:ascii="仿宋_GB2312" w:hAnsi="仿宋_GB2312" w:cs="仿宋_GB2312" w:eastAsia="仿宋_GB2312"/>
              </w:rPr>
              <w:t>3.服务要求</w:t>
            </w:r>
          </w:p>
          <w:p>
            <w:pPr>
              <w:pStyle w:val="null3"/>
            </w:pPr>
            <w:r>
              <w:rPr>
                <w:rFonts w:ascii="仿宋_GB2312" w:hAnsi="仿宋_GB2312" w:cs="仿宋_GB2312" w:eastAsia="仿宋_GB2312"/>
              </w:rPr>
              <w:t>（1）实施方案的编制应符合中省及渭南市的工作要求，满足国家现行相关行业法律、法规、标准的规定和要求，并配合采购人完成省上的相关审查工作和后期服务工作。</w:t>
            </w:r>
          </w:p>
          <w:p>
            <w:pPr>
              <w:pStyle w:val="null3"/>
            </w:pPr>
            <w:r>
              <w:rPr>
                <w:rFonts w:ascii="仿宋_GB2312" w:hAnsi="仿宋_GB2312" w:cs="仿宋_GB2312" w:eastAsia="仿宋_GB2312"/>
              </w:rPr>
              <w:t>（2）供应商应充分开展现场调研和资料收集工作，服务过程应制定可行的项目服务方案及工作计划，组建项目工作组，配备满足工作要求的技术服务人员，按照项目服务计划定期与采购人交换意见，保证项目质量，按要求完成项目服务的全部工作。</w:t>
            </w:r>
          </w:p>
          <w:p>
            <w:pPr>
              <w:pStyle w:val="null3"/>
            </w:pPr>
            <w:r>
              <w:rPr>
                <w:rFonts w:ascii="仿宋_GB2312" w:hAnsi="仿宋_GB2312" w:cs="仿宋_GB2312" w:eastAsia="仿宋_GB2312"/>
              </w:rPr>
              <w:t>（3）人员配备合理。有针对本项目的专项服务小组，项目负责人、工作人员分工明确（应有具体成员名单，包括姓名、工作职责等）</w:t>
            </w:r>
          </w:p>
          <w:p>
            <w:pPr>
              <w:pStyle w:val="null3"/>
            </w:pPr>
            <w:r>
              <w:rPr>
                <w:rFonts w:ascii="仿宋_GB2312" w:hAnsi="仿宋_GB2312" w:cs="仿宋_GB2312" w:eastAsia="仿宋_GB2312"/>
              </w:rPr>
              <w:t>（4）有各类突发事件的应急预案和措施，有明确具体的承诺。</w:t>
            </w:r>
          </w:p>
          <w:p>
            <w:pPr>
              <w:pStyle w:val="null3"/>
            </w:pPr>
            <w:r>
              <w:rPr>
                <w:rFonts w:ascii="仿宋_GB2312" w:hAnsi="仿宋_GB2312" w:cs="仿宋_GB2312" w:eastAsia="仿宋_GB2312"/>
              </w:rPr>
              <w:t>（5）供应商所拟派的工作人员，若在服务期间发生任何伤害，采购人概不负责，由供应商自行处理。</w:t>
            </w:r>
          </w:p>
          <w:p>
            <w:pPr>
              <w:pStyle w:val="null3"/>
            </w:pPr>
            <w:r>
              <w:rPr>
                <w:rFonts w:ascii="仿宋_GB2312" w:hAnsi="仿宋_GB2312" w:cs="仿宋_GB2312" w:eastAsia="仿宋_GB2312"/>
              </w:rPr>
              <w:t>4.服务质量</w:t>
            </w:r>
          </w:p>
          <w:p>
            <w:pPr>
              <w:pStyle w:val="null3"/>
            </w:pPr>
            <w:r>
              <w:rPr>
                <w:rFonts w:ascii="仿宋_GB2312" w:hAnsi="仿宋_GB2312" w:cs="仿宋_GB2312" w:eastAsia="仿宋_GB2312"/>
              </w:rPr>
              <w:t>（1）符合国家相关编制规范、规程和有关技术规定；</w:t>
            </w:r>
          </w:p>
          <w:p>
            <w:pPr>
              <w:pStyle w:val="null3"/>
            </w:pPr>
            <w:r>
              <w:rPr>
                <w:rFonts w:ascii="仿宋_GB2312" w:hAnsi="仿宋_GB2312" w:cs="仿宋_GB2312" w:eastAsia="仿宋_GB2312"/>
              </w:rPr>
              <w:t>（2）成果文件及质量满足相关部门的规定。</w:t>
            </w:r>
          </w:p>
          <w:p>
            <w:pPr>
              <w:pStyle w:val="null3"/>
            </w:pPr>
            <w:r>
              <w:rPr>
                <w:rFonts w:ascii="仿宋_GB2312" w:hAnsi="仿宋_GB2312" w:cs="仿宋_GB2312" w:eastAsia="仿宋_GB2312"/>
              </w:rPr>
              <w:t>5.成果形式</w:t>
            </w:r>
          </w:p>
          <w:p>
            <w:pPr>
              <w:pStyle w:val="null3"/>
            </w:pPr>
            <w:r>
              <w:rPr>
                <w:rFonts w:ascii="仿宋_GB2312" w:hAnsi="仿宋_GB2312" w:cs="仿宋_GB2312" w:eastAsia="仿宋_GB2312"/>
              </w:rPr>
              <w:t>（1）成果形式为纸质版文件和电子版两种。项目完成采购人审批和验收后，将最终形成的成果性文件的电子版和纸质版文件在规定时间内全部提供给采购人。</w:t>
            </w:r>
          </w:p>
          <w:p>
            <w:pPr>
              <w:pStyle w:val="null3"/>
            </w:pPr>
            <w:r>
              <w:rPr>
                <w:rFonts w:ascii="仿宋_GB2312" w:hAnsi="仿宋_GB2312" w:cs="仿宋_GB2312" w:eastAsia="仿宋_GB2312"/>
              </w:rPr>
              <w:t>（2）包括实施方案文本、图集、佐证材料、答辩材料等，其中实施方案文本、图集提供盖章纸质版6套，实施方案文本、图集、佐证材料、答辩材料提供电子文件1套。</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项目人员配备合理，岗位职责明确，满足项目实施要求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自合同签订之日起20日历天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渭南市临渭区</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在服务期限内，根据相关标准切实完成采购工作任务清单，按要求及时出具技术报告及成果，达到采购要求。 在项目结束1个月内，由项目单位组织专家以验收会的形式对项目成果进行验收，并以专家最终意见作为项目验收依据。</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进度款，本项目根据服务进度付款，供应商完成服务内容后，达到付款条件起10个工作日内，支付合同总金额的90.0%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进度款，最终成果文件通过采购人及相关部门验收后，达到付款条件起10个工作日内，支付合同总金额的10.0%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采购人因未及时向供应商提供项目启动所需资料、协调地方关系造成工期延误，每延误1日则本合同服务期限延长1日，以此类推；因资料真实性给供应商造成损失和产生相关连带责任时，采购人除按供应商要求进行赔偿外还需承担因连带责任产生的所有责任。 （二）因供应商原因造成服务期延误（自然灾害等不可抗力除外），采购人有权从未付款项中按每日3‰合同价款扣除违约金，此违约以30日为限；若采购人未按约定时间付款，则供应商有权按每日3‰合同价款收取违约金。</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中标（成交）供应商在中标（成交）结果公告发布后3个工作日内提供叁套纸质投标文件（经编标工具生成的文件直接打印并加盖公章），递交的纸质版文件内容确保与线上电子文件保持一致，不允许修改和补充。 2.根据《政府采购法实施条例》释义，银行、保险、石油石化、电力、电信等有行业特殊情况的，允许法人的分支机构参加政府采购活动。 3.根据关于印发中小企业划型标准规定的通知 （工信部联企业〔2011〕300号）中小企业划型标准规定：（十六）其他未列明行业。从业人员300人以下的为中小微型企业。其中，从业人员100人及以上的为中型企业；从业人员10人及以上的为小型企业；从业人员10人以下的为微型企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营业执照等证明文件</w:t>
            </w:r>
          </w:p>
        </w:tc>
        <w:tc>
          <w:tcPr>
            <w:tcW w:type="dxa" w:w="3322"/>
          </w:tcPr>
          <w:p>
            <w:pPr>
              <w:pStyle w:val="null3"/>
            </w:pPr>
            <w:r>
              <w:rPr>
                <w:rFonts w:ascii="仿宋_GB2312" w:hAnsi="仿宋_GB2312" w:cs="仿宋_GB2312" w:eastAsia="仿宋_GB2312"/>
              </w:rPr>
              <w:t>供应商应提供合法有效，具有独立承担民事责任能力的证明资料;</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具有良好的商业信誉和健全的财务会计制度以及有依法缴纳税收和社会保障资金的良好记录</w:t>
            </w:r>
          </w:p>
        </w:tc>
        <w:tc>
          <w:tcPr>
            <w:tcW w:type="dxa" w:w="3322"/>
          </w:tcPr>
          <w:p>
            <w:pPr>
              <w:pStyle w:val="null3"/>
            </w:pPr>
            <w:r>
              <w:rPr>
                <w:rFonts w:ascii="仿宋_GB2312" w:hAnsi="仿宋_GB2312" w:cs="仿宋_GB2312" w:eastAsia="仿宋_GB2312"/>
              </w:rPr>
              <w:t>（1）财务状况报告：提供具有财务审计资质单位出具的2025年度财务审计报告（成立时间至磋商时间不足一年的可提供成立后任意时段的资产负债表）或响应文件递交截止时间前六个月内其基本账户银行出具的资信证明（附基本账户证明）或政府采购信用担保机构出具的磋商担保函； （2）税收缴纳证明：提供响应文件递交截止时间前一年内任意一个月的缴费凭据；依法免税的应提供相关文件证明； （3）社会保障资金缴纳证明：提供响应文件递交截止时间前一年内任意一个月的社保缴费凭据或社保机构开具的社会保险参保缴费情况证明；依法不需要缴纳社会保障资金的供应商应提供相关文件证明； 注：按照陕西省财政厅关于进一步优化政府采购营商环境有关事项的通知（陕财办采〔2023〕4号）中对供应商参与政府采购活动建立“承诺+信用管理”的准入管理制度要求，以上三项内容可根据本招标文件格式要求出具承诺函，成交供应商的承诺函同成交结果一并公示。</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具有履行本合同所必需的设备和专业技术能力的说明或承诺</w:t>
            </w:r>
          </w:p>
        </w:tc>
        <w:tc>
          <w:tcPr>
            <w:tcW w:type="dxa" w:w="3322"/>
          </w:tcPr>
          <w:p>
            <w:pPr>
              <w:pStyle w:val="null3"/>
            </w:pPr>
            <w:r>
              <w:rPr>
                <w:rFonts w:ascii="仿宋_GB2312" w:hAnsi="仿宋_GB2312" w:cs="仿宋_GB2312" w:eastAsia="仿宋_GB2312"/>
              </w:rPr>
              <w:t>提供具有履行本合同所必需的设备和专业技术能力的说明或承诺（格式自拟）；</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参加政府采购活动前三年内在经营活动中没有重大违法记录的书面声明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提供参加政府采购活动前三年内在经营活动中没有重大违法记录的书面声明（格式自拟）；</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法定代表人身份证明书/法定代表人授权委托书</w:t>
            </w:r>
          </w:p>
        </w:tc>
        <w:tc>
          <w:tcPr>
            <w:tcW w:type="dxa" w:w="3322"/>
          </w:tcPr>
          <w:p>
            <w:pPr>
              <w:pStyle w:val="null3"/>
            </w:pPr>
            <w:r>
              <w:rPr>
                <w:rFonts w:ascii="仿宋_GB2312" w:hAnsi="仿宋_GB2312" w:cs="仿宋_GB2312" w:eastAsia="仿宋_GB2312"/>
              </w:rPr>
              <w:t>法定代表人参与磋商时需提供法定代表人身份证明书；被授权人参与磋商时需提供法定代表人 身份证明书及法定代表人授权委托书；</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磋商保证金交纳凭证</w:t>
            </w:r>
          </w:p>
        </w:tc>
        <w:tc>
          <w:tcPr>
            <w:tcW w:type="dxa" w:w="3322"/>
          </w:tcPr>
          <w:p>
            <w:pPr>
              <w:pStyle w:val="null3"/>
            </w:pPr>
            <w:r>
              <w:rPr>
                <w:rFonts w:ascii="仿宋_GB2312" w:hAnsi="仿宋_GB2312" w:cs="仿宋_GB2312" w:eastAsia="仿宋_GB2312"/>
              </w:rPr>
              <w:t>磋商保证金交纳凭证；</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供应商具备在有效期内且由国家行政主管部门颁发的城乡规划编制甲级资质</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响应文件签章</w:t>
            </w:r>
          </w:p>
        </w:tc>
        <w:tc>
          <w:tcPr>
            <w:tcW w:type="dxa" w:w="3322"/>
          </w:tcPr>
          <w:p>
            <w:pPr>
              <w:pStyle w:val="null3"/>
            </w:pPr>
            <w:r>
              <w:rPr>
                <w:rFonts w:ascii="仿宋_GB2312" w:hAnsi="仿宋_GB2312" w:cs="仿宋_GB2312" w:eastAsia="仿宋_GB2312"/>
              </w:rPr>
              <w:t>磋商响应文件按竞争性磋商文件要求进行签章</w:t>
            </w:r>
          </w:p>
        </w:tc>
        <w:tc>
          <w:tcPr>
            <w:tcW w:type="dxa" w:w="1661"/>
          </w:tcPr>
          <w:p>
            <w:pPr>
              <w:pStyle w:val="null3"/>
            </w:pPr>
            <w:r>
              <w:rPr>
                <w:rFonts w:ascii="仿宋_GB2312" w:hAnsi="仿宋_GB2312" w:cs="仿宋_GB2312" w:eastAsia="仿宋_GB2312"/>
              </w:rPr>
              <w:t>响应文件封面 政府采购供应商拒绝政府采购领域商业贿赂承诺书.docx 中小企业声明函 残疾人福利性单位声明函 商务应答表 服务方案 服务内容及服务要求应答表 标的清单 报价表 供应商资格证明文件.docx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满足磋商文件规定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满足磋商文件规定</w:t>
            </w:r>
          </w:p>
        </w:tc>
        <w:tc>
          <w:tcPr>
            <w:tcW w:type="dxa" w:w="1661"/>
          </w:tcPr>
          <w:p>
            <w:pPr>
              <w:pStyle w:val="null3"/>
            </w:pPr>
            <w:r>
              <w:rPr>
                <w:rFonts w:ascii="仿宋_GB2312" w:hAnsi="仿宋_GB2312" w:cs="仿宋_GB2312" w:eastAsia="仿宋_GB2312"/>
              </w:rPr>
              <w:t>商务应答表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磋商报价没有超出最高限价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对采购内容的响应程度</w:t>
            </w:r>
          </w:p>
        </w:tc>
        <w:tc>
          <w:tcPr>
            <w:tcW w:type="dxa" w:w="3322"/>
          </w:tcPr>
          <w:p>
            <w:pPr>
              <w:pStyle w:val="null3"/>
            </w:pPr>
            <w:r>
              <w:rPr>
                <w:rFonts w:ascii="仿宋_GB2312" w:hAnsi="仿宋_GB2312" w:cs="仿宋_GB2312" w:eastAsia="仿宋_GB2312"/>
              </w:rPr>
              <w:t>满足磋商文件规定</w:t>
            </w:r>
          </w:p>
        </w:tc>
        <w:tc>
          <w:tcPr>
            <w:tcW w:type="dxa" w:w="1661"/>
          </w:tcPr>
          <w:p>
            <w:pPr>
              <w:pStyle w:val="null3"/>
            </w:pPr>
            <w:r>
              <w:rPr>
                <w:rFonts w:ascii="仿宋_GB2312" w:hAnsi="仿宋_GB2312" w:cs="仿宋_GB2312" w:eastAsia="仿宋_GB2312"/>
              </w:rPr>
              <w:t>商务应答表 服务内容及服务要求应答表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无其他做无效磋商处理的情况</w:t>
            </w:r>
          </w:p>
        </w:tc>
        <w:tc>
          <w:tcPr>
            <w:tcW w:type="dxa" w:w="1661"/>
          </w:tcPr>
          <w:p>
            <w:pPr>
              <w:pStyle w:val="null3"/>
            </w:pPr>
            <w:r>
              <w:rPr>
                <w:rFonts w:ascii="仿宋_GB2312" w:hAnsi="仿宋_GB2312" w:cs="仿宋_GB2312" w:eastAsia="仿宋_GB2312"/>
              </w:rPr>
              <w:t>响应文件封面 政府采购供应商拒绝政府采购领域商业贿赂承诺书.docx 中小企业声明函 残疾人福利性单位声明函 商务应答表 服务方案 服务内容及服务要求应答表 标的清单 报价表 供应商资格证明文件.docx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（一）评审内容：①项目背景分析；②项目基本情况及相关政策解读；③项目前期问题和薄弱环节；④项目重难点分析及项目目标与定位的理解。 （二）评审标准：每一条评审内容无缺陷得4分，满分16分；每一条评审内容存在一处缺陷扣0.8分，扣完为止；未提供不得分。（说明：存在下列情形之一的属于内容缺陷：①内容与项目服务需求不吻合、层次未细化的；②阐述未从实际出发，不切合项目背景、项目需求的；③存在抄袭或套用其他内容、前后逻辑错误的；④无具体详细的阐述、实施性不强的；⑤科学原理或常识错误的）。</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（一）评审内容：①项目质量保障体系；②质量管控要求；③质量控制措施； （二）评审标准：每一条评审内容无缺陷得2分，满分6分；每一条评审内容存在一处缺陷扣0.4分，扣完为止；未提供不得分。（说明：存在下列情形之一的属于内容缺陷：①内容与项目服务需求不吻合、层次未细化的；②阐述未从实际出发，不切合项目背景、项目需求的；③存在抄袭或套用其他内容、前后逻辑错误的；④无具体详细的阐述、实施性不强的；⑤科学原理或常识错误的）。</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进度保障措施</w:t>
            </w:r>
          </w:p>
        </w:tc>
        <w:tc>
          <w:tcPr>
            <w:tcW w:type="dxa" w:w="2492"/>
          </w:tcPr>
          <w:p>
            <w:pPr>
              <w:pStyle w:val="null3"/>
            </w:pPr>
            <w:r>
              <w:rPr>
                <w:rFonts w:ascii="仿宋_GB2312" w:hAnsi="仿宋_GB2312" w:cs="仿宋_GB2312" w:eastAsia="仿宋_GB2312"/>
              </w:rPr>
              <w:t>（一）评审内容：①进度保障措施；②各阶段时间节点合理安排措施；③各环节衔接工作的配合措施；（二）评审标准：每一条评审内容无缺陷得2分，满分6分；每一条评审内容存在一处缺陷扣0.4分，扣完为止；未提供不得分。（说明：存在下列情形之一的属于内容缺陷：①内容与项目服务需求不吻合、层次未细化的；②阐述未从实际出发，不切合项目背景、项目需求的；③存在抄袭或套用其他内容、前后逻辑错误的；④无具体详细的阐述、实施性不强的；⑤科学原理或常识错误的）。</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（一）评审内容：①保密承诺事项；②工作保密措施；③保密工作规则要求。 （二）评审标准：每一条评审内容无缺陷得2分，满分6分；每一条评审内容存在一处缺陷扣0.4分，扣完为止；未提供不得分。（说明：存在下列情形之一的属于内容缺陷：①内容与项目服务需求不吻合、层次未细化的；②阐述未从实际出发，不切合项目背景、项目需求的；③存在抄袭或套用其他内容、前后逻辑错误的；④无具体详细的阐述、实施性不强的；⑤科学原理或常识错误的）。</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应急保障及其他服务措施</w:t>
            </w:r>
          </w:p>
        </w:tc>
        <w:tc>
          <w:tcPr>
            <w:tcW w:type="dxa" w:w="2492"/>
          </w:tcPr>
          <w:p>
            <w:pPr>
              <w:pStyle w:val="null3"/>
            </w:pPr>
            <w:r>
              <w:rPr>
                <w:rFonts w:ascii="仿宋_GB2312" w:hAnsi="仿宋_GB2312" w:cs="仿宋_GB2312" w:eastAsia="仿宋_GB2312"/>
              </w:rPr>
              <w:t>（一）评审内容：（1）人员异动应急措施；（2）外业踏勘突发应急措施；（3）沟通协调及综合协助措施。 （二）评审标准： （1）每项评审内容完整无缺陷得2分；未提供得0分； （2）每项评审内容每存在一处缺陷扣0.4分，扣完为止。(缺陷是指：①内容与项目服务需求不吻合、层次未细化的；②阐述未从实际出发，不切合项目背景、项目需求的；③存在抄袭或套用其他内容、前后逻辑错误的；④无具体详细的阐述、实施性不强的；⑤科学原理或常识错误的）</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1）职称等级（6分）：项目负责人具备城市规划相关专业高级职称得6分；具备城市规划相关专业中级职称得3分；无有效职称0分；（2）项目经验（4分）：近五年具备同类规划编制项目负责人服务经验，每1项得2分，最多得4分；须提供佐证材料（包括不限于合同负责人页、项目成果文件、验收材料等任一均可），未提供佐证此项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项目团队情况</w:t>
            </w:r>
          </w:p>
        </w:tc>
        <w:tc>
          <w:tcPr>
            <w:tcW w:type="dxa" w:w="2492"/>
          </w:tcPr>
          <w:p>
            <w:pPr>
              <w:pStyle w:val="null3"/>
            </w:pPr>
            <w:r>
              <w:rPr>
                <w:rFonts w:ascii="仿宋_GB2312" w:hAnsi="仿宋_GB2312" w:cs="仿宋_GB2312" w:eastAsia="仿宋_GB2312"/>
              </w:rPr>
              <w:t>项目服务团队中（不含项目负责人）每配备1名相关专业高级职称人员，得4分；每配备1名相关专业中级职称人员，得2分；本项满分20分；须提供人员职称证书等佐证材料，人员不得重复计分，无佐证不计分。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供应商近五年（2021年6月至今）具有类似项目业绩（以合同签订日期为准）。 一个业绩得1分，最高得5分。供应商须提供业绩合同复印件加盖公章，未按要求提供不得分。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拟投入设备</w:t>
            </w:r>
          </w:p>
        </w:tc>
        <w:tc>
          <w:tcPr>
            <w:tcW w:type="dxa" w:w="2492"/>
          </w:tcPr>
          <w:p>
            <w:pPr>
              <w:pStyle w:val="null3"/>
            </w:pPr>
            <w:r>
              <w:rPr>
                <w:rFonts w:ascii="仿宋_GB2312" w:hAnsi="仿宋_GB2312" w:cs="仿宋_GB2312" w:eastAsia="仿宋_GB2312"/>
              </w:rPr>
              <w:t>依据服务内容配置服务所需设施设备；提供证明材料（需提供以下材料至少一项，亦可提交其他相关证明材料，例如：设备实物图或发票等），每配备一项设备（不同类型）得1分，最多得5分。未提供证明材料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满足磋商文件要求且最后磋商报价最低的磋商报价为评审基准价，其价格分为满分。其他供应商的价格分统一按照下列公式计算： 磋商报价得分=(评审基准价／磋商报价)×20%×100。备注：当磋商小组认为某个供应商的报价明显低于其他通过符合性审查供应商的报价，有可能影响服务质量和不能诚信履约的，应要求该供应商在评标现场合理的时间内提供书面说明，必要时提交相关证明材料；供应商不能证明其报价合理的，供应商将其作为无效磋商处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详见附件：政府采购供应商拒绝政府采购领域商业贿赂承诺书.docx</w:t>
      </w:r>
    </w:p>
    <w:p>
      <w:pPr>
        <w:pStyle w:val="null3"/>
        <w:ind w:firstLine="960"/>
      </w:pPr>
      <w:r>
        <w:rPr>
          <w:rFonts w:ascii="仿宋_GB2312" w:hAnsi="仿宋_GB2312" w:cs="仿宋_GB2312" w:eastAsia="仿宋_GB2312"/>
        </w:rPr>
        <w:t>详见附件：供应商资格证明文件.docx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