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0D0B2">
      <w:pPr>
        <w:pStyle w:val="9"/>
        <w:rPr>
          <w:rFonts w:hint="eastAsia" w:ascii="宋体" w:hAnsi="宋体" w:eastAsia="宋体" w:cs="宋体"/>
          <w:highlight w:val="none"/>
        </w:rPr>
      </w:pPr>
    </w:p>
    <w:p w14:paraId="3A8ECB19">
      <w:pPr>
        <w:pStyle w:val="2"/>
        <w:ind w:firstLine="0"/>
        <w:rPr>
          <w:rFonts w:hint="eastAsia" w:ascii="宋体" w:hAnsi="宋体" w:eastAsia="宋体" w:cs="宋体"/>
          <w:highlight w:val="none"/>
        </w:rPr>
      </w:pPr>
    </w:p>
    <w:p w14:paraId="6A60ADCD">
      <w:pPr>
        <w:pStyle w:val="9"/>
        <w:rPr>
          <w:rFonts w:hint="eastAsia" w:ascii="宋体" w:hAnsi="宋体" w:eastAsia="宋体" w:cs="宋体"/>
          <w:highlight w:val="none"/>
        </w:rPr>
      </w:pPr>
    </w:p>
    <w:p w14:paraId="71E24770">
      <w:pPr>
        <w:pStyle w:val="9"/>
        <w:rPr>
          <w:rFonts w:hint="eastAsia" w:ascii="宋体" w:hAnsi="宋体" w:eastAsia="宋体" w:cs="宋体"/>
          <w:highlight w:val="none"/>
        </w:rPr>
      </w:pPr>
    </w:p>
    <w:p w14:paraId="6EEE838D">
      <w:pPr>
        <w:spacing w:line="360" w:lineRule="auto"/>
        <w:jc w:val="center"/>
        <w:rPr>
          <w:rFonts w:hint="eastAsia" w:ascii="宋体" w:hAnsi="宋体" w:eastAsia="宋体" w:cs="宋体"/>
          <w:b/>
          <w:bCs/>
          <w:spacing w:val="12"/>
          <w:sz w:val="44"/>
          <w:szCs w:val="44"/>
          <w:highlight w:val="none"/>
          <w:lang w:eastAsia="zh-CN"/>
        </w:rPr>
      </w:pPr>
      <w:r>
        <w:rPr>
          <w:rFonts w:hint="eastAsia" w:ascii="宋体" w:hAnsi="宋体" w:eastAsia="宋体" w:cs="宋体"/>
          <w:b/>
          <w:bCs/>
          <w:spacing w:val="12"/>
          <w:sz w:val="44"/>
          <w:szCs w:val="44"/>
          <w:highlight w:val="none"/>
          <w:lang w:eastAsia="zh-CN"/>
        </w:rPr>
        <w:t>2026年度中央财政支持实施城市更新行动实施方案编制项目</w:t>
      </w:r>
    </w:p>
    <w:p w14:paraId="6DB37927">
      <w:pPr>
        <w:spacing w:line="360" w:lineRule="auto"/>
        <w:jc w:val="center"/>
        <w:rPr>
          <w:rFonts w:hint="eastAsia" w:ascii="宋体" w:hAnsi="宋体" w:eastAsia="宋体" w:cs="宋体"/>
          <w:spacing w:val="12"/>
          <w:sz w:val="44"/>
          <w:szCs w:val="44"/>
          <w:highlight w:val="none"/>
        </w:rPr>
      </w:pPr>
    </w:p>
    <w:p w14:paraId="0E7B34EB">
      <w:pPr>
        <w:pStyle w:val="8"/>
        <w:rPr>
          <w:rFonts w:hint="eastAsia"/>
          <w:highlight w:val="none"/>
        </w:rPr>
      </w:pPr>
    </w:p>
    <w:p w14:paraId="7291B866">
      <w:pPr>
        <w:rPr>
          <w:rFonts w:hint="eastAsia"/>
          <w:highlight w:val="none"/>
        </w:rPr>
      </w:pPr>
    </w:p>
    <w:p w14:paraId="2B71759A">
      <w:pPr>
        <w:pStyle w:val="3"/>
        <w:rPr>
          <w:rFonts w:hint="eastAsia"/>
          <w:highlight w:val="none"/>
        </w:rPr>
      </w:pPr>
    </w:p>
    <w:p w14:paraId="77E47F69">
      <w:pPr>
        <w:rPr>
          <w:rFonts w:hint="eastAsia"/>
        </w:rPr>
      </w:pPr>
    </w:p>
    <w:p w14:paraId="55A99F3F">
      <w:pPr>
        <w:pStyle w:val="2"/>
        <w:rPr>
          <w:rFonts w:hint="eastAsia" w:ascii="宋体" w:hAnsi="宋体" w:eastAsia="宋体" w:cs="宋体"/>
          <w:highlight w:val="none"/>
        </w:rPr>
      </w:pPr>
    </w:p>
    <w:p w14:paraId="0D9B0496">
      <w:pPr>
        <w:spacing w:line="360" w:lineRule="auto"/>
        <w:jc w:val="center"/>
        <w:rPr>
          <w:rFonts w:hint="eastAsia" w:ascii="宋体" w:hAnsi="宋体" w:eastAsia="宋体" w:cs="宋体"/>
          <w:b/>
          <w:bCs/>
          <w:spacing w:val="12"/>
          <w:sz w:val="44"/>
          <w:szCs w:val="44"/>
          <w:highlight w:val="none"/>
        </w:rPr>
      </w:pPr>
      <w:r>
        <w:rPr>
          <w:rFonts w:hint="eastAsia" w:ascii="宋体" w:hAnsi="宋体" w:eastAsia="宋体" w:cs="宋体"/>
          <w:b/>
          <w:bCs/>
          <w:spacing w:val="12"/>
          <w:sz w:val="44"/>
          <w:szCs w:val="44"/>
          <w:highlight w:val="none"/>
        </w:rPr>
        <w:t>政府采购合同书</w:t>
      </w:r>
    </w:p>
    <w:p w14:paraId="74BA096A">
      <w:pPr>
        <w:spacing w:line="360" w:lineRule="auto"/>
        <w:jc w:val="center"/>
        <w:rPr>
          <w:rFonts w:hint="eastAsia" w:ascii="宋体" w:hAnsi="宋体" w:eastAsia="宋体" w:cs="宋体"/>
          <w:spacing w:val="12"/>
          <w:sz w:val="32"/>
          <w:szCs w:val="32"/>
          <w:highlight w:val="none"/>
        </w:rPr>
      </w:pPr>
      <w:r>
        <w:rPr>
          <w:rFonts w:hint="eastAsia" w:ascii="宋体" w:hAnsi="宋体" w:eastAsia="宋体" w:cs="宋体"/>
          <w:spacing w:val="12"/>
          <w:sz w:val="32"/>
          <w:szCs w:val="32"/>
          <w:highlight w:val="none"/>
        </w:rPr>
        <w:t xml:space="preserve">                   </w:t>
      </w:r>
    </w:p>
    <w:p w14:paraId="2C142339">
      <w:pPr>
        <w:pStyle w:val="2"/>
        <w:rPr>
          <w:rFonts w:hint="eastAsia" w:ascii="宋体" w:hAnsi="宋体" w:eastAsia="宋体" w:cs="宋体"/>
          <w:spacing w:val="12"/>
          <w:highlight w:val="none"/>
        </w:rPr>
      </w:pPr>
    </w:p>
    <w:p w14:paraId="47C08E5D">
      <w:pPr>
        <w:pStyle w:val="2"/>
        <w:rPr>
          <w:rFonts w:hint="eastAsia" w:ascii="宋体" w:hAnsi="宋体" w:eastAsia="宋体" w:cs="宋体"/>
          <w:spacing w:val="12"/>
          <w:highlight w:val="none"/>
        </w:rPr>
      </w:pPr>
    </w:p>
    <w:p w14:paraId="407A12CA">
      <w:pPr>
        <w:pStyle w:val="7"/>
        <w:ind w:firstLine="0"/>
        <w:rPr>
          <w:rFonts w:hint="eastAsia" w:ascii="宋体" w:hAnsi="宋体" w:eastAsia="宋体" w:cs="宋体"/>
          <w:spacing w:val="12"/>
          <w:sz w:val="32"/>
          <w:szCs w:val="32"/>
          <w:highlight w:val="none"/>
        </w:rPr>
      </w:pPr>
    </w:p>
    <w:p w14:paraId="0D3ED900">
      <w:pPr>
        <w:pStyle w:val="2"/>
        <w:ind w:left="0" w:leftChars="0" w:firstLine="0" w:firstLineChars="0"/>
        <w:rPr>
          <w:rFonts w:hint="eastAsia" w:ascii="宋体" w:hAnsi="宋体" w:eastAsia="宋体" w:cs="宋体"/>
          <w:highlight w:val="none"/>
        </w:rPr>
      </w:pPr>
    </w:p>
    <w:p w14:paraId="5407F4EC">
      <w:pPr>
        <w:pStyle w:val="2"/>
        <w:rPr>
          <w:rFonts w:hint="eastAsia" w:ascii="宋体" w:hAnsi="宋体" w:eastAsia="宋体" w:cs="宋体"/>
          <w:highlight w:val="none"/>
        </w:rPr>
      </w:pPr>
    </w:p>
    <w:p w14:paraId="75B55FB0">
      <w:pPr>
        <w:pStyle w:val="2"/>
        <w:rPr>
          <w:rFonts w:hint="eastAsia" w:ascii="宋体" w:hAnsi="宋体" w:eastAsia="宋体" w:cs="宋体"/>
          <w:highlight w:val="none"/>
        </w:rPr>
      </w:pPr>
    </w:p>
    <w:p w14:paraId="60DE5D95">
      <w:pPr>
        <w:rPr>
          <w:rFonts w:hint="eastAsia" w:ascii="宋体" w:hAnsi="宋体" w:eastAsia="宋体" w:cs="宋体"/>
          <w:highlight w:val="none"/>
        </w:rPr>
      </w:pPr>
    </w:p>
    <w:p w14:paraId="521E2E9F">
      <w:pPr>
        <w:spacing w:line="360" w:lineRule="auto"/>
        <w:ind w:firstLine="2441" w:firstLineChars="800"/>
        <w:jc w:val="left"/>
        <w:rPr>
          <w:rFonts w:hint="eastAsia" w:ascii="宋体" w:hAnsi="宋体" w:eastAsia="宋体" w:cs="宋体"/>
          <w:b/>
          <w:bCs/>
          <w:spacing w:val="12"/>
          <w:sz w:val="28"/>
          <w:szCs w:val="28"/>
          <w:highlight w:val="none"/>
          <w:lang w:eastAsia="zh-CN"/>
        </w:rPr>
      </w:pPr>
      <w:r>
        <w:rPr>
          <w:rFonts w:hint="eastAsia" w:ascii="宋体" w:hAnsi="宋体" w:eastAsia="宋体" w:cs="宋体"/>
          <w:b/>
          <w:bCs/>
          <w:spacing w:val="12"/>
          <w:sz w:val="28"/>
          <w:szCs w:val="28"/>
          <w:highlight w:val="none"/>
        </w:rPr>
        <w:t>采购人</w:t>
      </w:r>
      <w:r>
        <w:rPr>
          <w:rFonts w:hint="eastAsia" w:ascii="宋体" w:hAnsi="宋体" w:eastAsia="宋体" w:cs="宋体"/>
          <w:b/>
          <w:bCs/>
          <w:spacing w:val="12"/>
          <w:sz w:val="28"/>
          <w:szCs w:val="28"/>
          <w:highlight w:val="none"/>
          <w:lang w:val="en-US" w:eastAsia="zh-CN"/>
        </w:rPr>
        <w:t xml:space="preserve"> </w:t>
      </w:r>
      <w:r>
        <w:rPr>
          <w:rFonts w:hint="eastAsia" w:ascii="宋体" w:hAnsi="宋体" w:eastAsia="宋体" w:cs="宋体"/>
          <w:b/>
          <w:bCs/>
          <w:spacing w:val="12"/>
          <w:sz w:val="28"/>
          <w:szCs w:val="28"/>
          <w:highlight w:val="none"/>
        </w:rPr>
        <w:t>：</w:t>
      </w:r>
      <w:r>
        <w:rPr>
          <w:rFonts w:hint="eastAsia" w:ascii="宋体" w:hAnsi="宋体" w:eastAsia="宋体" w:cs="宋体"/>
          <w:b/>
          <w:bCs/>
          <w:spacing w:val="12"/>
          <w:sz w:val="28"/>
          <w:szCs w:val="28"/>
          <w:highlight w:val="none"/>
          <w:lang w:eastAsia="zh-CN"/>
        </w:rPr>
        <w:t>渭南市临渭区住房和城乡建设局</w:t>
      </w:r>
    </w:p>
    <w:p w14:paraId="4ED9CE6B">
      <w:pPr>
        <w:spacing w:line="360" w:lineRule="auto"/>
        <w:ind w:firstLine="2441" w:firstLineChars="800"/>
        <w:rPr>
          <w:rFonts w:hint="eastAsia" w:ascii="宋体" w:hAnsi="宋体" w:eastAsia="宋体" w:cs="宋体"/>
          <w:b/>
          <w:bCs/>
          <w:spacing w:val="12"/>
          <w:sz w:val="28"/>
          <w:szCs w:val="28"/>
          <w:highlight w:val="none"/>
          <w:lang w:eastAsia="zh-CN"/>
        </w:rPr>
      </w:pPr>
      <w:r>
        <w:rPr>
          <w:rFonts w:hint="eastAsia" w:ascii="宋体" w:hAnsi="宋体" w:eastAsia="宋体" w:cs="宋体"/>
          <w:b/>
          <w:bCs/>
          <w:spacing w:val="12"/>
          <w:sz w:val="28"/>
          <w:szCs w:val="28"/>
          <w:highlight w:val="none"/>
        </w:rPr>
        <w:t>供应商</w:t>
      </w:r>
      <w:r>
        <w:rPr>
          <w:rFonts w:hint="eastAsia" w:ascii="宋体" w:hAnsi="宋体" w:eastAsia="宋体" w:cs="宋体"/>
          <w:b/>
          <w:bCs/>
          <w:spacing w:val="12"/>
          <w:sz w:val="28"/>
          <w:szCs w:val="28"/>
          <w:highlight w:val="none"/>
          <w:lang w:val="en-US" w:eastAsia="zh-CN"/>
        </w:rPr>
        <w:t xml:space="preserve"> </w:t>
      </w:r>
      <w:r>
        <w:rPr>
          <w:rFonts w:hint="eastAsia" w:ascii="宋体" w:hAnsi="宋体" w:eastAsia="宋体" w:cs="宋体"/>
          <w:b/>
          <w:bCs/>
          <w:spacing w:val="12"/>
          <w:sz w:val="28"/>
          <w:szCs w:val="28"/>
          <w:highlight w:val="none"/>
        </w:rPr>
        <w:t>：</w:t>
      </w:r>
      <w:r>
        <w:rPr>
          <w:rFonts w:hint="eastAsia" w:ascii="宋体" w:hAnsi="宋体" w:cs="宋体"/>
          <w:b/>
          <w:bCs/>
          <w:spacing w:val="12"/>
          <w:sz w:val="28"/>
          <w:szCs w:val="28"/>
          <w:highlight w:val="none"/>
          <w:lang w:val="en-US" w:eastAsia="zh-CN"/>
        </w:rPr>
        <w:t xml:space="preserve"> </w:t>
      </w:r>
    </w:p>
    <w:p w14:paraId="6EA02A8F">
      <w:pPr>
        <w:spacing w:line="640" w:lineRule="exact"/>
        <w:rPr>
          <w:rFonts w:hint="eastAsia"/>
          <w:sz w:val="24"/>
          <w:highlight w:val="none"/>
        </w:rPr>
        <w:sectPr>
          <w:footerReference r:id="rId5" w:type="default"/>
          <w:pgSz w:w="11906" w:h="16838"/>
          <w:pgMar w:top="1440" w:right="1440" w:bottom="1440" w:left="1440" w:header="851" w:footer="992" w:gutter="0"/>
          <w:cols w:space="425" w:num="1"/>
          <w:docGrid w:type="lines" w:linePitch="312" w:charSpace="0"/>
        </w:sectPr>
      </w:pPr>
    </w:p>
    <w:p w14:paraId="6B4760FE">
      <w:pPr>
        <w:spacing w:line="640" w:lineRule="exact"/>
        <w:rPr>
          <w:rFonts w:hint="eastAsia" w:eastAsia="宋体"/>
          <w:sz w:val="24"/>
          <w:highlight w:val="none"/>
        </w:rPr>
      </w:pPr>
      <w:r>
        <w:rPr>
          <w:rFonts w:hint="eastAsia"/>
          <w:sz w:val="24"/>
          <w:highlight w:val="none"/>
        </w:rPr>
        <w:t>签订地点：</w:t>
      </w:r>
      <w:r>
        <w:rPr>
          <w:rFonts w:hint="eastAsia"/>
          <w:sz w:val="24"/>
          <w:highlight w:val="none"/>
          <w:lang w:val="en-US" w:eastAsia="zh-CN"/>
        </w:rPr>
        <w:t xml:space="preserve"> </w:t>
      </w:r>
      <w:r>
        <w:rPr>
          <w:rFonts w:hint="eastAsia" w:eastAsia="宋体"/>
          <w:sz w:val="24"/>
          <w:highlight w:val="none"/>
        </w:rPr>
        <w:t xml:space="preserve">  </w:t>
      </w:r>
    </w:p>
    <w:p w14:paraId="7369F1FB">
      <w:pPr>
        <w:widowControl/>
        <w:spacing w:line="440" w:lineRule="exact"/>
        <w:jc w:val="left"/>
        <w:rPr>
          <w:rFonts w:hint="eastAsia"/>
          <w:sz w:val="24"/>
          <w:highlight w:val="none"/>
        </w:rPr>
      </w:pPr>
      <w:r>
        <w:rPr>
          <w:rFonts w:hint="eastAsia" w:eastAsia="宋体"/>
          <w:sz w:val="24"/>
          <w:highlight w:val="none"/>
          <w:lang w:val="en-US" w:eastAsia="zh-CN"/>
        </w:rPr>
        <w:t>项目</w:t>
      </w:r>
      <w:r>
        <w:rPr>
          <w:rFonts w:hint="eastAsia" w:eastAsia="宋体"/>
          <w:sz w:val="24"/>
          <w:highlight w:val="none"/>
        </w:rPr>
        <w:t>编号：</w:t>
      </w:r>
      <w:r>
        <w:rPr>
          <w:rFonts w:hint="eastAsia"/>
          <w:sz w:val="24"/>
          <w:highlight w:val="none"/>
          <w:lang w:val="en-US" w:eastAsia="zh-CN"/>
        </w:rPr>
        <w:t xml:space="preserve"> </w:t>
      </w:r>
      <w:r>
        <w:rPr>
          <w:rFonts w:hint="eastAsia" w:eastAsia="宋体"/>
          <w:sz w:val="24"/>
          <w:highlight w:val="none"/>
          <w:lang w:eastAsia="zh-CN"/>
        </w:rPr>
        <w:t xml:space="preserve"> </w:t>
      </w:r>
      <w:r>
        <w:rPr>
          <w:rFonts w:hint="eastAsia" w:eastAsia="宋体"/>
          <w:sz w:val="24"/>
          <w:highlight w:val="none"/>
        </w:rPr>
        <w:t xml:space="preserve"> </w:t>
      </w:r>
      <w:r>
        <w:rPr>
          <w:rFonts w:hint="eastAsia" w:eastAsia="宋体"/>
          <w:sz w:val="24"/>
          <w:highlight w:val="none"/>
          <w:lang w:val="en-US" w:eastAsia="zh-CN"/>
        </w:rPr>
        <w:t xml:space="preserve">       </w:t>
      </w:r>
      <w:r>
        <w:rPr>
          <w:rFonts w:hint="eastAsia"/>
          <w:sz w:val="24"/>
          <w:highlight w:val="none"/>
          <w:lang w:val="en-US" w:eastAsia="zh-CN"/>
        </w:rPr>
        <w:t xml:space="preserve"> </w:t>
      </w:r>
      <w:r>
        <w:rPr>
          <w:rFonts w:hint="eastAsia"/>
          <w:sz w:val="24"/>
          <w:highlight w:val="none"/>
        </w:rPr>
        <w:t xml:space="preserve">签订时间： </w:t>
      </w:r>
      <w:r>
        <w:rPr>
          <w:sz w:val="24"/>
          <w:highlight w:val="none"/>
        </w:rPr>
        <w:t xml:space="preserve">    </w:t>
      </w:r>
      <w:r>
        <w:rPr>
          <w:rFonts w:hint="eastAsia"/>
          <w:sz w:val="24"/>
          <w:highlight w:val="none"/>
        </w:rPr>
        <w:t>年</w:t>
      </w:r>
      <w:r>
        <w:rPr>
          <w:rFonts w:hint="eastAsia"/>
          <w:sz w:val="24"/>
          <w:highlight w:val="none"/>
          <w:lang w:val="en-US" w:eastAsia="zh-CN"/>
        </w:rPr>
        <w:t xml:space="preserve">  </w:t>
      </w:r>
      <w:r>
        <w:rPr>
          <w:rFonts w:hint="eastAsia"/>
          <w:sz w:val="24"/>
          <w:highlight w:val="none"/>
        </w:rPr>
        <w:t xml:space="preserve">  月  日</w:t>
      </w:r>
    </w:p>
    <w:p w14:paraId="3C9133C3">
      <w:pPr>
        <w:spacing w:line="640" w:lineRule="exact"/>
        <w:rPr>
          <w:rFonts w:hint="eastAsia" w:eastAsia="宋体"/>
          <w:sz w:val="24"/>
          <w:highlight w:val="none"/>
          <w:lang w:eastAsia="zh-CN"/>
        </w:rPr>
      </w:pPr>
      <w:r>
        <w:rPr>
          <w:rFonts w:hint="eastAsia"/>
          <w:sz w:val="24"/>
          <w:highlight w:val="none"/>
        </w:rPr>
        <w:t>采购人：</w:t>
      </w:r>
      <w:r>
        <w:rPr>
          <w:rFonts w:hint="eastAsia"/>
          <w:sz w:val="24"/>
          <w:highlight w:val="none"/>
          <w:lang w:val="en-US" w:eastAsia="zh-CN"/>
        </w:rPr>
        <w:t xml:space="preserve"> </w:t>
      </w:r>
    </w:p>
    <w:p w14:paraId="1BFBDC98">
      <w:pPr>
        <w:spacing w:line="640" w:lineRule="exact"/>
        <w:rPr>
          <w:rFonts w:hint="eastAsia"/>
          <w:sz w:val="24"/>
          <w:highlight w:val="none"/>
        </w:rPr>
      </w:pPr>
      <w:r>
        <w:rPr>
          <w:rFonts w:hint="eastAsia"/>
          <w:sz w:val="24"/>
          <w:highlight w:val="none"/>
        </w:rPr>
        <w:t>供应商：</w:t>
      </w:r>
      <w:r>
        <w:rPr>
          <w:rFonts w:hint="eastAsia"/>
          <w:sz w:val="24"/>
          <w:highlight w:val="none"/>
          <w:lang w:val="en-US" w:eastAsia="zh-CN"/>
        </w:rPr>
        <w:t xml:space="preserve"> </w:t>
      </w:r>
    </w:p>
    <w:p w14:paraId="62507348">
      <w:pPr>
        <w:spacing w:line="360" w:lineRule="auto"/>
        <w:ind w:firstLine="480" w:firstLineChars="200"/>
        <w:rPr>
          <w:sz w:val="24"/>
          <w:highlight w:val="none"/>
        </w:rPr>
      </w:pPr>
      <w:r>
        <w:rPr>
          <w:rFonts w:hint="eastAsia"/>
          <w:sz w:val="24"/>
          <w:highlight w:val="none"/>
        </w:rPr>
        <w:t>根据</w:t>
      </w:r>
      <w:r>
        <w:rPr>
          <w:rFonts w:hint="eastAsia"/>
          <w:sz w:val="24"/>
          <w:highlight w:val="none"/>
          <w:u w:val="single"/>
          <w:lang w:eastAsia="zh-CN"/>
        </w:rPr>
        <w:t>2026年度中央财政支持实施城市更新行动实施方案编制项目</w:t>
      </w:r>
      <w:r>
        <w:rPr>
          <w:rFonts w:hint="eastAsia"/>
          <w:sz w:val="24"/>
          <w:highlight w:val="none"/>
        </w:rPr>
        <w:t>的采购结果，按照《中华人民共和国政府采购法》、《中华人民共和国民法典》等规定，经双方协商，本着平等互利和诚实信用的原则，一致同意签订本合同如下。</w:t>
      </w:r>
    </w:p>
    <w:p w14:paraId="16093C3A">
      <w:pPr>
        <w:spacing w:line="360" w:lineRule="auto"/>
        <w:ind w:firstLine="482" w:firstLineChars="200"/>
        <w:rPr>
          <w:rFonts w:hint="eastAsia"/>
          <w:b/>
          <w:bCs/>
          <w:sz w:val="24"/>
          <w:highlight w:val="none"/>
        </w:rPr>
      </w:pPr>
      <w:r>
        <w:rPr>
          <w:rFonts w:hint="eastAsia"/>
          <w:b/>
          <w:bCs/>
          <w:sz w:val="24"/>
          <w:highlight w:val="none"/>
        </w:rPr>
        <w:t>一、合同文件</w:t>
      </w:r>
    </w:p>
    <w:p w14:paraId="444059DC">
      <w:pPr>
        <w:spacing w:line="360" w:lineRule="auto"/>
        <w:ind w:firstLine="480" w:firstLineChars="200"/>
        <w:rPr>
          <w:rFonts w:hint="eastAsia"/>
          <w:sz w:val="24"/>
          <w:highlight w:val="none"/>
        </w:rPr>
      </w:pPr>
      <w:r>
        <w:rPr>
          <w:rFonts w:hint="eastAsia"/>
          <w:sz w:val="24"/>
          <w:highlight w:val="none"/>
        </w:rPr>
        <w:t>1、协议书条款；</w:t>
      </w:r>
    </w:p>
    <w:p w14:paraId="0D15D6E6">
      <w:pPr>
        <w:spacing w:line="360" w:lineRule="auto"/>
        <w:ind w:firstLine="480" w:firstLineChars="200"/>
        <w:rPr>
          <w:rFonts w:hint="eastAsia"/>
          <w:sz w:val="24"/>
          <w:highlight w:val="none"/>
        </w:rPr>
      </w:pPr>
      <w:r>
        <w:rPr>
          <w:rFonts w:hint="eastAsia"/>
          <w:sz w:val="24"/>
          <w:highlight w:val="none"/>
        </w:rPr>
        <w:t>2、竞争性磋商文件；</w:t>
      </w:r>
    </w:p>
    <w:p w14:paraId="052D7DD2">
      <w:pPr>
        <w:spacing w:line="360" w:lineRule="auto"/>
        <w:ind w:firstLine="480" w:firstLineChars="200"/>
        <w:rPr>
          <w:rFonts w:hint="eastAsia"/>
          <w:sz w:val="24"/>
          <w:highlight w:val="none"/>
        </w:rPr>
      </w:pPr>
      <w:r>
        <w:rPr>
          <w:rFonts w:hint="eastAsia"/>
          <w:sz w:val="24"/>
          <w:highlight w:val="none"/>
        </w:rPr>
        <w:t>3、磋商响应文件；</w:t>
      </w:r>
    </w:p>
    <w:p w14:paraId="076DFC0A">
      <w:pPr>
        <w:spacing w:line="360" w:lineRule="auto"/>
        <w:ind w:firstLine="480" w:firstLineChars="200"/>
        <w:rPr>
          <w:rFonts w:hint="eastAsia"/>
          <w:sz w:val="24"/>
          <w:highlight w:val="none"/>
        </w:rPr>
      </w:pPr>
      <w:r>
        <w:rPr>
          <w:rFonts w:hint="eastAsia"/>
          <w:sz w:val="24"/>
          <w:highlight w:val="none"/>
        </w:rPr>
        <w:t>4、成交通知书；</w:t>
      </w:r>
    </w:p>
    <w:p w14:paraId="38BAB0B2">
      <w:pPr>
        <w:spacing w:line="360" w:lineRule="auto"/>
        <w:ind w:firstLine="480" w:firstLineChars="200"/>
        <w:rPr>
          <w:rFonts w:hint="eastAsia"/>
          <w:sz w:val="24"/>
          <w:highlight w:val="none"/>
        </w:rPr>
      </w:pPr>
      <w:r>
        <w:rPr>
          <w:rFonts w:hint="eastAsia"/>
          <w:sz w:val="24"/>
          <w:highlight w:val="none"/>
        </w:rPr>
        <w:t>5、其他。</w:t>
      </w:r>
    </w:p>
    <w:p w14:paraId="6D3941BB">
      <w:pPr>
        <w:spacing w:line="360" w:lineRule="auto"/>
        <w:ind w:firstLine="480" w:firstLineChars="200"/>
        <w:rPr>
          <w:rFonts w:hint="eastAsia"/>
          <w:sz w:val="24"/>
          <w:highlight w:val="none"/>
        </w:rPr>
      </w:pPr>
      <w:r>
        <w:rPr>
          <w:rFonts w:hint="eastAsia"/>
          <w:sz w:val="24"/>
          <w:highlight w:val="none"/>
        </w:rPr>
        <w:t>上述所指合同文件应认为是互相补充和解释的，但是有模棱两可或互相矛盾之处，以其所列内容顺序为准。</w:t>
      </w:r>
    </w:p>
    <w:p w14:paraId="6CA01210">
      <w:pPr>
        <w:spacing w:line="360" w:lineRule="auto"/>
        <w:ind w:firstLine="482" w:firstLineChars="200"/>
        <w:rPr>
          <w:b/>
          <w:bCs/>
          <w:sz w:val="24"/>
          <w:highlight w:val="none"/>
        </w:rPr>
      </w:pPr>
      <w:bookmarkStart w:id="0" w:name="_Toc9090"/>
      <w:r>
        <w:rPr>
          <w:rFonts w:hint="eastAsia"/>
          <w:b/>
          <w:bCs/>
          <w:sz w:val="24"/>
          <w:highlight w:val="none"/>
        </w:rPr>
        <w:t>二、合同价款</w:t>
      </w:r>
      <w:bookmarkEnd w:id="0"/>
    </w:p>
    <w:p w14:paraId="7A1FCE90">
      <w:pPr>
        <w:spacing w:line="360" w:lineRule="auto"/>
        <w:ind w:firstLine="480" w:firstLineChars="200"/>
        <w:rPr>
          <w:sz w:val="24"/>
          <w:highlight w:val="none"/>
        </w:rPr>
      </w:pPr>
      <w:r>
        <w:rPr>
          <w:rFonts w:hint="eastAsia"/>
          <w:sz w:val="24"/>
          <w:highlight w:val="none"/>
        </w:rPr>
        <w:t>（一）合同总价款为</w:t>
      </w:r>
      <w:r>
        <w:rPr>
          <w:rFonts w:hint="eastAsia"/>
          <w:b/>
          <w:bCs/>
          <w:sz w:val="24"/>
          <w:highlight w:val="none"/>
        </w:rPr>
        <w:t>人民币（大写）</w:t>
      </w:r>
      <w:r>
        <w:rPr>
          <w:rFonts w:hint="eastAsia"/>
          <w:b/>
          <w:bCs/>
          <w:sz w:val="24"/>
          <w:highlight w:val="none"/>
          <w:u w:val="single"/>
          <w:lang w:val="en-US" w:eastAsia="zh-CN"/>
        </w:rPr>
        <w:t xml:space="preserve">       </w:t>
      </w:r>
      <w:r>
        <w:rPr>
          <w:rFonts w:hint="eastAsia"/>
          <w:b/>
          <w:bCs/>
          <w:sz w:val="24"/>
          <w:highlight w:val="none"/>
        </w:rPr>
        <w:t>（￥</w:t>
      </w:r>
      <w:r>
        <w:rPr>
          <w:rFonts w:hint="eastAsia"/>
          <w:b/>
          <w:bCs/>
          <w:sz w:val="24"/>
          <w:highlight w:val="none"/>
          <w:u w:val="single"/>
          <w:lang w:val="en-US" w:eastAsia="zh-CN"/>
        </w:rPr>
        <w:t xml:space="preserve">     </w:t>
      </w:r>
      <w:r>
        <w:rPr>
          <w:b/>
          <w:bCs/>
          <w:sz w:val="24"/>
          <w:highlight w:val="none"/>
          <w:u w:val="single"/>
        </w:rPr>
        <w:t xml:space="preserve"> </w:t>
      </w:r>
      <w:r>
        <w:rPr>
          <w:rFonts w:hint="eastAsia"/>
          <w:b/>
          <w:bCs/>
          <w:sz w:val="24"/>
          <w:highlight w:val="none"/>
        </w:rPr>
        <w:t>）。</w:t>
      </w:r>
    </w:p>
    <w:p w14:paraId="3B39FB10">
      <w:pPr>
        <w:snapToGrid w:val="0"/>
        <w:spacing w:line="440" w:lineRule="exact"/>
        <w:ind w:firstLine="360" w:firstLineChars="150"/>
        <w:rPr>
          <w:rFonts w:hint="eastAsia" w:ascii="宋体" w:hAnsi="宋体" w:eastAsia="宋体" w:cs="宋体"/>
          <w:sz w:val="24"/>
          <w:highlight w:val="none"/>
        </w:rPr>
      </w:pPr>
      <w:r>
        <w:rPr>
          <w:rFonts w:hint="eastAsia"/>
          <w:sz w:val="24"/>
          <w:highlight w:val="none"/>
        </w:rPr>
        <w:t>（二）</w:t>
      </w:r>
      <w:r>
        <w:rPr>
          <w:rFonts w:hint="eastAsia" w:ascii="宋体" w:hAnsi="宋体" w:eastAsia="宋体" w:cs="宋体"/>
          <w:sz w:val="24"/>
          <w:highlight w:val="none"/>
        </w:rPr>
        <w:t>合同总价款是指完成本次活动包含的所有费用，包括但不限于项目调研费、现场踏勘费、人工费、材料费、交通费、住宿费、管理费、</w:t>
      </w:r>
      <w:r>
        <w:rPr>
          <w:rFonts w:hint="eastAsia" w:ascii="宋体" w:hAnsi="宋体" w:eastAsia="宋体" w:cs="宋体"/>
          <w:sz w:val="24"/>
          <w:highlight w:val="none"/>
          <w:lang w:val="en-US" w:eastAsia="zh-CN"/>
        </w:rPr>
        <w:t>专家咨询费</w:t>
      </w:r>
      <w:r>
        <w:rPr>
          <w:rFonts w:hint="eastAsia" w:ascii="宋体" w:hAnsi="宋体" w:eastAsia="宋体" w:cs="宋体"/>
          <w:sz w:val="24"/>
          <w:highlight w:val="none"/>
        </w:rPr>
        <w:t>、税金、利润等费用，服务期内采购人不再增加任何费用。</w:t>
      </w:r>
    </w:p>
    <w:p w14:paraId="486DED20">
      <w:pPr>
        <w:snapToGrid w:val="0"/>
        <w:spacing w:line="440" w:lineRule="exact"/>
        <w:ind w:firstLine="360" w:firstLineChars="150"/>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p>
    <w:p w14:paraId="33E0907A">
      <w:pPr>
        <w:spacing w:line="640" w:lineRule="exact"/>
        <w:ind w:firstLine="482" w:firstLineChars="200"/>
        <w:rPr>
          <w:b/>
          <w:sz w:val="24"/>
          <w:highlight w:val="none"/>
        </w:rPr>
      </w:pPr>
      <w:bookmarkStart w:id="1" w:name="_Toc5628"/>
      <w:r>
        <w:rPr>
          <w:rFonts w:hint="eastAsia"/>
          <w:b/>
          <w:sz w:val="24"/>
          <w:highlight w:val="none"/>
        </w:rPr>
        <w:t>三、款项结算</w:t>
      </w:r>
      <w:bookmarkEnd w:id="1"/>
    </w:p>
    <w:p w14:paraId="26C75797">
      <w:pPr>
        <w:widowControl/>
        <w:tabs>
          <w:tab w:val="left" w:pos="0"/>
          <w:tab w:val="left" w:pos="437"/>
          <w:tab w:val="left" w:pos="1311"/>
        </w:tabs>
        <w:adjustRightInd w:val="0"/>
        <w:snapToGrid w:val="0"/>
        <w:spacing w:line="440" w:lineRule="exact"/>
        <w:ind w:firstLine="482" w:firstLineChars="200"/>
        <w:jc w:val="left"/>
        <w:rPr>
          <w:rFonts w:hint="eastAsia" w:ascii="宋体" w:hAnsi="宋体" w:eastAsia="宋体" w:cs="宋体"/>
          <w:b/>
          <w:bCs/>
          <w:kern w:val="0"/>
          <w:sz w:val="24"/>
          <w:szCs w:val="21"/>
          <w:highlight w:val="none"/>
          <w:lang w:eastAsia="zh-CN"/>
        </w:rPr>
      </w:pPr>
      <w:r>
        <w:rPr>
          <w:rFonts w:hint="eastAsia" w:ascii="宋体" w:hAnsi="宋体" w:cs="宋体"/>
          <w:b/>
          <w:bCs/>
          <w:kern w:val="0"/>
          <w:sz w:val="24"/>
          <w:szCs w:val="21"/>
          <w:highlight w:val="none"/>
        </w:rPr>
        <w:t>（一）合同价款的支付：</w:t>
      </w:r>
      <w:r>
        <w:rPr>
          <w:rFonts w:hint="eastAsia" w:ascii="宋体" w:hAnsi="宋体" w:cs="宋体"/>
          <w:b/>
          <w:bCs/>
          <w:kern w:val="0"/>
          <w:sz w:val="24"/>
          <w:szCs w:val="21"/>
          <w:highlight w:val="none"/>
          <w:lang w:eastAsia="zh-CN"/>
        </w:rPr>
        <w:t>本项目根据服务进度付款，供应商完成服务内容后，采购人付至合同总价款的90%，最终成果文件通过采购人及相关部门验收后，一次性向供应商支付剩余合同价款的10%。</w:t>
      </w:r>
    </w:p>
    <w:p w14:paraId="2F39FE6F">
      <w:pPr>
        <w:widowControl/>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highlight w:val="none"/>
        </w:rPr>
      </w:pPr>
      <w:r>
        <w:rPr>
          <w:rFonts w:hint="eastAsia" w:ascii="宋体" w:hAnsi="宋体" w:cs="宋体"/>
          <w:kern w:val="0"/>
          <w:sz w:val="24"/>
          <w:szCs w:val="21"/>
          <w:highlight w:val="none"/>
        </w:rPr>
        <w:t>（二）结算方式：银行转账。</w:t>
      </w:r>
    </w:p>
    <w:p w14:paraId="3D7F0679">
      <w:pPr>
        <w:widowControl/>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highlight w:val="none"/>
        </w:rPr>
      </w:pPr>
      <w:r>
        <w:rPr>
          <w:rFonts w:hint="eastAsia" w:ascii="宋体" w:hAnsi="宋体" w:cs="宋体"/>
          <w:kern w:val="0"/>
          <w:sz w:val="24"/>
          <w:szCs w:val="21"/>
          <w:highlight w:val="none"/>
        </w:rPr>
        <w:t>（三）支付方式：由采购人负责结算，合同签订后，供应商在接受付款前，开具等额发票给采购人。</w:t>
      </w:r>
    </w:p>
    <w:p w14:paraId="1B9DDCFD">
      <w:pPr>
        <w:spacing w:line="500" w:lineRule="exact"/>
        <w:ind w:firstLine="482" w:firstLineChars="200"/>
        <w:rPr>
          <w:rFonts w:hint="eastAsia" w:ascii="宋体" w:hAnsi="宋体" w:cs="宋体"/>
          <w:b/>
          <w:sz w:val="24"/>
          <w:highlight w:val="none"/>
        </w:rPr>
      </w:pPr>
      <w:r>
        <w:rPr>
          <w:rFonts w:hint="eastAsia" w:ascii="宋体" w:hAnsi="宋体" w:cs="宋体"/>
          <w:b/>
          <w:sz w:val="24"/>
          <w:highlight w:val="none"/>
        </w:rPr>
        <w:t>四、服务地点、内容及</w:t>
      </w:r>
      <w:r>
        <w:rPr>
          <w:rFonts w:hint="eastAsia" w:ascii="宋体" w:hAnsi="宋体" w:cs="宋体"/>
          <w:b/>
          <w:sz w:val="24"/>
          <w:highlight w:val="none"/>
          <w:lang w:val="en-US" w:eastAsia="zh-CN"/>
        </w:rPr>
        <w:t>服务</w:t>
      </w:r>
      <w:r>
        <w:rPr>
          <w:rFonts w:hint="eastAsia" w:ascii="宋体" w:hAnsi="宋体" w:cs="宋体"/>
          <w:b/>
          <w:sz w:val="24"/>
          <w:highlight w:val="none"/>
        </w:rPr>
        <w:t>期</w:t>
      </w:r>
    </w:p>
    <w:p w14:paraId="09D552A3">
      <w:pPr>
        <w:spacing w:line="500" w:lineRule="exact"/>
        <w:ind w:firstLine="482" w:firstLineChars="200"/>
        <w:rPr>
          <w:rFonts w:hint="eastAsia" w:ascii="宋体" w:hAnsi="宋体" w:eastAsia="宋体" w:cs="宋体"/>
          <w:sz w:val="24"/>
          <w:highlight w:val="none"/>
          <w:lang w:val="en-US" w:eastAsia="zh-CN"/>
        </w:rPr>
      </w:pPr>
      <w:r>
        <w:rPr>
          <w:rFonts w:hint="eastAsia" w:ascii="宋体" w:hAnsi="宋体" w:cs="宋体"/>
          <w:b/>
          <w:bCs/>
          <w:sz w:val="24"/>
          <w:highlight w:val="none"/>
        </w:rPr>
        <w:t>（一）服务地点：</w:t>
      </w:r>
      <w:r>
        <w:rPr>
          <w:rFonts w:hint="eastAsia" w:ascii="宋体" w:hAnsi="宋体" w:cs="宋体"/>
          <w:sz w:val="24"/>
          <w:highlight w:val="none"/>
          <w:lang w:val="en-US" w:eastAsia="zh-CN"/>
        </w:rPr>
        <w:t xml:space="preserve"> </w:t>
      </w:r>
    </w:p>
    <w:p w14:paraId="30345BA2">
      <w:pPr>
        <w:spacing w:line="50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（二）服务内容</w:t>
      </w:r>
    </w:p>
    <w:p w14:paraId="379AB149">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临渭区</w:t>
      </w:r>
      <w:bookmarkStart w:id="2" w:name="_GoBack"/>
      <w:bookmarkEnd w:id="2"/>
      <w:r>
        <w:rPr>
          <w:rFonts w:hint="eastAsia" w:ascii="宋体" w:hAnsi="宋体" w:cs="宋体"/>
          <w:b w:val="0"/>
          <w:bCs w:val="0"/>
          <w:kern w:val="0"/>
          <w:sz w:val="24"/>
          <w:szCs w:val="21"/>
          <w:highlight w:val="none"/>
          <w:lang w:val="en-US" w:eastAsia="zh-CN"/>
        </w:rPr>
        <w:t>城市更新行动（2026—2028年）工作方案编制主要包含以下内容：</w:t>
      </w:r>
    </w:p>
    <w:p w14:paraId="537F2AFC">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（1）基本情况：摘要、城市概况、工作基础、主要问题和需求分析。</w:t>
      </w:r>
    </w:p>
    <w:p w14:paraId="4119E155">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（2）总体要求：总体思路、基本原则、主要目标（包括总体目标、三年行动绩效目标、年度目标3个部分）</w:t>
      </w:r>
    </w:p>
    <w:p w14:paraId="44C151FF">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3）实施内容：聚焦本城市人民群众身边的急难愁盼问题，注重机制创新，注重提振消费，注重投资于物和投资于人相结合，创新完善以需求为导向、以项目为牵引的城市更新体制机制，以重点样板片区建设探索可复制可推广的机制，以机制建设带动实施示范项目，彰显成效。</w:t>
      </w:r>
    </w:p>
    <w:p w14:paraId="72162240">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（4）效益分析：简要分析评估实施城市更新行动后的成效，可从社会效益、生态效益、经济效益等方面进行。</w:t>
      </w:r>
    </w:p>
    <w:p w14:paraId="56EA329A">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（5）保障措施：从组织领导、政策保障、管理机制、资金筹措、后期管理等方面，说明拟采取的保障措施。</w:t>
      </w:r>
    </w:p>
    <w:p w14:paraId="474D0834">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（6）附件：片区及项目清单、重点样板片区布局图、佐证材料。</w:t>
      </w:r>
    </w:p>
    <w:p w14:paraId="3CB527C0">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lang w:val="en-US" w:eastAsia="zh-CN"/>
        </w:rPr>
        <w:t>（三）</w:t>
      </w:r>
      <w:r>
        <w:rPr>
          <w:rFonts w:hint="eastAsia" w:ascii="宋体" w:hAnsi="宋体" w:cs="宋体"/>
          <w:b/>
          <w:bCs/>
          <w:kern w:val="0"/>
          <w:sz w:val="24"/>
          <w:szCs w:val="21"/>
          <w:highlight w:val="none"/>
        </w:rPr>
        <w:t>服务要求</w:t>
      </w:r>
    </w:p>
    <w:p w14:paraId="65311E65">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（1）实施方案的编制应符合中省及渭南市的工作要求，满足国</w:t>
      </w:r>
    </w:p>
    <w:p w14:paraId="5C668D9D">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家现行相关行业法律、法规、标准的规定和要求，并配合采购人完成省上的相关审查工作和后期服务工作。</w:t>
      </w:r>
    </w:p>
    <w:p w14:paraId="1BD24EA0">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供应商应充分开展现场调研和资料收集工作，服务过程应制定可行的项目服务方案及工作计划，组建项目工作组，配备满足工作要求的技术服务人员，按照项目服务计划定期与采购人交换意见，保证项目质量，按要求完成项目服务的全部工作。</w:t>
      </w:r>
    </w:p>
    <w:p w14:paraId="242E5C24">
      <w:pPr>
        <w:widowControl/>
        <w:tabs>
          <w:tab w:val="left" w:pos="0"/>
          <w:tab w:val="left" w:pos="437"/>
          <w:tab w:val="left" w:pos="1311"/>
        </w:tabs>
        <w:adjustRightInd w:val="0"/>
        <w:snapToGrid w:val="0"/>
        <w:spacing w:line="500" w:lineRule="exact"/>
        <w:ind w:firstLine="482" w:firstLineChars="200"/>
        <w:jc w:val="left"/>
        <w:rPr>
          <w:rFonts w:hint="default" w:ascii="宋体" w:hAnsi="宋体" w:eastAsia="宋体" w:cs="宋体"/>
          <w:b w:val="0"/>
          <w:bCs w:val="0"/>
          <w:kern w:val="0"/>
          <w:sz w:val="24"/>
          <w:szCs w:val="21"/>
          <w:highlight w:val="none"/>
          <w:lang w:val="en-US" w:eastAsia="zh-CN"/>
        </w:rPr>
      </w:pPr>
      <w:r>
        <w:rPr>
          <w:rFonts w:hint="eastAsia" w:ascii="宋体" w:hAnsi="宋体" w:cs="宋体"/>
          <w:b/>
          <w:bCs/>
          <w:kern w:val="0"/>
          <w:sz w:val="24"/>
          <w:szCs w:val="21"/>
          <w:highlight w:val="none"/>
          <w:lang w:eastAsia="zh-CN"/>
        </w:rPr>
        <w:t>（</w:t>
      </w:r>
      <w:r>
        <w:rPr>
          <w:rFonts w:hint="eastAsia" w:ascii="宋体" w:hAnsi="宋体" w:cs="宋体"/>
          <w:b/>
          <w:bCs/>
          <w:kern w:val="0"/>
          <w:sz w:val="24"/>
          <w:szCs w:val="21"/>
          <w:highlight w:val="none"/>
          <w:lang w:val="en-US" w:eastAsia="zh-CN"/>
        </w:rPr>
        <w:t>四</w:t>
      </w:r>
      <w:r>
        <w:rPr>
          <w:rFonts w:hint="eastAsia" w:ascii="宋体" w:hAnsi="宋体" w:cs="宋体"/>
          <w:b/>
          <w:bCs/>
          <w:kern w:val="0"/>
          <w:sz w:val="24"/>
          <w:szCs w:val="21"/>
          <w:highlight w:val="none"/>
          <w:lang w:eastAsia="zh-CN"/>
        </w:rPr>
        <w:t>）</w:t>
      </w:r>
      <w:r>
        <w:rPr>
          <w:rFonts w:hint="eastAsia" w:ascii="宋体" w:hAnsi="宋体" w:cs="宋体"/>
          <w:b/>
          <w:bCs/>
          <w:kern w:val="0"/>
          <w:sz w:val="24"/>
          <w:szCs w:val="21"/>
          <w:highlight w:val="none"/>
          <w:lang w:val="en-US" w:eastAsia="zh-CN"/>
        </w:rPr>
        <w:t>服务期：</w:t>
      </w:r>
      <w:r>
        <w:rPr>
          <w:rFonts w:hint="eastAsia" w:ascii="宋体" w:hAnsi="宋体" w:cs="宋体"/>
          <w:b w:val="0"/>
          <w:bCs w:val="0"/>
          <w:kern w:val="0"/>
          <w:sz w:val="24"/>
          <w:szCs w:val="21"/>
          <w:highlight w:val="none"/>
          <w:u w:val="single"/>
          <w:lang w:val="en-US" w:eastAsia="zh-CN"/>
        </w:rPr>
        <w:t xml:space="preserve">     </w:t>
      </w:r>
    </w:p>
    <w:p w14:paraId="76EDE16C">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rPr>
        <w:t>五、技术资料</w:t>
      </w:r>
    </w:p>
    <w:p w14:paraId="00915DA1">
      <w:pPr>
        <w:widowControl/>
        <w:tabs>
          <w:tab w:val="left" w:pos="0"/>
          <w:tab w:val="left" w:pos="437"/>
          <w:tab w:val="left" w:pos="1311"/>
        </w:tabs>
        <w:adjustRightInd w:val="0"/>
        <w:snapToGrid w:val="0"/>
        <w:spacing w:line="500" w:lineRule="exact"/>
        <w:ind w:firstLine="480" w:firstLineChars="200"/>
        <w:jc w:val="left"/>
        <w:rPr>
          <w:rFonts w:ascii="宋体" w:hAnsi="宋体" w:cs="宋体"/>
          <w:kern w:val="0"/>
          <w:sz w:val="24"/>
          <w:szCs w:val="21"/>
          <w:highlight w:val="none"/>
        </w:rPr>
      </w:pPr>
      <w:r>
        <w:rPr>
          <w:rFonts w:hint="eastAsia" w:ascii="宋体" w:hAnsi="宋体" w:cs="宋体"/>
          <w:kern w:val="0"/>
          <w:sz w:val="24"/>
          <w:szCs w:val="21"/>
          <w:highlight w:val="none"/>
        </w:rPr>
        <w:t>1.供应商应按采购文件响应的时间向采购人提供完成项目的有关服务资料。</w:t>
      </w:r>
    </w:p>
    <w:p w14:paraId="7B38C10F">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没有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57D598BC">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kern w:val="0"/>
          <w:sz w:val="24"/>
          <w:szCs w:val="21"/>
          <w:highlight w:val="none"/>
        </w:rPr>
      </w:pPr>
      <w:r>
        <w:rPr>
          <w:rFonts w:hint="eastAsia" w:ascii="宋体" w:hAnsi="宋体" w:cs="宋体"/>
          <w:b/>
          <w:kern w:val="0"/>
          <w:sz w:val="24"/>
          <w:szCs w:val="21"/>
          <w:highlight w:val="none"/>
        </w:rPr>
        <w:t>六、技术情报的保密</w:t>
      </w:r>
    </w:p>
    <w:p w14:paraId="72BB45A6">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1.甲乙双方商定，供应商取得的所有原始技术资料在工作结束后交还采购人，供应商不得对外泄露。</w:t>
      </w:r>
    </w:p>
    <w:p w14:paraId="63646F44">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规划编制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78E86523">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因供应商交付采购人报告中附有国家保密地形图，因此采购人有责任对国家机密信息进行保密，报告作废时采购人应对报告中的保密信息进行监督销毁，若因采购人原因导致报告中机密资料泄露，责任由采购人承担。</w:t>
      </w:r>
    </w:p>
    <w:p w14:paraId="3A300858">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rPr>
        <w:t>七、转或分包</w:t>
      </w:r>
    </w:p>
    <w:p w14:paraId="6A825D4A">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1.本合同范围的项目服务内容，应由供应商直接服务，不得转让他人；</w:t>
      </w:r>
    </w:p>
    <w:p w14:paraId="2C5633CC">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2.如有转让和未经采购人同意的分包行为，采购人有权解除合同，并追究供应商的违约责任。</w:t>
      </w:r>
    </w:p>
    <w:p w14:paraId="7446CB5D">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kern w:val="0"/>
          <w:sz w:val="24"/>
          <w:szCs w:val="21"/>
          <w:highlight w:val="none"/>
        </w:rPr>
      </w:pPr>
      <w:r>
        <w:rPr>
          <w:rFonts w:hint="eastAsia" w:ascii="宋体" w:hAnsi="宋体" w:cs="宋体"/>
          <w:b/>
          <w:kern w:val="0"/>
          <w:sz w:val="24"/>
          <w:szCs w:val="21"/>
          <w:highlight w:val="none"/>
        </w:rPr>
        <w:t>八、采购人的权利及义务</w:t>
      </w:r>
    </w:p>
    <w:p w14:paraId="556CBDDB">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（一）采购人的权利</w:t>
      </w:r>
    </w:p>
    <w:p w14:paraId="5CCD762F">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1．采购人有权向供应商询问工作进展情况及相关的内容。</w:t>
      </w:r>
    </w:p>
    <w:p w14:paraId="1DEFD970">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2．采购人有权阐述对具体问题的意见和建议。</w:t>
      </w:r>
    </w:p>
    <w:p w14:paraId="262E2A29">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 采购人有权根据项目的具体情况，要求供应商按期到项目现场勘探解决争议。</w:t>
      </w:r>
    </w:p>
    <w:p w14:paraId="1C6C5AFD">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4．当采购人认定供应商专业人员不按合同履行其职责，或与第三人串通给采购人造成经济损失的，采购人有权要求更换专业人员，直至终止合同并要求供应商承担相应的赔偿责任。</w:t>
      </w:r>
    </w:p>
    <w:p w14:paraId="257D1D85">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（二）采购人的义务</w:t>
      </w:r>
    </w:p>
    <w:p w14:paraId="609E2AA1">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采购人应当在约定的时间内，向供应商提供与本项目实施有关的资料。</w:t>
      </w:r>
    </w:p>
    <w:p w14:paraId="4C5264D1">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kern w:val="0"/>
          <w:sz w:val="24"/>
          <w:szCs w:val="21"/>
          <w:highlight w:val="none"/>
        </w:rPr>
      </w:pPr>
      <w:r>
        <w:rPr>
          <w:rFonts w:hint="eastAsia" w:ascii="宋体" w:hAnsi="宋体" w:cs="宋体"/>
          <w:b/>
          <w:kern w:val="0"/>
          <w:sz w:val="24"/>
          <w:szCs w:val="21"/>
          <w:highlight w:val="none"/>
        </w:rPr>
        <w:t>九、供应商的权利及义务</w:t>
      </w:r>
    </w:p>
    <w:p w14:paraId="11BA3266">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（一）供应商的权利</w:t>
      </w:r>
    </w:p>
    <w:p w14:paraId="40C1A779">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1.供应商在项目实施过程中，如采购人提供的资料不明确时，可向采购人提出书面报告。</w:t>
      </w:r>
    </w:p>
    <w:p w14:paraId="5B8ABC86">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2．供应商在项目实施过程中，有到项目现场勘察的权利。</w:t>
      </w:r>
    </w:p>
    <w:p w14:paraId="22347F0C">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（二）供应商的义务</w:t>
      </w:r>
    </w:p>
    <w:p w14:paraId="35B3E76C">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1．向采购人提供与本项目有关的资料，包括编制项目人员的资质证书及承担本业务的专业人员名单、编制工作计划等，并按合同专用条件中约定的范围实施业务。</w:t>
      </w:r>
    </w:p>
    <w:p w14:paraId="0285CD6F">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2．供应商在履行本合同期间，向采购人提供与本项目有关的一切服务。</w:t>
      </w:r>
    </w:p>
    <w:p w14:paraId="02278496">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3．在履行合同期间或合同规定期限内，不得泄露与本合同规定业务活动有关的保密资料。</w:t>
      </w:r>
    </w:p>
    <w:p w14:paraId="02030090">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4．在项目评审期间，供应商应按照采购人的要求保证及时到项目现场实施勘验。同时，针对项目出现较大争议的情况，供应商能有效提出解决争议的方案，获得相关主管部门批复通过。</w:t>
      </w:r>
    </w:p>
    <w:p w14:paraId="3227547F">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5、项目完成后，供应商应及时向采购人提供成果资料及相关文件。</w:t>
      </w:r>
    </w:p>
    <w:p w14:paraId="0976A90A">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kern w:val="0"/>
          <w:sz w:val="24"/>
          <w:szCs w:val="21"/>
          <w:highlight w:val="none"/>
        </w:rPr>
      </w:pPr>
      <w:r>
        <w:rPr>
          <w:rFonts w:hint="eastAsia" w:ascii="宋体" w:hAnsi="宋体" w:cs="宋体"/>
          <w:b/>
          <w:kern w:val="0"/>
          <w:sz w:val="24"/>
          <w:szCs w:val="21"/>
          <w:highlight w:val="none"/>
        </w:rPr>
        <w:t>十、服务保证</w:t>
      </w:r>
    </w:p>
    <w:p w14:paraId="5667DCA9">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（一）所供的成果报告必须保证是符合国家相关程序相关规定。</w:t>
      </w:r>
    </w:p>
    <w:p w14:paraId="476AB693">
      <w:pPr>
        <w:spacing w:line="500" w:lineRule="exact"/>
        <w:ind w:firstLine="482" w:firstLineChars="200"/>
        <w:outlineLvl w:val="1"/>
        <w:rPr>
          <w:rFonts w:hint="eastAsia" w:ascii="宋体" w:hAnsi="宋体" w:cs="宋体"/>
          <w:b/>
          <w:sz w:val="24"/>
          <w:highlight w:val="none"/>
        </w:rPr>
      </w:pPr>
      <w:r>
        <w:rPr>
          <w:rFonts w:hint="eastAsia" w:ascii="宋体" w:hAnsi="宋体" w:cs="宋体"/>
          <w:b/>
          <w:sz w:val="24"/>
          <w:highlight w:val="none"/>
        </w:rPr>
        <w:t>十一、违约责任</w:t>
      </w:r>
    </w:p>
    <w:p w14:paraId="71DC92C9">
      <w:pPr>
        <w:autoSpaceDE w:val="0"/>
        <w:autoSpaceDN w:val="0"/>
        <w:adjustRightInd w:val="0"/>
        <w:snapToGrid w:val="0"/>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一）采购人因未及时向供应商提供项目启动所需资料、协调地方关系造成工期延误，每延误1日则本合同服务期限延长1日，以此类推；因资料真实性给供应商造成损失和产生相关连带责任时，采购人除按供应商要求进行赔偿外还需承担因连带责任产生的所有责任。</w:t>
      </w:r>
    </w:p>
    <w:p w14:paraId="5ABE2874">
      <w:pPr>
        <w:autoSpaceDE w:val="0"/>
        <w:autoSpaceDN w:val="0"/>
        <w:adjustRightInd w:val="0"/>
        <w:snapToGrid w:val="0"/>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（二）因供应商原因造成</w:t>
      </w:r>
      <w:r>
        <w:rPr>
          <w:rFonts w:hint="eastAsia" w:ascii="宋体" w:hAnsi="宋体" w:cs="宋体"/>
          <w:bCs/>
          <w:sz w:val="24"/>
          <w:highlight w:val="none"/>
          <w:lang w:val="en-US" w:eastAsia="zh-CN"/>
        </w:rPr>
        <w:t>服务</w:t>
      </w:r>
      <w:r>
        <w:rPr>
          <w:rFonts w:hint="eastAsia" w:ascii="宋体" w:hAnsi="宋体" w:cs="宋体"/>
          <w:bCs/>
          <w:sz w:val="24"/>
          <w:highlight w:val="none"/>
        </w:rPr>
        <w:t>期延误（自然灾害等不可抗力除外），采购人有权从未付款项中按每日3‰合同价款扣除违约金，此违约以30日为限；若采购人未按约定时间付款，则供应商有权按每日3‰合同价款收取违约金。</w:t>
      </w:r>
    </w:p>
    <w:p w14:paraId="26EFB408">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rPr>
        <w:t>十二、不可抗力事件处理</w:t>
      </w:r>
    </w:p>
    <w:p w14:paraId="6A326130">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 在合同有效期内，任何一方因不可抗力事件导致不能履行合同，则合同履行期可延长，其延长期与不可抗力影响期相同。</w:t>
      </w:r>
    </w:p>
    <w:p w14:paraId="74763ED5">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 不可抗力事件发生后，应立即通知对方，并寄送有关权威机构出具的证明。</w:t>
      </w:r>
    </w:p>
    <w:p w14:paraId="61C6E3D5">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 不可抗力事件延续120天以上，双方应通过友好协商，确定是否继续履行合同。</w:t>
      </w:r>
    </w:p>
    <w:p w14:paraId="588DC8DB">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rPr>
        <w:t>十三、诉讼</w:t>
      </w:r>
    </w:p>
    <w:p w14:paraId="6896FF4F">
      <w:pPr>
        <w:widowControl/>
        <w:tabs>
          <w:tab w:val="left" w:pos="0"/>
          <w:tab w:val="left" w:pos="437"/>
          <w:tab w:val="left" w:pos="1311"/>
        </w:tabs>
        <w:adjustRightInd w:val="0"/>
        <w:snapToGrid w:val="0"/>
        <w:spacing w:line="500" w:lineRule="exact"/>
        <w:ind w:firstLine="448" w:firstLineChars="200"/>
        <w:jc w:val="left"/>
        <w:rPr>
          <w:rFonts w:hint="eastAsia" w:ascii="宋体" w:hAnsi="宋体" w:cs="宋体"/>
          <w:spacing w:val="-8"/>
          <w:kern w:val="0"/>
          <w:sz w:val="24"/>
          <w:szCs w:val="21"/>
          <w:highlight w:val="none"/>
        </w:rPr>
      </w:pPr>
      <w:r>
        <w:rPr>
          <w:rFonts w:hint="eastAsia" w:ascii="宋体" w:hAnsi="宋体" w:cs="宋体"/>
          <w:spacing w:val="-8"/>
          <w:kern w:val="0"/>
          <w:sz w:val="24"/>
          <w:szCs w:val="21"/>
          <w:highlight w:val="none"/>
        </w:rPr>
        <w:t>双方在执行合同中所发生的一切争议，应通过协商解决。如协商不成，可向采购人所在地法院起诉。</w:t>
      </w:r>
    </w:p>
    <w:p w14:paraId="1AE6C9AD">
      <w:pPr>
        <w:widowControl/>
        <w:tabs>
          <w:tab w:val="left" w:pos="0"/>
          <w:tab w:val="left" w:pos="437"/>
          <w:tab w:val="left" w:pos="1311"/>
        </w:tabs>
        <w:adjustRightInd w:val="0"/>
        <w:snapToGrid w:val="0"/>
        <w:spacing w:line="500" w:lineRule="exact"/>
        <w:ind w:firstLine="482" w:firstLineChars="200"/>
        <w:jc w:val="left"/>
        <w:rPr>
          <w:rFonts w:hint="eastAsia" w:ascii="宋体" w:hAnsi="宋体" w:cs="宋体"/>
          <w:b/>
          <w:bCs/>
          <w:kern w:val="0"/>
          <w:sz w:val="24"/>
          <w:szCs w:val="21"/>
          <w:highlight w:val="none"/>
        </w:rPr>
      </w:pPr>
      <w:r>
        <w:rPr>
          <w:rFonts w:hint="eastAsia" w:ascii="宋体" w:hAnsi="宋体" w:cs="宋体"/>
          <w:b/>
          <w:bCs/>
          <w:kern w:val="0"/>
          <w:sz w:val="24"/>
          <w:szCs w:val="21"/>
          <w:highlight w:val="none"/>
        </w:rPr>
        <w:t>十四、合同生效及其它</w:t>
      </w:r>
    </w:p>
    <w:p w14:paraId="448A0939">
      <w:pPr>
        <w:widowControl/>
        <w:tabs>
          <w:tab w:val="left" w:pos="0"/>
          <w:tab w:val="left" w:pos="437"/>
          <w:tab w:val="left" w:pos="1311"/>
        </w:tabs>
        <w:adjustRightInd w:val="0"/>
        <w:snapToGrid w:val="0"/>
        <w:spacing w:line="50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1、本合同经采购人、供应商法定代表人或其委托人签字并加盖公章后生效。</w:t>
      </w:r>
    </w:p>
    <w:p w14:paraId="5C28347E">
      <w:pPr>
        <w:widowControl/>
        <w:tabs>
          <w:tab w:val="left" w:pos="0"/>
          <w:tab w:val="left" w:pos="437"/>
          <w:tab w:val="left" w:pos="1311"/>
        </w:tabs>
        <w:adjustRightInd w:val="0"/>
        <w:snapToGrid w:val="0"/>
        <w:spacing w:line="500" w:lineRule="exact"/>
        <w:ind w:firstLine="448" w:firstLineChars="200"/>
        <w:jc w:val="left"/>
        <w:rPr>
          <w:rFonts w:hint="eastAsia" w:ascii="宋体" w:hAnsi="宋体" w:cs="宋体"/>
          <w:kern w:val="0"/>
          <w:sz w:val="24"/>
          <w:szCs w:val="21"/>
          <w:highlight w:val="none"/>
        </w:rPr>
      </w:pPr>
      <w:r>
        <w:rPr>
          <w:rFonts w:hint="eastAsia" w:ascii="宋体" w:hAnsi="宋体" w:cs="宋体"/>
          <w:spacing w:val="-8"/>
          <w:kern w:val="0"/>
          <w:sz w:val="24"/>
          <w:szCs w:val="21"/>
          <w:highlight w:val="none"/>
        </w:rPr>
        <w:t>2、本合同一式八份，采购人、供应商各执三份，其余相关部门各一份。</w:t>
      </w:r>
    </w:p>
    <w:p w14:paraId="54EC643C">
      <w:pPr>
        <w:pStyle w:val="3"/>
        <w:spacing w:line="500" w:lineRule="exact"/>
        <w:rPr>
          <w:rFonts w:hint="eastAsia" w:ascii="宋体" w:hAnsi="宋体" w:cs="宋体"/>
          <w:kern w:val="0"/>
          <w:szCs w:val="21"/>
          <w:highlight w:val="none"/>
        </w:rPr>
      </w:pPr>
    </w:p>
    <w:p w14:paraId="00F6FC62">
      <w:pPr>
        <w:rPr>
          <w:rFonts w:hint="eastAsia" w:ascii="宋体" w:hAnsi="宋体" w:cs="宋体"/>
          <w:kern w:val="0"/>
          <w:szCs w:val="21"/>
          <w:highlight w:val="none"/>
        </w:rPr>
      </w:pPr>
    </w:p>
    <w:p w14:paraId="1F1DEB7F">
      <w:pPr>
        <w:pStyle w:val="3"/>
        <w:rPr>
          <w:rFonts w:hint="eastAsia"/>
          <w:highlight w:val="none"/>
        </w:rPr>
      </w:pPr>
    </w:p>
    <w:p w14:paraId="26AE0AC3">
      <w:pPr>
        <w:pStyle w:val="3"/>
        <w:spacing w:line="500" w:lineRule="exact"/>
        <w:ind w:firstLine="48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采购人（章）：                               供应商（章）：         </w:t>
      </w:r>
    </w:p>
    <w:p w14:paraId="65067CBD">
      <w:pPr>
        <w:pStyle w:val="3"/>
        <w:spacing w:line="500" w:lineRule="exact"/>
        <w:rPr>
          <w:rFonts w:hint="eastAsia" w:ascii="宋体" w:hAnsi="宋体" w:cs="宋体"/>
          <w:color w:val="auto"/>
          <w:kern w:val="0"/>
          <w:szCs w:val="21"/>
          <w:highlight w:val="none"/>
        </w:rPr>
      </w:pPr>
    </w:p>
    <w:p w14:paraId="7316C28E">
      <w:pPr>
        <w:pStyle w:val="3"/>
        <w:spacing w:line="500" w:lineRule="exact"/>
        <w:ind w:firstLine="48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法定代表人或委托代理人：                   　法定代表人或委托代理人：  </w:t>
      </w:r>
    </w:p>
    <w:p w14:paraId="31A9F9B4">
      <w:pPr>
        <w:pStyle w:val="3"/>
        <w:rPr>
          <w:rFonts w:hint="eastAsia"/>
          <w:highlight w:val="none"/>
        </w:rPr>
      </w:pPr>
    </w:p>
    <w:p w14:paraId="018DCC84">
      <w:pPr>
        <w:pStyle w:val="3"/>
        <w:ind w:firstLine="1200" w:firstLineChars="500"/>
        <w:rPr>
          <w:rFonts w:hint="eastAsia" w:ascii="宋体" w:hAnsi="宋体" w:eastAsia="宋体" w:cs="宋体"/>
          <w:color w:val="auto"/>
          <w:kern w:val="0"/>
          <w:szCs w:val="21"/>
          <w:highlight w:val="none"/>
        </w:rPr>
      </w:pPr>
      <w:r>
        <w:rPr>
          <w:rFonts w:ascii="宋体" w:hAnsi="宋体" w:cs="宋体"/>
          <w:color w:val="auto"/>
          <w:kern w:val="0"/>
          <w:szCs w:val="21"/>
          <w:highlight w:val="none"/>
        </w:rPr>
        <w:t>年</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月</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日</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年</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月</w:t>
      </w: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日</w:t>
      </w:r>
    </w:p>
    <w:p w14:paraId="36D8DBC3"/>
    <w:sectPr>
      <w:footerReference r:id="rId6" w:type="default"/>
      <w:pgSz w:w="11906" w:h="16838"/>
      <w:pgMar w:top="1440" w:right="1440" w:bottom="1440" w:left="144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0A7C9">
    <w:pPr>
      <w:pStyle w:val="5"/>
      <w:tabs>
        <w:tab w:val="center" w:pos="4513"/>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5AFA9">
    <w:pPr>
      <w:pStyle w:val="5"/>
      <w:tabs>
        <w:tab w:val="center" w:pos="4513"/>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6D5D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26D5DA">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535C8B"/>
    <w:rsid w:val="560C7F45"/>
    <w:rsid w:val="5C2C14DE"/>
    <w:rsid w:val="68CC2F06"/>
    <w:rsid w:val="6B535C8B"/>
    <w:rsid w:val="6E935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styleId="9">
    <w:name w:val="Body Text First Indent 2"/>
    <w:basedOn w:val="4"/>
    <w:next w:val="1"/>
    <w:qFormat/>
    <w:uiPriority w:val="0"/>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2757</Words>
  <Characters>2788</Characters>
  <Lines>0</Lines>
  <Paragraphs>0</Paragraphs>
  <TotalTime>0</TotalTime>
  <ScaleCrop>false</ScaleCrop>
  <LinksUpToDate>false</LinksUpToDate>
  <CharactersWithSpaces>2966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2025-06-23T08:36:00Z</dcterms:created>
  <dc:creator>田晶lovelife</dc:creator>
  <cp:lastModifiedBy>Administrator</cp:lastModifiedBy>
  <dcterms:modified xsi:type="dcterms:W3CDTF">2026-06-23T10:00:50Z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9E2B3A6A3C164F29ACD5095E3E0F8760_11</vt:lpwstr>
  </property>
  <property fmtid="{D5CDD505-2E9C-101B-9397-08002B2CF9AE}" pid="4" name="KSOTemplateDocerSaveRecord">
    <vt:lpwstr>eyJoZGlkIjoiYjhkMGZjZGYzZDNmM2JkYzM4YTQzYjJmZTU3OThhMGEiLCJ1c2VySWQiOiI0OTk3NzY1ODMifQ==</vt:lpwstr>
  </property>
</Properties>
</file>