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版本号：DQB-2026038-ZB20260812001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重点车辆卫星定位及地图数据更新服务项目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DQB-2026038-ZB</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重点车辆卫星定位及地图数据更新服务项目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DQB-2026038-ZB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重点车辆卫星定位及地图数据更新服务项目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重点车辆卫星定位及地图数据更新服务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1、营业执照等主体资格证明文件：提供企业营业执照/事业单位法人证书/专业服务机构执业许可证/民办非企业单位登记证书。</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9、法定代表人授权书：法定代表人参加投标的，须提供本人身份证复印件(附在资格证明文件中)；法定代表人授权他人参加投标的，须提供法定代表人授权书，同时需提供被授权人开标前3个月内任意1个月的社保缴纳证明（依法不需要缴纳社保的被授权人应提供相关证明，入职未满1个月提供劳动合同）。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采购包1：5,873,560.00元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 xml:space="preserve"> 无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无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无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银行账号：52880188000168027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代理服务费收费标准：中标金额100万元以下，费率1.5%；中标金额100～500万元，费率1.1%；中标金额500～1000万元，费率0.8%；采购代理服务费收费按差额定率累进法计算。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重点车辆卫星定位及地图数据更新服务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5,873,560.00</w:t>
      </w:r>
    </w:p>
    <w:p>
      <w:pPr>
        <w:pStyle w:val="null3"/>
      </w:pPr>
      <w:r>
        <w:rPr>
          <w:rFonts w:ascii="仿宋_GB2312" w:hAnsi="仿宋_GB2312" w:cs="仿宋_GB2312" w:eastAsia="仿宋_GB2312"/>
        </w:rPr>
        <w:t>采购包最高限价（元）: 5,873,560.00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重点车辆卫星定位及地图数据更新服务项目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5,873,560.00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标的名称：重点车辆卫星定位及地图数据更新服务项目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b/>
              </w:rPr>
              <w:t>一、项目概况</w:t>
            </w:r>
          </w:p>
          <w:p>
            <w:pPr>
              <w:pStyle w:val="null3"/>
              <w:ind w:firstLine="480"/>
            </w:pPr>
            <w:r>
              <w:rPr>
                <w:rFonts w:ascii="仿宋_GB2312" w:hAnsi="仿宋_GB2312" w:cs="仿宋_GB2312" w:eastAsia="仿宋_GB2312"/>
                <w:sz w:val="21"/>
              </w:rPr>
              <w:t>为深化公安交管改革，完善</w:t>
            </w:r>
            <w:r>
              <w:rPr>
                <w:rFonts w:ascii="仿宋_GB2312" w:hAnsi="仿宋_GB2312" w:cs="仿宋_GB2312" w:eastAsia="仿宋_GB2312"/>
                <w:sz w:val="21"/>
              </w:rPr>
              <w:t>“情指行”一体化实战机制，全面提升警务运行质效和实战能力，为道路交通安全事故的“减量控大”、预防预警、源头治理和安全宣传工作提供高效技术手段。持续采购全省重型货车轨迹与预警数据、语音消息服务，做好对“两客一危一货”等重点车辆的违法识别与综合监管，将重点车辆监管作为常态化防控较大、重大事故的有效手段。</w:t>
            </w:r>
            <w:r>
              <w:rPr>
                <w:rFonts w:ascii="仿宋_GB2312" w:hAnsi="仿宋_GB2312" w:cs="仿宋_GB2312" w:eastAsia="仿宋_GB2312"/>
                <w:sz w:val="21"/>
              </w:rPr>
              <w:t>充分利用接入数据治理分析，及时发现</w:t>
            </w:r>
            <w:r>
              <w:rPr>
                <w:rFonts w:ascii="仿宋_GB2312" w:hAnsi="仿宋_GB2312" w:cs="仿宋_GB2312" w:eastAsia="仿宋_GB2312"/>
                <w:sz w:val="21"/>
              </w:rPr>
              <w:t>12吨以上的重型货车存在的超速、疲劳驾驶、禁行等交通违法行为，实时分析车辆的轨迹数据，对车辆道路运行实时感知监控，有效实施对货运车辆和货运企业的精准化安全管理，实现精准发现交通违法、精准预防交通事故、精准宣传交通安全、精准服务车企，服务于省、市、区县，实时对全省的货运车的疲劳、超速等违法行为进行监管。</w:t>
            </w:r>
          </w:p>
          <w:p>
            <w:pPr>
              <w:pStyle w:val="null3"/>
              <w:ind w:firstLine="480"/>
            </w:pPr>
            <w:r>
              <w:rPr>
                <w:rFonts w:ascii="仿宋_GB2312" w:hAnsi="仿宋_GB2312" w:cs="仿宋_GB2312" w:eastAsia="仿宋_GB2312"/>
                <w:sz w:val="21"/>
              </w:rPr>
              <w:t>同时为保障地图数据鲜活采购地图数据服务，持续采购地图数据服务，更新地图数据并接入实时路况、交通拥堵预警等动态服务，提升交通态势感知水平，通过</w:t>
            </w:r>
            <w:r>
              <w:rPr>
                <w:rFonts w:ascii="仿宋_GB2312" w:hAnsi="仿宋_GB2312" w:cs="仿宋_GB2312" w:eastAsia="仿宋_GB2312"/>
                <w:shd w:fill="FFFFFF" w:val="clear"/>
              </w:rPr>
              <w:t>时空一张图以满足不断变化的警务工作需要</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b/>
              </w:rPr>
              <w:t>二、</w:t>
            </w:r>
            <w:r>
              <w:rPr>
                <w:rFonts w:ascii="仿宋_GB2312" w:hAnsi="仿宋_GB2312" w:cs="仿宋_GB2312" w:eastAsia="仿宋_GB2312"/>
                <w:sz w:val="21"/>
                <w:b/>
              </w:rPr>
              <w:t>项目背景</w:t>
            </w:r>
          </w:p>
          <w:p>
            <w:pPr>
              <w:pStyle w:val="null3"/>
              <w:ind w:firstLine="480"/>
            </w:pPr>
            <w:r>
              <w:rPr>
                <w:rFonts w:ascii="仿宋_GB2312" w:hAnsi="仿宋_GB2312" w:cs="仿宋_GB2312" w:eastAsia="仿宋_GB2312"/>
                <w:sz w:val="21"/>
                <w:b/>
              </w:rPr>
              <w:t>1.党中央、国务院及国家部委对本项目建设的要求</w:t>
            </w:r>
          </w:p>
          <w:p>
            <w:pPr>
              <w:pStyle w:val="null3"/>
              <w:ind w:firstLine="480"/>
            </w:pPr>
            <w:r>
              <w:rPr>
                <w:rFonts w:ascii="仿宋_GB2312" w:hAnsi="仿宋_GB2312" w:cs="仿宋_GB2312" w:eastAsia="仿宋_GB2312"/>
                <w:sz w:val="21"/>
              </w:rPr>
              <w:t>总书记指出，</w:t>
            </w:r>
            <w:r>
              <w:rPr>
                <w:rFonts w:ascii="仿宋_GB2312" w:hAnsi="仿宋_GB2312" w:cs="仿宋_GB2312" w:eastAsia="仿宋_GB2312"/>
                <w:sz w:val="21"/>
              </w:rPr>
              <w:t>“要构建以数据为关键要素的数字经济，推动大数据、人工智能等新一代信息技术与实体经济深度融合”，为智慧交通发展指明了方向。近几年来出台多项政策文件：</w:t>
            </w:r>
          </w:p>
          <w:p>
            <w:pPr>
              <w:pStyle w:val="null3"/>
              <w:ind w:firstLine="480"/>
            </w:pPr>
            <w:r>
              <w:rPr>
                <w:rFonts w:ascii="仿宋_GB2312" w:hAnsi="仿宋_GB2312" w:cs="仿宋_GB2312" w:eastAsia="仿宋_GB2312"/>
                <w:sz w:val="21"/>
              </w:rPr>
              <w:t>2022年印发《“十四五”公安交通管理科技信息化发展规划》，明确提出“构建全国统一的交管大数据平台，提升数据赋能实战能力”；“联合部署开展信息共享治理货车严重疲劳驾驶违法试点工作，探索建立健全工作机制和规范，遏制货车疲劳驾驶肇事肇祸多发势头”；“研究推动出台治理低速电动车违规生产销售的工作意见，稳妥有序开展低速电动车治理”。</w:t>
            </w:r>
          </w:p>
          <w:p>
            <w:pPr>
              <w:pStyle w:val="null3"/>
              <w:ind w:firstLine="480"/>
            </w:pPr>
            <w:r>
              <w:rPr>
                <w:rFonts w:ascii="仿宋_GB2312" w:hAnsi="仿宋_GB2312" w:cs="仿宋_GB2312" w:eastAsia="仿宋_GB2312"/>
                <w:sz w:val="21"/>
              </w:rPr>
              <w:t>《公安交通管理科技发展规划（</w:t>
            </w:r>
            <w:r>
              <w:rPr>
                <w:rFonts w:ascii="仿宋_GB2312" w:hAnsi="仿宋_GB2312" w:cs="仿宋_GB2312" w:eastAsia="仿宋_GB2312"/>
                <w:sz w:val="21"/>
              </w:rPr>
              <w:t>2021-2023年）》</w:t>
            </w:r>
            <w:r>
              <w:rPr>
                <w:rFonts w:ascii="仿宋_GB2312" w:hAnsi="仿宋_GB2312" w:cs="仿宋_GB2312" w:eastAsia="仿宋_GB2312"/>
                <w:sz w:val="21"/>
              </w:rPr>
              <w:t>（以下简称《规划》）中提出的主要任务之一是</w:t>
            </w:r>
            <w:r>
              <w:rPr>
                <w:rFonts w:ascii="仿宋_GB2312" w:hAnsi="仿宋_GB2312" w:cs="仿宋_GB2312" w:eastAsia="仿宋_GB2312"/>
                <w:sz w:val="21"/>
              </w:rPr>
              <w:t>“深化部级交通管理大数据分析研判建设”，健全“人、车、企”全息数据档案。丰富优化交通安全态势分析、重点对象风险评估等功能，授权省总队、地市支队用户使用。搭建部级可视化建模实验环境，开放数据和计算资源，支持各地创新研发大数据模型，实现全警共建共享共用。提出利用大数据、云计算、物联网等信息化技术，对大货车进行实时监测和数据分析，以实现对大货车运行状态的全面掌控。通过建设和完善大货车监管系统，实现对大货车行驶轨迹、载重情况、驾驶行为等的实时跟踪和监测，提高监管效率。强调对大货车驾驶员疲劳驾驶的监控和管理，通过车载智能终端对驾驶员的驾驶时间、休息时间等进行记录和分析，及时发现驾驶员疲劳驾驶行为，并对其进行提醒和干预等。</w:t>
            </w:r>
          </w:p>
          <w:p>
            <w:pPr>
              <w:pStyle w:val="null3"/>
              <w:ind w:firstLine="480"/>
            </w:pPr>
            <w:r>
              <w:rPr>
                <w:rFonts w:ascii="仿宋_GB2312" w:hAnsi="仿宋_GB2312" w:cs="仿宋_GB2312" w:eastAsia="仿宋_GB2312"/>
                <w:sz w:val="21"/>
                <w:b/>
              </w:rPr>
              <w:t>2.</w:t>
            </w:r>
            <w:r>
              <w:rPr>
                <w:rFonts w:ascii="仿宋_GB2312" w:hAnsi="仿宋_GB2312" w:cs="仿宋_GB2312" w:eastAsia="仿宋_GB2312"/>
                <w:sz w:val="21"/>
                <w:b/>
              </w:rPr>
              <w:t>技术发展对本项目实施的要求</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.1数据融合与处理能力：要求实现“多源异构数据的实时智能融合”。必须具备处理海量、高并发（日均数亿条）数据的能力，支持流批一体处理。强大的实时计算引擎： 必须采用流处理技术，对轨迹数据进行实时碰撞、关联分析，实现分钟级甚至秒级的违法（如疲劳驾驶）识别与预警。数据治理与质量保障： 必须建立一套完整的数据治理体系，确保接入数据的准确性、完整性和及时性，为后续建模分析与指挥决策提供可信数据基底。必须采购和支持高频更新的地图数据服务，并能将实时路况、交通事件、警力位置、车辆轨迹等动态信息无缝叠加其上，形成“一张图”指挥视图。</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2要求采用微服务化的开放架构，为避免形成新的“烟囱式”信息孤岛。平台适应业务需求的快速变化，平台架构必须先进且灵活。将功能拆分为独立的微服务，实现模块间解耦，便于单独升级、扩容，不影响整体系统运行。</w:t>
            </w:r>
          </w:p>
          <w:p>
            <w:pPr>
              <w:pStyle w:val="null3"/>
              <w:ind w:firstLine="422"/>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、建设清单</w:t>
            </w:r>
          </w:p>
          <w:p>
            <w:pPr>
              <w:pStyle w:val="null3"/>
              <w:ind w:firstLine="420"/>
              <w:jc w:val="both"/>
            </w:pPr>
            <w:r>
              <w:rPr>
                <w:rFonts w:ascii="仿宋_GB2312" w:hAnsi="仿宋_GB2312" w:cs="仿宋_GB2312" w:eastAsia="仿宋_GB2312"/>
                <w:sz w:val="21"/>
                <w:color w:val="000000"/>
              </w:rPr>
              <w:t>1.总体服务清单</w:t>
            </w:r>
          </w:p>
          <w:tbl>
            <w:tblPr>
              <w:tblBorders>
                <w:top w:val="none" w:color="000000" w:sz="4"/>
                <w:left w:val="none" w:color="000000" w:sz="4"/>
                <w:bottom w:val="none" w:color="000000" w:sz="4"/>
                <w:right w:val="none" w:color="000000" w:sz="4"/>
                <w:insideH w:val="none"/>
                <w:insideV w:val="none"/>
              </w:tblBorders>
            </w:tblPr>
            <w:tblGrid>
              <w:gridCol w:w="333"/>
              <w:gridCol w:w="1261"/>
            </w:tblGrid>
            <w:tr>
              <w:tc>
                <w:tcPr>
                  <w:tcW w:type="dxa" w:w="33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序号</w:t>
                  </w:r>
                </w:p>
              </w:tc>
              <w:tc>
                <w:tcPr>
                  <w:tcW w:type="dxa" w:w="126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b/>
                    </w:rPr>
                    <w:t>服务事项</w:t>
                  </w:r>
                </w:p>
              </w:tc>
            </w:tr>
            <w:tr>
              <w:tc>
                <w:tcPr>
                  <w:tcW w:type="dxa" w:w="3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（一）</w:t>
                  </w:r>
                </w:p>
              </w:tc>
              <w:tc>
                <w:tcPr>
                  <w:tcW w:type="dxa" w:w="12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rFonts w:ascii="仿宋_GB2312" w:hAnsi="仿宋_GB2312" w:cs="仿宋_GB2312" w:eastAsia="仿宋_GB2312"/>
                      <w:sz w:val="21"/>
                    </w:rPr>
                    <w:t>数据资源采购</w:t>
                  </w:r>
                </w:p>
              </w:tc>
            </w:tr>
            <w:tr>
              <w:tc>
                <w:tcPr>
                  <w:tcW w:type="dxa" w:w="3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1</w:t>
                  </w:r>
                </w:p>
              </w:tc>
              <w:tc>
                <w:tcPr>
                  <w:tcW w:type="dxa" w:w="12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吨以上重型货车数据采购</w:t>
                  </w:r>
                </w:p>
              </w:tc>
            </w:tr>
            <w:tr>
              <w:tc>
                <w:tcPr>
                  <w:tcW w:type="dxa" w:w="3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2</w:t>
                  </w:r>
                </w:p>
              </w:tc>
              <w:tc>
                <w:tcPr>
                  <w:tcW w:type="dxa" w:w="12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rFonts w:ascii="仿宋_GB2312" w:hAnsi="仿宋_GB2312" w:cs="仿宋_GB2312" w:eastAsia="仿宋_GB2312"/>
                      <w:sz w:val="21"/>
                    </w:rPr>
                    <w:t>语音消息下发通道服务采购</w:t>
                  </w:r>
                </w:p>
              </w:tc>
            </w:tr>
            <w:tr>
              <w:tc>
                <w:tcPr>
                  <w:tcW w:type="dxa" w:w="3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1"/>
                    </w:rPr>
                    <w:t>3</w:t>
                  </w:r>
                </w:p>
              </w:tc>
              <w:tc>
                <w:tcPr>
                  <w:tcW w:type="dxa" w:w="12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rFonts w:ascii="仿宋_GB2312" w:hAnsi="仿宋_GB2312" w:cs="仿宋_GB2312" w:eastAsia="仿宋_GB2312"/>
                      <w:sz w:val="21"/>
                    </w:rPr>
                    <w:t>地图数据更新及动态数据服务采购</w:t>
                  </w:r>
                </w:p>
              </w:tc>
            </w:tr>
          </w:tbl>
          <w:p>
            <w:pPr>
              <w:pStyle w:val="null3"/>
              <w:ind w:firstLine="420"/>
              <w:jc w:val="both"/>
            </w:pPr>
            <w:r>
              <w:rPr>
                <w:rFonts w:ascii="仿宋_GB2312" w:hAnsi="仿宋_GB2312" w:cs="仿宋_GB2312" w:eastAsia="仿宋_GB2312"/>
                <w:sz w:val="21"/>
                <w:color w:val="000000"/>
              </w:rPr>
              <w:t>2.重型货车数据及语音通道服务清单</w:t>
            </w:r>
          </w:p>
          <w:tbl>
            <w:tblPr>
              <w:tblBorders>
                <w:top w:val="none" w:color="000000" w:sz="4"/>
                <w:left w:val="none" w:color="000000" w:sz="4"/>
                <w:bottom w:val="none" w:color="000000" w:sz="4"/>
                <w:right w:val="none" w:color="000000" w:sz="4"/>
                <w:insideH w:val="none"/>
                <w:insideV w:val="none"/>
              </w:tblBorders>
            </w:tblPr>
            <w:tblGrid>
              <w:gridCol w:w="188"/>
              <w:gridCol w:w="286"/>
              <w:gridCol w:w="1197"/>
              <w:gridCol w:w="218"/>
              <w:gridCol w:w="218"/>
              <w:gridCol w:w="445"/>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相关指标或功能说明</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12吨以上部分货运车动静态数据</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w:t>
                  </w:r>
                  <w:r>
                    <w:rPr>
                      <w:rFonts w:ascii="仿宋_GB2312" w:hAnsi="仿宋_GB2312" w:cs="仿宋_GB2312" w:eastAsia="仿宋_GB2312"/>
                      <w:sz w:val="21"/>
                    </w:rPr>
                    <w:t>1年</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吨以上重型货车</w:t>
                  </w:r>
                  <w:r>
                    <w:rPr>
                      <w:rFonts w:ascii="仿宋_GB2312" w:hAnsi="仿宋_GB2312" w:cs="仿宋_GB2312" w:eastAsia="仿宋_GB2312"/>
                      <w:sz w:val="21"/>
                    </w:rPr>
                    <w:t>部分入陕车辆数据，</w:t>
                  </w:r>
                  <w:r>
                    <w:rPr>
                      <w:rFonts w:ascii="仿宋_GB2312" w:hAnsi="仿宋_GB2312" w:cs="仿宋_GB2312" w:eastAsia="仿宋_GB2312"/>
                      <w:sz w:val="21"/>
                    </w:rPr>
                    <w:t>主要是在陕疲劳驾驶预警数据，对应车辆的省外轨迹数据。接入</w:t>
                  </w:r>
                  <w:r>
                    <w:rPr>
                      <w:rFonts w:ascii="仿宋_GB2312" w:hAnsi="仿宋_GB2312" w:cs="仿宋_GB2312" w:eastAsia="仿宋_GB2312"/>
                      <w:sz w:val="21"/>
                    </w:rPr>
                    <w:t>12吨以上重型货车数量≥22万；每日接入轨迹条数≥1.95亿；</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语音消息下发</w:t>
                  </w:r>
                </w:p>
              </w:tc>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采购全国货运平台的语音消息下发通道，对超速和疲劳驾驶违法重型货车自动下发提示信息。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1）违法语音消息提醒：对12吨以上重型货运车辆疲劳驾驶、超速违法报警信息进行实时自动推送，语音播报提醒（仅可对违法状态为持续中的车辆进行提醒）。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子围栏语音消息提醒：自定义绘制信息发布电子围栏区域，设置推送任务时，选择设置不同模板的信息推送，例如：货车闯禁行预警、恶劣天气预警、前方事故预警、拥堵预警信息、前方交通管制等，设置完成后自动推送至货车驾驶室车载定位终端并通过语音播报功能提醒告知。</w:t>
                  </w:r>
                </w:p>
                <w:p>
                  <w:pPr>
                    <w:pStyle w:val="null3"/>
                    <w:jc w:val="both"/>
                  </w:pPr>
                  <w:r>
                    <w:rPr>
                      <w:rFonts w:ascii="仿宋_GB2312" w:hAnsi="仿宋_GB2312" w:cs="仿宋_GB2312" w:eastAsia="仿宋_GB2312"/>
                      <w:sz w:val="21"/>
                    </w:rPr>
                    <w:t>一年发送语音条数</w:t>
                  </w:r>
                  <w:r>
                    <w:rPr>
                      <w:rFonts w:ascii="仿宋_GB2312" w:hAnsi="仿宋_GB2312" w:cs="仿宋_GB2312" w:eastAsia="仿宋_GB2312"/>
                      <w:sz w:val="21"/>
                    </w:rPr>
                    <w:t>≥350万；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每日语音下发次数</w:t>
                  </w:r>
                  <w:r>
                    <w:rPr>
                      <w:rFonts w:ascii="仿宋_GB2312" w:hAnsi="仿宋_GB2312" w:cs="仿宋_GB2312" w:eastAsia="仿宋_GB2312"/>
                      <w:sz w:val="21"/>
                    </w:rPr>
                    <w:t>&gt;5000条</w:t>
                  </w:r>
                </w:p>
              </w:tc>
            </w:tr>
          </w:tbl>
          <w:p>
            <w:pPr>
              <w:pStyle w:val="null3"/>
              <w:spacing w:before="120" w:after="120"/>
              <w:ind w:firstLine="480"/>
              <w:jc w:val="both"/>
            </w:pPr>
            <w:r>
              <w:rPr>
                <w:rFonts w:ascii="仿宋_GB2312" w:hAnsi="仿宋_GB2312" w:cs="仿宋_GB2312" w:eastAsia="仿宋_GB2312"/>
                <w:sz w:val="21"/>
              </w:rPr>
              <w:t>3.地图数据更新及动态数据服务采购</w:t>
            </w:r>
          </w:p>
          <w:tbl>
            <w:tblPr>
              <w:tblBorders>
                <w:top w:val="none" w:color="000000" w:sz="4"/>
                <w:left w:val="none" w:color="000000" w:sz="4"/>
                <w:bottom w:val="none" w:color="000000" w:sz="4"/>
                <w:right w:val="none" w:color="000000" w:sz="4"/>
                <w:insideH w:val="none"/>
                <w:insideV w:val="none"/>
              </w:tblBorders>
            </w:tblPr>
            <w:tblGrid>
              <w:gridCol w:w="194"/>
              <w:gridCol w:w="341"/>
              <w:gridCol w:w="1143"/>
              <w:gridCol w:w="217"/>
              <w:gridCol w:w="230"/>
              <w:gridCol w:w="429"/>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相关指标或功能说明</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全省互联网、视频专网和公安网地图数据更新服务</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采购陕西省行政区域地图数据更新服务用于对政务外网（互联网）、视频专网和公安信息网的地图数据进行更新，并基于地图引擎实现基础地理信息图层加载；数据比例尺</w:t>
                  </w:r>
                  <w:r>
                    <w:rPr>
                      <w:rFonts w:ascii="仿宋_GB2312" w:hAnsi="仿宋_GB2312" w:cs="仿宋_GB2312" w:eastAsia="仿宋_GB2312"/>
                      <w:sz w:val="21"/>
                    </w:rPr>
                    <w:t>1：2000基础矢量地图数据；坐标系采取GCJ-02坐标系，保障多网络环境下陕西省基础地理信息数据的时效性，支撑基础地理信息图层的可视化加载与应用能力。</w:t>
                  </w:r>
                </w:p>
                <w:p>
                  <w:pPr>
                    <w:pStyle w:val="null3"/>
                    <w:jc w:val="both"/>
                  </w:pPr>
                  <w:r>
                    <w:rPr>
                      <w:rFonts w:ascii="仿宋_GB2312" w:hAnsi="仿宋_GB2312" w:cs="仿宋_GB2312" w:eastAsia="仿宋_GB2312"/>
                      <w:sz w:val="21"/>
                    </w:rPr>
                    <w:t>数据覆盖范围：陕西全省地图数据，含兴趣点数据（学校、医院、重点场所等）；道路路网数据；行政区划数据；建筑物数据；功能区；河流水系、绿地数据；导航属性信息。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全省互联网实时路况服务</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1、实时路况服务：具备提供实时路况服务的能力，实时路况≤2分钟更新频率，数据质量优于同等行业互联网厂家数据质量。</w:t>
                  </w:r>
                </w:p>
                <w:p>
                  <w:pPr>
                    <w:pStyle w:val="null3"/>
                    <w:jc w:val="both"/>
                  </w:pPr>
                  <w:r>
                    <w:rPr>
                      <w:rFonts w:ascii="仿宋_GB2312" w:hAnsi="仿宋_GB2312" w:cs="仿宋_GB2312" w:eastAsia="仿宋_GB2312"/>
                      <w:sz w:val="21"/>
                    </w:rPr>
                    <w:t>1）基于主流互联网地图产品导航软件采集的浮动车数据进行路况计算；</w:t>
                  </w:r>
                </w:p>
                <w:p>
                  <w:pPr>
                    <w:pStyle w:val="null3"/>
                    <w:jc w:val="both"/>
                  </w:pPr>
                  <w:r>
                    <w:rPr>
                      <w:rFonts w:ascii="仿宋_GB2312" w:hAnsi="仿宋_GB2312" w:cs="仿宋_GB2312" w:eastAsia="仿宋_GB2312"/>
                      <w:sz w:val="21"/>
                    </w:rPr>
                    <w:t>2）数据提供时间间隔：≤2分钟；</w:t>
                  </w:r>
                </w:p>
                <w:p>
                  <w:pPr>
                    <w:pStyle w:val="null3"/>
                    <w:jc w:val="both"/>
                  </w:pPr>
                  <w:r>
                    <w:rPr>
                      <w:rFonts w:ascii="仿宋_GB2312" w:hAnsi="仿宋_GB2312" w:cs="仿宋_GB2312" w:eastAsia="仿宋_GB2312"/>
                      <w:sz w:val="21"/>
                    </w:rPr>
                    <w:t>3）数据输出形式：互联网接口服务，提供压缩后路况文件；</w:t>
                  </w:r>
                </w:p>
                <w:p>
                  <w:pPr>
                    <w:pStyle w:val="null3"/>
                    <w:jc w:val="both"/>
                  </w:pPr>
                  <w:r>
                    <w:rPr>
                      <w:rFonts w:ascii="仿宋_GB2312" w:hAnsi="仿宋_GB2312" w:cs="仿宋_GB2312" w:eastAsia="仿宋_GB2312"/>
                      <w:sz w:val="21"/>
                    </w:rPr>
                    <w:t>4）路况拥堵程度以数值表示，能够区分畅通、缓行、拥堵、严重拥堵等交通状态。</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全省拥堵预警服务</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提供辖区的实时拥堵预警列表，支持按高疑似拥堵、异常拥堵、常规拥堵分类提取列表信息</w:t>
                  </w:r>
                  <w:r>
                    <w:rPr>
                      <w:rFonts w:ascii="仿宋_GB2312" w:hAnsi="仿宋_GB2312" w:cs="仿宋_GB2312" w:eastAsia="仿宋_GB2312"/>
                      <w:sz w:val="21"/>
                    </w:rPr>
                    <w:t>,数据包括拥堵信息类型、获取指定时长的拥堵信息、获取指定道路等级等信息，反馈预警的批次时间、拥堵排队方向起点、拥堵概率、拥堵信息id、拥堵距离、拥堵持续时间、道路名称、拥堵报出时间、拥堵发生的起点位置、拥堵发生结束终点位置、拥堵长度、道路id、道路类型、路形坐标串、linkid等预警信息。</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全省道路拥堵指数服务</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路况数据计算的交通拥堵指数，提供路网现状、危险驾驶、路口、路段、区域不同维度拥堵排名，提供自定义关注路口、路段、区域指标，交通指数：指根据路况数据计算的交通拥堵指数，支持主要道路、核心区、行政区，更新频率</w:t>
                  </w:r>
                  <w:r>
                    <w:rPr>
                      <w:rFonts w:ascii="仿宋_GB2312" w:hAnsi="仿宋_GB2312" w:cs="仿宋_GB2312" w:eastAsia="仿宋_GB2312"/>
                      <w:sz w:val="21"/>
                    </w:rPr>
                    <w:t>&lt;=10分钟；</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全省高速里程桩服务</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速公路对位置的描述通常基于里程桩信息，即某高速某方向的里程桩号。互联网支持一次性获取陕西省范围内的全部里程桩数据，数据区分上、下行，输出里程桩具体经纬度，实现与互联网地图路网经确打点匹配，方便地图可视化、本地计算等应用。</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信息发布</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交通事件报送系统与导航平台对接，实现系统中上报的交通事故、车辆故障、交通管制、交通拥堵、道路施工、收费站封闭、服务区关闭等各类交通事件实时同步至导航平台，监测人员针对同一交通事件无需在导航平台上重复发布，仅在交通事件报送系统中上报即可实时同步至导航平台，信息发布便捷高效。同时定制化相应的导航语音提示，在发生重大交通事件时，发布导航语音提醒司乘用户减速慢行或提前绕行，例如：</w:t>
                  </w:r>
                  <w:r>
                    <w:rPr>
                      <w:rFonts w:ascii="仿宋_GB2312" w:hAnsi="仿宋_GB2312" w:cs="仿宋_GB2312" w:eastAsia="仿宋_GB2312"/>
                      <w:sz w:val="21"/>
                    </w:rPr>
                    <w:t>“XX提醒您，前方应急车道可临时通行，请按照可变指示牌形式”通过文字道路信息和导航语音提醒等多种方式，为行驶中的司乘保驾护航。</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地图支撑保障服务</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图引擎服务已深度赋能公安、交管业务体系，为总队各业务系统及地市支队、省厅经文保总队、刑侦总队等部门提供高精度地理信息支撑。因各单位调用地图数据需求不一，系统架构与接口标准不一，需在数据交付后与需要调用地图的单位开展对接调试、联调测试及适配优化，确保稳定调用与性能达标。该过程涵盖需求沟通、对接测试、运维保障，以保障各单位业务系统可用性与持续性。</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每年</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1.配备专职数据技术人员，全程覆盖2027年01月01日至2027年12月31日服务周期，负责货车定位数据、地图数据对接运维。 2.建立快速响应机制，及时处置数据中断、接入异常、地图加载故障等问题，保障数据传输与地图平台稳定运行。 3.工作人员熟悉数据接口、地图引擎相关业务，可随时对我方使用疑问、操作难题进行专业答疑指导。</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1.本招标文件所载之资料属采购人，兹交付供应商作为本项目投标响应所用。未经采购人书面同意，任何公司或人士均不得将本招标文件复制或向第三方传播。 2.本项目在实施过程中接触到的采购人所有资料，未经采购人书面许可，不得留存，私自查阅及向第三方泄露。 3.采购人在中华人民共和国境内使用中标供应商提供的产品和服务时免受第三方提出的侵犯其专利权或其它知识产权的起诉。如果第三方提出侵权指控，中标供应商应承担由此而引起的一切法律责任和费用。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本项目服务期限为1年，服务周期自2027年01月01日起至2027年12月31日止。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1.采购人委将依据签署的合同，并按照招标文件验收要求及中标供应商提供的投标文件对其提供的服务进行验收。 2.验收依据 (1)招标文件、投标文件、澄清表(如有)； (2)本项目采购合同及附件文本; (3)合同签订时国家及行业现行的标准和技术规范。 3.中标人向采购人提交项目实施过程中的所有资料，以便采购人日后管理和维护。 4.采购及人相关人员组成验收小组完成验收。双方根据最终验收情况，编写验收报告。中标人应完成项目验收资料的准备。 本项目的实施过程中将产生大量的技术及管理文档，中标人应协助采购人，负责建立、维护、交接项目实施过程中产生的各类文档，确保项目文档的内容体现本项目的实施过程，并确保项目文档的完整性和准确性。 投标人按照要求提交全部项目文档。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进度款，提交成果物并验收合格后，经甲方确认同意，达到付款条件起10个工作日内，支付合同总金额的60.0%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合同规定的时间提交工作成果和提供服务，或提供的技术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 （2）如提交保函，建议至少提前一个工作日将保函正本送至采购代理机构，如提供电子保函，应将电子保函发送至代理机构指定邮箱deqinjsl@126.com。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提供企业营业执照/事业单位法人证书/专业服务机构执业许可证/民办非企业单位登记证书。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书，同时需提供被授权人开标前3个月内任意1个月的社保缴纳证明（依法不需要缴纳社保的被授权人应提供相关证明，入职未满1个月提供劳动合同）。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w:t>
            </w:r>
          </w:p>
        </w:tc>
        <w:tc>
          <w:tcPr>
            <w:tcW w:type="dxa" w:w="1661"/>
          </w:tcPr>
          <w:p>
            <w:pPr>
              <w:pStyle w:val="null3"/>
            </w:pPr>
            <w:r>
              <w:rPr>
                <w:rFonts w:ascii="仿宋_GB2312" w:hAnsi="仿宋_GB2312" w:cs="仿宋_GB2312" w:eastAsia="仿宋_GB2312"/>
              </w:rPr>
              <w:t>分项报价表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需求分析与理解</w:t>
            </w:r>
          </w:p>
        </w:tc>
        <w:tc>
          <w:tcPr>
            <w:tcW w:type="dxa" w:w="2492"/>
          </w:tcPr>
          <w:p>
            <w:pPr>
              <w:pStyle w:val="null3"/>
            </w:pPr>
            <w:r>
              <w:rPr>
                <w:rFonts w:ascii="仿宋_GB2312" w:hAnsi="仿宋_GB2312" w:cs="仿宋_GB2312" w:eastAsia="仿宋_GB2312"/>
              </w:rPr>
              <w:t>供应商针对本项目提供需求分析与理解，内容包括①业务需求分析与理解②系统建设需求分析与理解。方案各部分内容全面详细、阐述条理清晰详尽、符合本项目采购需求的得8分，以上分项每缺少一项内容扣4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制定建设方案，内容包括但不限于：①总体架构设计方案②数据架构设计方案③技术架构设计方案④网络架构设计方案⑤部署架构设计方案⑥项目设计方案⑦项目实施方案⑧项目测试方案⑨项目管理方案⑩项目验收方案。方案各部分内容全面详细、阐述条理清晰详尽、符合本项目采购需求的得15分，以上分项每缺少一项内容扣1.5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制定售后服务方案，方案内容包括①本地化售后服务方案，提供本地化售后服务团队至少2名驻场人员、售后服务体系、售后服务目标、售后服务内容、售后服务方式；②应急预案，提供响应时间、现场服务、远程服务、定期巡查、应急方案、服务监督管理机制；③运维方案，提供运维目标、运维内容、运维方式及应急方案等。方案各部分内容全面详细、阐述条理清晰详尽、符合本项目采购需求的得9分，以上分项每缺少一项内容扣3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制定质量与服务保证方案，方案内容包括：①质量保障措施②数据安全承诺、服务目标、质保期限、违约情况的承诺等。方案各部分内容全面详细、阐述条理清晰详尽、符合本项目采购需求的得6分，以上分项每缺少一项内容扣3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数据服务指标</w:t>
            </w:r>
          </w:p>
        </w:tc>
        <w:tc>
          <w:tcPr>
            <w:tcW w:type="dxa" w:w="2492"/>
          </w:tcPr>
          <w:p>
            <w:pPr>
              <w:pStyle w:val="null3"/>
            </w:pPr>
            <w:r>
              <w:rPr>
                <w:rFonts w:ascii="仿宋_GB2312" w:hAnsi="仿宋_GB2312" w:cs="仿宋_GB2312" w:eastAsia="仿宋_GB2312"/>
              </w:rPr>
              <w:t>1、具备1年期12吨以上入陕重型货车动静态数据、在陕疲劳预警及省外轨迹数据；接入车辆≥22万辆、日轨迹数据≥1.95亿条；完全满足得1分。 2、具备全国货运语音下发通道，支持持续违法车辆超速、疲劳驾驶语音提醒及多场景电子围栏语音预警；年语音下发量≥350万条；完全满足得1分。 3、提供陕西全域1:2000比例尺、GCJ-02坐标系矢量地图数据，覆盖路网、区划、POI、建筑、水系等全量地理要素；完全满足得1分。 4、提供全省互联网实时路况服务，依托浮动车数据运算，更新频率≤2分钟；支持接口+压缩文件输出，可精准区分畅通、缓行、拥堵、严重拥堵四类路况状态；完全满足得1分。 5、拥堵预警及交通指数服务，支持多类型拥堵分类预警，输出全套拥堵字段信息；支持多维度交通拥堵指数统计，拥堵指数更新频率≤10分钟；完全满足得1分。 6、多部门地图适配保障服务，可为公安、交管多业务系统提供对接接口，具备地图对接常态化运维保障能力，保障多部门业务系统稳定调用地图数据；完全满足得1分。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1、评审内容：①供应商拟派驻场的项目经理具有信息系统管理工程师得2分，没有提供不得分； ②、供应商拟派驻场的技术总监具有软件设计师（原高级程序员）证书得2分，没有提供不得分； ③.供应商在现有2名驻场人员基础上，额外增派驻场人员的，且拟派的驻场人员（不含项目经理、技术总监）具有软件设计师（原高级程序员）或信息系统管理工程师等相关资格的，每提供1个得4分，最高得8分。 注：以上人员需提供身份证复印件、相关证书复印件及在本单位任职的相关证明资料复印件（如劳动合同或社保等），加盖公章，以上人员不重复计分。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1、提供基于地理信息可视化应用相关的专利或软件著作权证书得2分； 2、提供基于数据服务管理应用相关的专利或软件著作权证书得2分。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投标人具有近三年（2023年1月1日至今）的类似业绩（以合同签订时间为准）每提供1个计2分，最多10分；未提供不得分。业绩证明（以合同为准，投标人在投标文件中附合同扫描件或复印件加盖单位公章）。 注：合同须包括合同内容，日期，签字盖章等关键页。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