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11470">
      <w:pPr>
        <w:pStyle w:val="4"/>
        <w:jc w:val="center"/>
        <w:outlineLvl w:val="0"/>
        <w:rPr>
          <w:rFonts w:hint="default" w:ascii="黑体" w:hAnsi="黑体" w:eastAsia="黑体" w:cs="黑体"/>
          <w:b/>
          <w:sz w:val="36"/>
          <w:highlight w:val="none"/>
          <w:lang w:eastAsia="zh-CN"/>
        </w:rPr>
      </w:pPr>
      <w:r>
        <w:rPr>
          <w:rFonts w:hint="eastAsia" w:ascii="黑体" w:hAnsi="黑体" w:eastAsia="黑体" w:cs="黑体"/>
          <w:b/>
          <w:sz w:val="36"/>
          <w:highlight w:val="none"/>
          <w:lang w:val="en-US" w:eastAsia="zh-CN"/>
        </w:rPr>
        <w:t>参考</w:t>
      </w:r>
      <w:r>
        <w:rPr>
          <w:rFonts w:ascii="黑体" w:hAnsi="黑体" w:eastAsia="黑体" w:cs="黑体"/>
          <w:b/>
          <w:sz w:val="36"/>
          <w:highlight w:val="none"/>
          <w:lang w:eastAsia="zh-CN"/>
        </w:rPr>
        <w:t>采购合同文本</w:t>
      </w:r>
    </w:p>
    <w:p w14:paraId="1C39ED46">
      <w:pPr>
        <w:jc w:val="center"/>
        <w:rPr>
          <w:rFonts w:ascii="宋体" w:hAnsi="宋体" w:cs="宋体"/>
          <w:spacing w:val="12"/>
          <w:highlight w:val="none"/>
        </w:rPr>
      </w:pPr>
    </w:p>
    <w:p w14:paraId="75504F13">
      <w:pPr>
        <w:jc w:val="center"/>
        <w:rPr>
          <w:rFonts w:ascii="宋体" w:hAnsi="宋体" w:cs="宋体"/>
          <w:spacing w:val="12"/>
          <w:highlight w:val="none"/>
        </w:rPr>
      </w:pPr>
      <w:r>
        <w:rPr>
          <w:rFonts w:hint="eastAsia" w:ascii="宋体" w:hAnsi="宋体" w:cs="宋体"/>
          <w:spacing w:val="12"/>
          <w:highlight w:val="none"/>
        </w:rPr>
        <w:t>注：本合同仅为合同的参考文本，合同签订双方可根据项目的具体要求进行修订。</w:t>
      </w:r>
    </w:p>
    <w:p w14:paraId="24F67208">
      <w:pPr>
        <w:rPr>
          <w:rFonts w:ascii="宋体" w:hAnsi="宋体" w:cs="宋体"/>
          <w:spacing w:val="12"/>
          <w:highlight w:val="none"/>
        </w:rPr>
      </w:pPr>
    </w:p>
    <w:p w14:paraId="1D816690">
      <w:pPr>
        <w:rPr>
          <w:rFonts w:ascii="宋体" w:hAnsi="宋体" w:cs="宋体"/>
          <w:spacing w:val="12"/>
          <w:sz w:val="44"/>
          <w:szCs w:val="44"/>
          <w:highlight w:val="none"/>
        </w:rPr>
      </w:pPr>
    </w:p>
    <w:p w14:paraId="33A21C3F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年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</w:rPr>
        <w:t>，</w:t>
      </w:r>
      <w:r>
        <w:rPr>
          <w:rFonts w:hint="eastAsia" w:ascii="宋体" w:hAnsi="宋体"/>
          <w:szCs w:val="21"/>
          <w:highlight w:val="none"/>
          <w:u w:val="single"/>
        </w:rPr>
        <w:t>（采购人）</w:t>
      </w:r>
      <w:r>
        <w:rPr>
          <w:rFonts w:hint="eastAsia" w:ascii="宋体" w:hAnsi="宋体"/>
          <w:szCs w:val="21"/>
          <w:highlight w:val="none"/>
        </w:rPr>
        <w:t>（以下简称“甲方”）以</w:t>
      </w:r>
      <w:r>
        <w:rPr>
          <w:rFonts w:hint="eastAsia" w:ascii="宋体" w:hAnsi="宋体"/>
          <w:szCs w:val="21"/>
          <w:highlight w:val="none"/>
          <w:u w:val="single"/>
        </w:rPr>
        <w:t>公开招标</w:t>
      </w:r>
      <w:r>
        <w:rPr>
          <w:rFonts w:hint="eastAsia" w:ascii="宋体" w:hAnsi="宋体"/>
          <w:szCs w:val="21"/>
          <w:highlight w:val="none"/>
        </w:rPr>
        <w:t>的方式对</w:t>
      </w:r>
      <w:r>
        <w:rPr>
          <w:rFonts w:hint="eastAsia" w:ascii="宋体" w:hAnsi="宋体"/>
          <w:szCs w:val="21"/>
          <w:highlight w:val="none"/>
          <w:u w:val="single"/>
        </w:rPr>
        <w:t>“（项目名称）”</w:t>
      </w:r>
      <w:r>
        <w:rPr>
          <w:rFonts w:hint="eastAsia" w:ascii="宋体" w:hAnsi="宋体"/>
          <w:szCs w:val="21"/>
          <w:highlight w:val="none"/>
        </w:rPr>
        <w:t>（项目编号：（项目编号））进行了采购。经</w:t>
      </w:r>
      <w:r>
        <w:rPr>
          <w:rFonts w:hint="eastAsia" w:ascii="宋体" w:hAnsi="宋体"/>
          <w:szCs w:val="21"/>
          <w:highlight w:val="none"/>
          <w:u w:val="single"/>
        </w:rPr>
        <w:t>评标委员会</w:t>
      </w:r>
      <w:r>
        <w:rPr>
          <w:rFonts w:hint="eastAsia" w:ascii="宋体" w:hAnsi="宋体"/>
          <w:szCs w:val="21"/>
          <w:highlight w:val="none"/>
        </w:rPr>
        <w:t>评定，</w:t>
      </w:r>
      <w:r>
        <w:rPr>
          <w:rFonts w:hint="eastAsia" w:ascii="宋体" w:hAnsi="宋体"/>
          <w:szCs w:val="21"/>
          <w:highlight w:val="none"/>
          <w:u w:val="single"/>
        </w:rPr>
        <w:t xml:space="preserve">  （中标供应商名称） </w:t>
      </w:r>
      <w:r>
        <w:rPr>
          <w:rFonts w:hint="eastAsia" w:ascii="宋体" w:hAnsi="宋体"/>
          <w:szCs w:val="21"/>
          <w:highlight w:val="none"/>
        </w:rPr>
        <w:t>（以下简称“乙方”）为该项目中标供应商。现于成交通知书发出之日起二十五日内，按照招标文件确定的事项签订本合同。</w:t>
      </w:r>
    </w:p>
    <w:p w14:paraId="09FDB7CB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zh-CN"/>
        </w:rPr>
        <w:t>根据《中华人民共和国</w:t>
      </w:r>
      <w:r>
        <w:rPr>
          <w:rFonts w:hint="eastAsia" w:ascii="宋体" w:hAnsi="宋体"/>
          <w:szCs w:val="21"/>
          <w:highlight w:val="none"/>
        </w:rPr>
        <w:t>民法典</w:t>
      </w:r>
      <w:r>
        <w:rPr>
          <w:rFonts w:hint="eastAsia" w:ascii="宋体" w:hAnsi="宋体"/>
          <w:szCs w:val="21"/>
          <w:highlight w:val="none"/>
          <w:lang w:val="zh-CN"/>
        </w:rPr>
        <w:t>》、《中华人民共和国政府采购法》等相关法律法规之规定，按照平等、自愿、公平和诚实信用</w:t>
      </w:r>
      <w:bookmarkStart w:id="16" w:name="_GoBack"/>
      <w:bookmarkEnd w:id="16"/>
      <w:r>
        <w:rPr>
          <w:rFonts w:hint="eastAsia" w:ascii="宋体" w:hAnsi="宋体"/>
          <w:szCs w:val="21"/>
          <w:highlight w:val="none"/>
          <w:lang w:val="zh-CN"/>
        </w:rPr>
        <w:t>的原则，经甲方和乙方协商一致，约定以下合同</w:t>
      </w:r>
      <w:r>
        <w:rPr>
          <w:rFonts w:hint="eastAsia" w:ascii="宋体" w:hAnsi="宋体"/>
          <w:szCs w:val="21"/>
          <w:highlight w:val="none"/>
        </w:rPr>
        <w:t>条款，以兹共同遵守、全面履行。</w:t>
      </w:r>
    </w:p>
    <w:p w14:paraId="6D297011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一、合同内容</w:t>
      </w:r>
    </w:p>
    <w:p w14:paraId="3E7EEDA9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0FE7C4ED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二、合同价格</w:t>
      </w:r>
    </w:p>
    <w:p w14:paraId="689E37C0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合同总价：</w:t>
      </w:r>
      <w:r>
        <w:rPr>
          <w:rFonts w:hint="eastAsia" w:ascii="宋体" w:hAnsi="宋体"/>
          <w:szCs w:val="21"/>
          <w:highlight w:val="none"/>
          <w:u w:val="single"/>
        </w:rPr>
        <w:t xml:space="preserve">人民币       元整（¥         元） </w:t>
      </w:r>
    </w:p>
    <w:p w14:paraId="05DAF213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说明：</w:t>
      </w:r>
    </w:p>
    <w:p w14:paraId="498A51B9">
      <w:pPr>
        <w:numPr>
          <w:ilvl w:val="0"/>
          <w:numId w:val="1"/>
        </w:numPr>
        <w:spacing w:line="360" w:lineRule="auto"/>
        <w:ind w:firstLine="371" w:firstLineChars="177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合同总价包含完成本项目服务内容的所有费用。</w:t>
      </w:r>
    </w:p>
    <w:p w14:paraId="752801CA">
      <w:pPr>
        <w:numPr>
          <w:ilvl w:val="0"/>
          <w:numId w:val="1"/>
        </w:numPr>
        <w:spacing w:line="360" w:lineRule="auto"/>
        <w:ind w:firstLine="371" w:firstLineChars="177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合同总价一次包死，不受市场价格变化的影响，并作为结算的唯一依据。</w:t>
      </w:r>
    </w:p>
    <w:p w14:paraId="290E6604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三、合同款项支付</w:t>
      </w:r>
    </w:p>
    <w:p w14:paraId="5584D9A5">
      <w:pPr>
        <w:numPr>
          <w:ilvl w:val="255"/>
          <w:numId w:val="0"/>
        </w:numPr>
        <w:spacing w:line="56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（一）结算单位：</w:t>
      </w:r>
      <w:r>
        <w:rPr>
          <w:rFonts w:hint="eastAsia" w:ascii="宋体" w:hAnsi="宋体"/>
          <w:szCs w:val="21"/>
          <w:highlight w:val="none"/>
          <w:lang w:val="hr-HR"/>
        </w:rPr>
        <w:t>。</w:t>
      </w:r>
    </w:p>
    <w:p w14:paraId="6974AF93">
      <w:pPr>
        <w:spacing w:line="560" w:lineRule="exact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（二）付款方式：。</w:t>
      </w:r>
    </w:p>
    <w:p w14:paraId="2A3718F4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四、项目实施条件</w:t>
      </w:r>
    </w:p>
    <w:p w14:paraId="05CFCC86">
      <w:pPr>
        <w:spacing w:line="56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</w:t>
      </w:r>
      <w:r>
        <w:rPr>
          <w:rFonts w:hint="eastAsia" w:ascii="宋体" w:hAnsi="宋体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/>
          <w:szCs w:val="21"/>
          <w:highlight w:val="none"/>
        </w:rPr>
        <w:t>地点：。</w:t>
      </w:r>
    </w:p>
    <w:p w14:paraId="0D71E2A4">
      <w:pPr>
        <w:spacing w:line="56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（二）交付方式：。</w:t>
      </w:r>
    </w:p>
    <w:p w14:paraId="5596DB22">
      <w:pPr>
        <w:spacing w:line="56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（三）服务期限：。</w:t>
      </w:r>
    </w:p>
    <w:p w14:paraId="683981ED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五、质量保证</w:t>
      </w:r>
    </w:p>
    <w:p w14:paraId="06F145A7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（一）乙方应当保证服务内容质量完全符合合同规定的要求，并对服务内容质量问题负责。</w:t>
      </w:r>
    </w:p>
    <w:p w14:paraId="7AD9CD0F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1B22C1D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六、技术服务</w:t>
      </w:r>
    </w:p>
    <w:p w14:paraId="0F3B8CC4">
      <w:pPr>
        <w:spacing w:line="500" w:lineRule="exact"/>
        <w:ind w:firstLine="422" w:firstLineChars="200"/>
        <w:jc w:val="left"/>
        <w:rPr>
          <w:rFonts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（一）技术资料：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</w:t>
      </w:r>
      <w:r>
        <w:rPr>
          <w:rFonts w:ascii="宋体" w:hAnsi="宋体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</w:p>
    <w:p w14:paraId="35B2A1A8">
      <w:pPr>
        <w:spacing w:line="500" w:lineRule="exact"/>
        <w:ind w:firstLine="422" w:firstLineChars="200"/>
        <w:jc w:val="left"/>
        <w:rPr>
          <w:rFonts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（二）服务承诺：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</w:t>
      </w:r>
      <w:r>
        <w:rPr>
          <w:rFonts w:ascii="宋体" w:hAnsi="宋体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</w:p>
    <w:p w14:paraId="63135A64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七、违约责任</w:t>
      </w:r>
    </w:p>
    <w:p w14:paraId="5D5CEBE8">
      <w:pPr>
        <w:spacing w:line="500" w:lineRule="exact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（一）按《中华人民共和国民法典》中的相关条款执行。</w:t>
      </w:r>
    </w:p>
    <w:p w14:paraId="2511827F">
      <w:pPr>
        <w:spacing w:line="50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（二）未按合同要求的提供服务不能满足采购要求，甲方有权终止合同，甚至对供方违约行为进行追究。</w:t>
      </w:r>
    </w:p>
    <w:p w14:paraId="03BD55B4">
      <w:pPr>
        <w:spacing w:line="50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（三）如有纠纷，双方友好协商解决，协商不成时可诉讼到甲方所在地人民法院解决。</w:t>
      </w:r>
    </w:p>
    <w:p w14:paraId="49B72CBA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八、验收</w:t>
      </w:r>
    </w:p>
    <w:p w14:paraId="428EC4B0">
      <w:pPr>
        <w:spacing w:line="500" w:lineRule="exact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由甲方负责组织验收或者邀请有关专家、质检机构、采购代理机构共同进行验收,验收费用由乙方支付；验收合格须交接项目实施的全部资料，并填写采购项目验收报告单。验收须以合同、招标文件及响应文件、澄清、及国家相应的标准、规范等为依据。</w:t>
      </w:r>
    </w:p>
    <w:p w14:paraId="44454C4A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九、其他事项</w:t>
      </w:r>
    </w:p>
    <w:p w14:paraId="3B31ED0F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（一）陕西省财政厅政府采购管理处在合同的履</w:t>
      </w:r>
      <w:r>
        <w:rPr>
          <w:rFonts w:hint="eastAsia" w:ascii="宋体" w:hAnsi="宋体"/>
          <w:szCs w:val="21"/>
          <w:highlight w:val="none"/>
        </w:rPr>
        <w:t>行期间以及履行期后，可以随时检查项目的执行情况，对采购标准、采购内容进行调查核实，并对发现的问题进行处理。</w:t>
      </w:r>
    </w:p>
    <w:p w14:paraId="58780E6C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（二）本合同一式</w:t>
      </w:r>
      <w:r>
        <w:rPr>
          <w:rFonts w:hint="eastAsia" w:ascii="宋体" w:hAnsi="宋体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份，甲方</w:t>
      </w:r>
      <w:r>
        <w:rPr>
          <w:rFonts w:hint="eastAsia" w:ascii="宋体" w:hAnsi="宋体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份，乙方</w:t>
      </w:r>
      <w:r>
        <w:rPr>
          <w:rFonts w:hint="eastAsia" w:ascii="宋体" w:hAnsi="宋体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份，采购代理机构</w:t>
      </w:r>
      <w:r>
        <w:rPr>
          <w:rFonts w:hint="eastAsia" w:ascii="宋体" w:hAnsi="宋体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份，甲乙双方签字盖章后生效。</w:t>
      </w:r>
    </w:p>
    <w:p w14:paraId="322EC0C2">
      <w:pPr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（三）</w:t>
      </w:r>
      <w:r>
        <w:rPr>
          <w:rFonts w:hint="eastAsia" w:ascii="宋体" w:hAnsi="宋体"/>
          <w:bCs/>
          <w:szCs w:val="21"/>
          <w:highlight w:val="none"/>
        </w:rPr>
        <w:t>招标文件、投标文件也是合同的组成部分，合同中未约定的以招标文件、投标文件为准。</w:t>
      </w:r>
    </w:p>
    <w:p w14:paraId="20491A6F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bookmarkStart w:id="0" w:name="_Toc14537"/>
      <w:bookmarkStart w:id="1" w:name="_Toc18683"/>
      <w:bookmarkStart w:id="2" w:name="_Toc9497"/>
      <w:bookmarkStart w:id="3" w:name="_Toc29170"/>
      <w:bookmarkStart w:id="4" w:name="_Toc30329"/>
      <w:bookmarkStart w:id="5" w:name="_Toc32454"/>
      <w:bookmarkStart w:id="6" w:name="_Toc26807"/>
      <w:bookmarkStart w:id="7" w:name="_Toc14686"/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十、合同争议的解决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C98E4D4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本合同履行过程中发生的任何争议，双方当事人均可通过和解或者调解解决；不愿和解、调解或者和解、调解不成的，可以选择下列方式解决：</w:t>
      </w:r>
    </w:p>
    <w:p w14:paraId="3D0252B3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（一）将争议提交</w:t>
      </w:r>
      <w:r>
        <w:rPr>
          <w:rFonts w:hint="eastAsia" w:ascii="宋体" w:hAnsi="宋体"/>
          <w:szCs w:val="21"/>
          <w:highlight w:val="none"/>
          <w:u w:val="single"/>
        </w:rPr>
        <w:t xml:space="preserve">   甲方所在地   </w:t>
      </w:r>
      <w:r>
        <w:rPr>
          <w:rFonts w:hint="eastAsia" w:ascii="宋体" w:hAnsi="宋体"/>
          <w:szCs w:val="21"/>
          <w:highlight w:val="none"/>
        </w:rPr>
        <w:t>仲裁委员会依申请仲裁时其现行有效的仲裁规则裁决；</w:t>
      </w:r>
    </w:p>
    <w:p w14:paraId="38D28FB9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（二）向</w:t>
      </w:r>
      <w:r>
        <w:rPr>
          <w:rFonts w:hint="eastAsia" w:ascii="宋体" w:hAnsi="宋体"/>
          <w:szCs w:val="21"/>
          <w:highlight w:val="none"/>
          <w:u w:val="single"/>
        </w:rPr>
        <w:t xml:space="preserve">   甲方所在地   </w:t>
      </w:r>
      <w:r>
        <w:rPr>
          <w:rFonts w:hint="eastAsia" w:ascii="宋体" w:hAnsi="宋体"/>
          <w:szCs w:val="21"/>
          <w:highlight w:val="none"/>
        </w:rPr>
        <w:t>人民法院起诉。</w:t>
      </w:r>
    </w:p>
    <w:p w14:paraId="2A7E49D9">
      <w:pPr>
        <w:pStyle w:val="4"/>
        <w:spacing w:line="400" w:lineRule="exact"/>
        <w:ind w:firstLine="480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bookmarkStart w:id="8" w:name="_Toc12273"/>
      <w:bookmarkStart w:id="9" w:name="_Toc15827"/>
      <w:bookmarkStart w:id="10" w:name="_Toc58"/>
      <w:bookmarkStart w:id="11" w:name="_Toc26227"/>
      <w:bookmarkStart w:id="12" w:name="_Toc17829"/>
      <w:bookmarkStart w:id="13" w:name="_Toc16417"/>
      <w:bookmarkStart w:id="14" w:name="_Toc15436"/>
      <w:bookmarkStart w:id="15" w:name="_Toc23784"/>
      <w:r>
        <w:rPr>
          <w:rFonts w:ascii="宋体" w:hAnsi="宋体" w:eastAsia="宋体" w:cs="宋体"/>
          <w:b/>
          <w:bCs/>
          <w:sz w:val="21"/>
          <w:szCs w:val="21"/>
          <w:highlight w:val="none"/>
          <w:lang w:eastAsia="zh-CN"/>
        </w:rPr>
        <w:t>十一、合同生效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1A36BF">
      <w:pPr>
        <w:spacing w:line="360" w:lineRule="auto"/>
        <w:ind w:firstLine="420" w:firstLineChars="200"/>
        <w:rPr>
          <w:rFonts w:ascii="宋体" w:hAnsi="宋体"/>
          <w:b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本合同自双方当事人盖章或者签字时生效。</w:t>
      </w:r>
    </w:p>
    <w:p w14:paraId="2E71C10F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</w:p>
    <w:p w14:paraId="1812116E">
      <w:pPr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  <w:lang w:val="zh-CN"/>
        </w:rPr>
      </w:pPr>
      <w:r>
        <w:rPr>
          <w:rFonts w:hint="eastAsia" w:ascii="宋体" w:hAnsi="宋体"/>
          <w:b/>
          <w:bCs/>
          <w:szCs w:val="21"/>
          <w:highlight w:val="none"/>
          <w:lang w:val="zh-CN"/>
        </w:rPr>
        <w:t>甲方：                                   乙方：</w:t>
      </w:r>
    </w:p>
    <w:p w14:paraId="76B19B7F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统一社会信用代码：                       统一社会信用代码或身份证号码：</w:t>
      </w:r>
    </w:p>
    <w:p w14:paraId="0C7D456B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住所：                                   住所：</w:t>
      </w:r>
    </w:p>
    <w:p w14:paraId="5D4F394D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法定代表人或                             法定代表人</w:t>
      </w:r>
    </w:p>
    <w:p w14:paraId="1A4229B5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授权代表（签字）：                       或授权代表（签字）:</w:t>
      </w:r>
    </w:p>
    <w:p w14:paraId="1D00B9C0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联系人：                                 联系人：</w:t>
      </w:r>
    </w:p>
    <w:p w14:paraId="049AB639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约定送达地址：                           约定送达地址：</w:t>
      </w:r>
    </w:p>
    <w:p w14:paraId="5E9EB482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邮政编码：                               邮政编码：</w:t>
      </w:r>
    </w:p>
    <w:p w14:paraId="1BA59BDB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电话:                                    电话:</w:t>
      </w:r>
    </w:p>
    <w:p w14:paraId="35EA8165">
      <w:pPr>
        <w:spacing w:line="360" w:lineRule="auto"/>
        <w:ind w:firstLine="420" w:firstLineChars="200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传真:                                    传真:</w:t>
      </w:r>
    </w:p>
    <w:p w14:paraId="5803DB67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zh-CN"/>
        </w:rPr>
        <w:t>电子邮箱：                               电子邮箱：</w:t>
      </w:r>
    </w:p>
    <w:p w14:paraId="1EC71475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开户银行：                               开户银行：</w:t>
      </w:r>
    </w:p>
    <w:p w14:paraId="4E0E8AD4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开户名称：                               开户名称：</w:t>
      </w:r>
    </w:p>
    <w:p w14:paraId="246143B6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开户账号：</w:t>
      </w:r>
      <w:r>
        <w:rPr>
          <w:rFonts w:hint="eastAsia" w:ascii="宋体" w:hAnsi="宋体"/>
          <w:szCs w:val="21"/>
          <w:highlight w:val="none"/>
          <w:lang w:val="zh-CN"/>
        </w:rPr>
        <w:t xml:space="preserve">                               </w:t>
      </w:r>
      <w:r>
        <w:rPr>
          <w:rFonts w:hint="eastAsia" w:ascii="宋体" w:hAnsi="宋体"/>
          <w:szCs w:val="21"/>
          <w:highlight w:val="none"/>
        </w:rPr>
        <w:t>开户账号：</w:t>
      </w:r>
    </w:p>
    <w:p w14:paraId="7D013E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2D2F73"/>
    <w:multiLevelType w:val="singleLevel"/>
    <w:tmpl w:val="612D2F7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D3E0C"/>
    <w:rsid w:val="22CD3E0C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2026-08-12T08:35:00Z</dcterms:created>
  <dc:creator>饣耳</dc:creator>
  <cp:lastModifiedBy>饣耳</cp:lastModifiedBy>
  <dcterms:modified xsi:type="dcterms:W3CDTF">2026-08-12T08:35:41Z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531D286D247044C2BD2F4AD172D34CB4_11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