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92656F">
      <w:pPr>
        <w:widowControl/>
        <w:spacing w:line="480" w:lineRule="exact"/>
        <w:jc w:val="right"/>
        <w:rPr>
          <w:rFonts w:hint="eastAsia" w:ascii="仿宋" w:hAnsi="仿宋" w:eastAsia="仿宋" w:cs="仿宋"/>
          <w:b/>
          <w:bCs/>
          <w:color w:val="auto"/>
          <w:kern w:val="0"/>
          <w:sz w:val="32"/>
          <w:szCs w:val="32"/>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b/>
          <w:bCs/>
          <w:color w:val="auto"/>
          <w:kern w:val="0"/>
          <w:sz w:val="32"/>
          <w:szCs w:val="32"/>
          <w:highlight w:val="none"/>
        </w:rPr>
        <w:t>项目编号：PZZX-26-B072</w:t>
      </w:r>
    </w:p>
    <w:p w14:paraId="422CBAF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0"/>
        <w:jc w:val="center"/>
        <w:textAlignment w:val="auto"/>
        <w:rPr>
          <w:rFonts w:hint="eastAsia" w:ascii="仿宋" w:hAnsi="仿宋" w:eastAsia="仿宋" w:cs="仿宋"/>
          <w:color w:val="auto"/>
          <w:sz w:val="24"/>
          <w:szCs w:val="24"/>
          <w:highlight w:val="none"/>
          <w:lang w:val="zh-CN"/>
        </w:rPr>
      </w:pPr>
    </w:p>
    <w:p w14:paraId="0824C621">
      <w:pPr>
        <w:jc w:val="center"/>
        <w:rPr>
          <w:rFonts w:hint="eastAsia" w:ascii="仿宋" w:hAnsi="仿宋" w:eastAsia="仿宋" w:cs="仿宋"/>
          <w:b/>
          <w:bCs/>
          <w:i w:val="0"/>
          <w:iCs w:val="0"/>
          <w:caps w:val="0"/>
          <w:color w:val="auto"/>
          <w:spacing w:val="0"/>
          <w:kern w:val="0"/>
          <w:sz w:val="44"/>
          <w:szCs w:val="44"/>
          <w:highlight w:val="none"/>
          <w:shd w:val="clear" w:fill="FFFFFF"/>
          <w:lang w:val="en-US" w:eastAsia="zh-CN" w:bidi="ar"/>
        </w:rPr>
      </w:pPr>
      <w:r>
        <w:rPr>
          <w:rFonts w:hint="eastAsia" w:ascii="仿宋" w:hAnsi="仿宋" w:eastAsia="仿宋" w:cs="仿宋"/>
          <w:b/>
          <w:bCs/>
          <w:i w:val="0"/>
          <w:iCs w:val="0"/>
          <w:caps w:val="0"/>
          <w:color w:val="auto"/>
          <w:spacing w:val="0"/>
          <w:kern w:val="0"/>
          <w:sz w:val="44"/>
          <w:szCs w:val="44"/>
          <w:highlight w:val="none"/>
          <w:shd w:val="clear" w:fill="FFFFFF"/>
          <w:lang w:val="en-US" w:eastAsia="zh-CN" w:bidi="ar"/>
        </w:rPr>
        <w:t>延安市行政审批服务局</w:t>
      </w:r>
    </w:p>
    <w:p w14:paraId="5017D6E3">
      <w:pPr>
        <w:jc w:val="center"/>
        <w:rPr>
          <w:rFonts w:hint="eastAsia" w:ascii="仿宋" w:hAnsi="仿宋" w:eastAsia="仿宋" w:cs="仿宋"/>
          <w:b/>
          <w:color w:val="auto"/>
          <w:kern w:val="0"/>
          <w:sz w:val="44"/>
          <w:szCs w:val="44"/>
          <w:highlight w:val="none"/>
          <w:lang w:val="en-US" w:eastAsia="zh-CN"/>
        </w:rPr>
      </w:pPr>
      <w:r>
        <w:rPr>
          <w:rFonts w:hint="eastAsia" w:ascii="仿宋" w:hAnsi="仿宋" w:eastAsia="仿宋" w:cs="仿宋"/>
          <w:b/>
          <w:bCs/>
          <w:i w:val="0"/>
          <w:iCs w:val="0"/>
          <w:caps w:val="0"/>
          <w:color w:val="auto"/>
          <w:spacing w:val="0"/>
          <w:kern w:val="0"/>
          <w:sz w:val="44"/>
          <w:szCs w:val="44"/>
          <w:highlight w:val="none"/>
          <w:shd w:val="clear" w:fill="FFFFFF"/>
          <w:lang w:val="en-US" w:eastAsia="zh-CN" w:bidi="ar"/>
        </w:rPr>
        <w:t>延安市政务服务城市频道建设及运营（大厅硬件设备改造项目）</w:t>
      </w:r>
    </w:p>
    <w:p w14:paraId="750ADB30">
      <w:pPr>
        <w:jc w:val="center"/>
        <w:rPr>
          <w:rFonts w:hint="eastAsia" w:ascii="仿宋" w:hAnsi="仿宋" w:eastAsia="仿宋" w:cs="仿宋"/>
          <w:b/>
          <w:color w:val="auto"/>
          <w:kern w:val="0"/>
          <w:sz w:val="56"/>
          <w:szCs w:val="56"/>
          <w:highlight w:val="none"/>
          <w:lang w:val="en-US" w:eastAsia="zh-CN"/>
        </w:rPr>
      </w:pPr>
    </w:p>
    <w:p w14:paraId="2BD97112">
      <w:pPr>
        <w:jc w:val="center"/>
        <w:rPr>
          <w:rFonts w:hint="eastAsia" w:ascii="仿宋" w:hAnsi="仿宋" w:eastAsia="仿宋" w:cs="仿宋"/>
          <w:b/>
          <w:color w:val="auto"/>
          <w:kern w:val="0"/>
          <w:sz w:val="56"/>
          <w:szCs w:val="56"/>
          <w:highlight w:val="none"/>
        </w:rPr>
      </w:pPr>
      <w:r>
        <w:rPr>
          <w:rFonts w:hint="eastAsia" w:ascii="仿宋" w:hAnsi="仿宋" w:eastAsia="仿宋" w:cs="仿宋"/>
          <w:b/>
          <w:color w:val="auto"/>
          <w:kern w:val="0"/>
          <w:sz w:val="56"/>
          <w:szCs w:val="56"/>
          <w:highlight w:val="none"/>
          <w:lang w:val="en-US" w:eastAsia="zh-CN"/>
        </w:rPr>
        <w:t xml:space="preserve">招 标 </w:t>
      </w:r>
      <w:r>
        <w:rPr>
          <w:rFonts w:hint="eastAsia" w:ascii="仿宋" w:hAnsi="仿宋" w:eastAsia="仿宋" w:cs="仿宋"/>
          <w:b/>
          <w:color w:val="auto"/>
          <w:kern w:val="0"/>
          <w:sz w:val="56"/>
          <w:szCs w:val="56"/>
          <w:highlight w:val="none"/>
        </w:rPr>
        <w:t>文</w:t>
      </w:r>
      <w:r>
        <w:rPr>
          <w:rFonts w:hint="eastAsia" w:ascii="仿宋" w:hAnsi="仿宋" w:eastAsia="仿宋" w:cs="仿宋"/>
          <w:b/>
          <w:color w:val="auto"/>
          <w:kern w:val="0"/>
          <w:sz w:val="56"/>
          <w:szCs w:val="56"/>
          <w:highlight w:val="none"/>
          <w:lang w:val="en-US" w:eastAsia="zh-CN"/>
        </w:rPr>
        <w:t xml:space="preserve"> </w:t>
      </w:r>
      <w:r>
        <w:rPr>
          <w:rFonts w:hint="eastAsia" w:ascii="仿宋" w:hAnsi="仿宋" w:eastAsia="仿宋" w:cs="仿宋"/>
          <w:b/>
          <w:color w:val="auto"/>
          <w:kern w:val="0"/>
          <w:sz w:val="56"/>
          <w:szCs w:val="56"/>
          <w:highlight w:val="none"/>
        </w:rPr>
        <w:t>件</w:t>
      </w:r>
    </w:p>
    <w:p w14:paraId="1D11F523">
      <w:pPr>
        <w:jc w:val="center"/>
        <w:rPr>
          <w:rFonts w:hint="eastAsia" w:ascii="仿宋" w:hAnsi="仿宋" w:eastAsia="仿宋" w:cs="仿宋"/>
          <w:color w:val="auto"/>
          <w:kern w:val="0"/>
          <w:sz w:val="24"/>
          <w:szCs w:val="24"/>
          <w:highlight w:val="none"/>
        </w:rPr>
      </w:pPr>
    </w:p>
    <w:p w14:paraId="5697B856">
      <w:pPr>
        <w:widowControl/>
        <w:spacing w:line="480" w:lineRule="exact"/>
        <w:jc w:val="center"/>
        <w:rPr>
          <w:rFonts w:hint="eastAsia" w:ascii="仿宋" w:hAnsi="仿宋" w:eastAsia="仿宋" w:cs="仿宋"/>
          <w:b/>
          <w:bCs/>
          <w:color w:val="auto"/>
          <w:kern w:val="0"/>
          <w:sz w:val="24"/>
          <w:szCs w:val="24"/>
          <w:highlight w:val="none"/>
          <w:lang w:val="en-US" w:eastAsia="zh-CN"/>
        </w:rPr>
      </w:pPr>
    </w:p>
    <w:p w14:paraId="0C805FF6">
      <w:pPr>
        <w:widowControl/>
        <w:spacing w:line="480" w:lineRule="exact"/>
        <w:ind w:firstLine="2409" w:firstLineChars="1000"/>
        <w:rPr>
          <w:rFonts w:hint="eastAsia" w:ascii="仿宋" w:hAnsi="仿宋" w:eastAsia="仿宋" w:cs="仿宋"/>
          <w:b/>
          <w:bCs/>
          <w:color w:val="auto"/>
          <w:sz w:val="24"/>
          <w:szCs w:val="24"/>
          <w:highlight w:val="none"/>
          <w:lang w:val="en-US" w:eastAsia="zh-CN"/>
        </w:rPr>
      </w:pPr>
    </w:p>
    <w:p w14:paraId="2BB87C22">
      <w:pPr>
        <w:spacing w:line="460" w:lineRule="exact"/>
        <w:jc w:val="center"/>
        <w:rPr>
          <w:rFonts w:hint="eastAsia" w:ascii="仿宋" w:hAnsi="仿宋" w:eastAsia="仿宋" w:cs="仿宋"/>
          <w:b/>
          <w:bCs/>
          <w:color w:val="auto"/>
          <w:sz w:val="24"/>
          <w:szCs w:val="24"/>
          <w:highlight w:val="none"/>
        </w:rPr>
      </w:pPr>
    </w:p>
    <w:p w14:paraId="45F9CB68">
      <w:pPr>
        <w:spacing w:line="460" w:lineRule="exact"/>
        <w:jc w:val="center"/>
        <w:rPr>
          <w:rFonts w:hint="eastAsia" w:ascii="仿宋" w:hAnsi="仿宋" w:eastAsia="仿宋" w:cs="仿宋"/>
          <w:b/>
          <w:bCs/>
          <w:color w:val="auto"/>
          <w:sz w:val="24"/>
          <w:szCs w:val="24"/>
          <w:highlight w:val="none"/>
        </w:rPr>
      </w:pPr>
    </w:p>
    <w:p w14:paraId="39F6BA8E">
      <w:pPr>
        <w:spacing w:line="460" w:lineRule="exact"/>
        <w:jc w:val="center"/>
        <w:rPr>
          <w:rFonts w:hint="eastAsia" w:ascii="仿宋" w:hAnsi="仿宋" w:eastAsia="仿宋" w:cs="仿宋"/>
          <w:b/>
          <w:bCs/>
          <w:color w:val="auto"/>
          <w:sz w:val="24"/>
          <w:szCs w:val="24"/>
          <w:highlight w:val="none"/>
        </w:rPr>
      </w:pPr>
    </w:p>
    <w:p w14:paraId="6DCE1494">
      <w:pPr>
        <w:spacing w:line="360" w:lineRule="auto"/>
        <w:jc w:val="center"/>
        <w:rPr>
          <w:rFonts w:hint="eastAsia" w:ascii="仿宋" w:hAnsi="仿宋" w:eastAsia="仿宋" w:cs="仿宋"/>
          <w:color w:val="auto"/>
          <w:sz w:val="24"/>
          <w:szCs w:val="24"/>
          <w:highlight w:val="none"/>
        </w:rPr>
      </w:pPr>
    </w:p>
    <w:p w14:paraId="03F1233F">
      <w:pPr>
        <w:pStyle w:val="40"/>
        <w:rPr>
          <w:rFonts w:hint="eastAsia" w:ascii="仿宋" w:hAnsi="仿宋" w:eastAsia="仿宋" w:cs="仿宋"/>
          <w:color w:val="auto"/>
          <w:sz w:val="24"/>
          <w:szCs w:val="24"/>
          <w:highlight w:val="none"/>
        </w:rPr>
      </w:pPr>
    </w:p>
    <w:p w14:paraId="7248E6F2">
      <w:pPr>
        <w:rPr>
          <w:rFonts w:hint="eastAsia" w:ascii="仿宋" w:hAnsi="仿宋" w:eastAsia="仿宋" w:cs="仿宋"/>
          <w:color w:val="auto"/>
        </w:rPr>
      </w:pPr>
    </w:p>
    <w:p w14:paraId="7406B0B2">
      <w:pPr>
        <w:spacing w:line="360" w:lineRule="auto"/>
        <w:jc w:val="center"/>
        <w:rPr>
          <w:rFonts w:hint="eastAsia" w:ascii="仿宋" w:hAnsi="仿宋" w:eastAsia="仿宋" w:cs="仿宋"/>
          <w:color w:val="auto"/>
          <w:sz w:val="24"/>
          <w:szCs w:val="24"/>
          <w:highlight w:val="none"/>
        </w:rPr>
      </w:pPr>
    </w:p>
    <w:p w14:paraId="4C58D814">
      <w:pPr>
        <w:spacing w:line="460" w:lineRule="exact"/>
        <w:jc w:val="center"/>
        <w:rPr>
          <w:rFonts w:hint="eastAsia" w:ascii="仿宋" w:hAnsi="仿宋" w:eastAsia="仿宋" w:cs="仿宋"/>
          <w:color w:val="auto"/>
          <w:sz w:val="24"/>
          <w:szCs w:val="24"/>
          <w:highlight w:val="none"/>
        </w:rPr>
      </w:pPr>
    </w:p>
    <w:p w14:paraId="2B5EF909">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仿宋" w:hAnsi="仿宋" w:eastAsia="仿宋" w:cs="仿宋"/>
          <w:color w:val="auto"/>
          <w:sz w:val="32"/>
          <w:szCs w:val="32"/>
          <w:highlight w:val="none"/>
        </w:rPr>
      </w:pPr>
    </w:p>
    <w:p w14:paraId="18400625">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仿宋" w:hAnsi="仿宋" w:eastAsia="仿宋" w:cs="仿宋"/>
          <w:b/>
          <w:bCs/>
          <w:color w:val="auto"/>
          <w:kern w:val="0"/>
          <w:sz w:val="36"/>
          <w:szCs w:val="36"/>
          <w:highlight w:val="none"/>
          <w:lang w:eastAsia="zh-CN"/>
        </w:rPr>
      </w:pPr>
      <w:r>
        <w:rPr>
          <w:rFonts w:hint="eastAsia" w:ascii="仿宋" w:hAnsi="仿宋" w:eastAsia="仿宋" w:cs="仿宋"/>
          <w:b/>
          <w:bCs/>
          <w:color w:val="auto"/>
          <w:kern w:val="0"/>
          <w:sz w:val="36"/>
          <w:szCs w:val="36"/>
          <w:highlight w:val="none"/>
        </w:rPr>
        <w:t>采   购   人：</w:t>
      </w:r>
      <w:r>
        <w:rPr>
          <w:rFonts w:hint="eastAsia" w:ascii="仿宋" w:hAnsi="仿宋" w:eastAsia="仿宋" w:cs="仿宋"/>
          <w:b/>
          <w:bCs/>
          <w:color w:val="auto"/>
          <w:kern w:val="0"/>
          <w:sz w:val="36"/>
          <w:szCs w:val="36"/>
          <w:highlight w:val="none"/>
          <w:lang w:eastAsia="zh-CN"/>
        </w:rPr>
        <w:t>延安市行政审批服务局</w:t>
      </w:r>
    </w:p>
    <w:p w14:paraId="1CFA6C9C">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仿宋" w:hAnsi="仿宋" w:eastAsia="仿宋" w:cs="仿宋"/>
          <w:b/>
          <w:bCs/>
          <w:color w:val="auto"/>
          <w:kern w:val="0"/>
          <w:sz w:val="36"/>
          <w:szCs w:val="36"/>
          <w:highlight w:val="none"/>
        </w:rPr>
      </w:pPr>
    </w:p>
    <w:p w14:paraId="5B389EED">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仿宋" w:hAnsi="仿宋" w:eastAsia="仿宋" w:cs="仿宋"/>
          <w:color w:val="auto"/>
          <w:kern w:val="2"/>
          <w:sz w:val="36"/>
          <w:szCs w:val="36"/>
          <w:highlight w:val="none"/>
          <w:lang w:val="en-US" w:eastAsia="zh-CN" w:bidi="ar-SA"/>
        </w:rPr>
      </w:pPr>
      <w:r>
        <w:rPr>
          <w:rFonts w:hint="eastAsia" w:ascii="仿宋" w:hAnsi="仿宋" w:eastAsia="仿宋" w:cs="仿宋"/>
          <w:b/>
          <w:bCs/>
          <w:color w:val="auto"/>
          <w:kern w:val="0"/>
          <w:sz w:val="36"/>
          <w:szCs w:val="36"/>
          <w:highlight w:val="none"/>
        </w:rPr>
        <w:t>采购代理机构：</w:t>
      </w:r>
      <w:r>
        <w:rPr>
          <w:rFonts w:hint="eastAsia" w:ascii="仿宋" w:hAnsi="仿宋" w:eastAsia="仿宋" w:cs="仿宋"/>
          <w:b/>
          <w:bCs/>
          <w:color w:val="auto"/>
          <w:kern w:val="0"/>
          <w:sz w:val="36"/>
          <w:szCs w:val="36"/>
          <w:highlight w:val="none"/>
          <w:lang w:eastAsia="zh-CN"/>
        </w:rPr>
        <w:t>品智工程咨询有限公司</w:t>
      </w:r>
    </w:p>
    <w:p w14:paraId="6DFDEE6E">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仿宋" w:hAnsi="仿宋" w:eastAsia="仿宋" w:cs="仿宋"/>
          <w:b/>
          <w:bCs/>
          <w:color w:val="auto"/>
          <w:kern w:val="0"/>
          <w:sz w:val="36"/>
          <w:szCs w:val="36"/>
          <w:highlight w:val="none"/>
        </w:rPr>
      </w:pPr>
      <w:r>
        <w:rPr>
          <w:rFonts w:hint="eastAsia" w:ascii="仿宋" w:hAnsi="仿宋" w:eastAsia="仿宋" w:cs="仿宋"/>
          <w:b/>
          <w:bCs/>
          <w:color w:val="auto"/>
          <w:kern w:val="0"/>
          <w:sz w:val="36"/>
          <w:szCs w:val="36"/>
          <w:highlight w:val="none"/>
        </w:rPr>
        <w:t>二〇二</w:t>
      </w:r>
      <w:r>
        <w:rPr>
          <w:rFonts w:hint="eastAsia" w:ascii="仿宋" w:hAnsi="仿宋" w:eastAsia="仿宋" w:cs="仿宋"/>
          <w:b/>
          <w:bCs/>
          <w:color w:val="auto"/>
          <w:kern w:val="0"/>
          <w:sz w:val="36"/>
          <w:szCs w:val="36"/>
          <w:highlight w:val="none"/>
          <w:lang w:val="en-US" w:eastAsia="zh-CN"/>
        </w:rPr>
        <w:t>六</w:t>
      </w:r>
      <w:r>
        <w:rPr>
          <w:rFonts w:hint="eastAsia" w:ascii="仿宋" w:hAnsi="仿宋" w:eastAsia="仿宋" w:cs="仿宋"/>
          <w:b/>
          <w:bCs/>
          <w:color w:val="auto"/>
          <w:kern w:val="0"/>
          <w:sz w:val="36"/>
          <w:szCs w:val="36"/>
          <w:highlight w:val="none"/>
        </w:rPr>
        <w:t>年</w:t>
      </w:r>
      <w:r>
        <w:rPr>
          <w:rFonts w:hint="eastAsia" w:ascii="仿宋" w:hAnsi="仿宋" w:eastAsia="仿宋" w:cs="仿宋"/>
          <w:b/>
          <w:bCs/>
          <w:color w:val="auto"/>
          <w:kern w:val="0"/>
          <w:sz w:val="36"/>
          <w:szCs w:val="36"/>
          <w:highlight w:val="none"/>
          <w:lang w:val="en-US" w:eastAsia="zh-CN"/>
        </w:rPr>
        <w:t>十</w:t>
      </w:r>
      <w:r>
        <w:rPr>
          <w:rFonts w:hint="eastAsia" w:ascii="仿宋" w:hAnsi="仿宋" w:eastAsia="仿宋" w:cs="仿宋"/>
          <w:b/>
          <w:bCs/>
          <w:color w:val="auto"/>
          <w:kern w:val="0"/>
          <w:sz w:val="36"/>
          <w:szCs w:val="36"/>
          <w:highlight w:val="none"/>
        </w:rPr>
        <w:t>月</w:t>
      </w:r>
    </w:p>
    <w:p w14:paraId="3AE2FE7F">
      <w:pPr>
        <w:spacing w:line="600" w:lineRule="auto"/>
        <w:jc w:val="center"/>
        <w:rPr>
          <w:rFonts w:hint="eastAsia" w:ascii="仿宋" w:hAnsi="仿宋" w:eastAsia="仿宋" w:cs="仿宋"/>
          <w:b/>
          <w:color w:val="auto"/>
          <w:sz w:val="24"/>
          <w:szCs w:val="24"/>
          <w:highlight w:val="none"/>
        </w:rPr>
        <w:sectPr>
          <w:footerReference r:id="rId5" w:type="first"/>
          <w:headerReference r:id="rId3" w:type="default"/>
          <w:footerReference r:id="rId4" w:type="default"/>
          <w:pgSz w:w="11906" w:h="16838"/>
          <w:pgMar w:top="1440" w:right="1588" w:bottom="1440" w:left="1588" w:header="851" w:footer="2392" w:gutter="0"/>
          <w:pgBorders>
            <w:top w:val="none" w:sz="0" w:space="0"/>
            <w:left w:val="none" w:sz="0" w:space="0"/>
            <w:bottom w:val="none" w:sz="0" w:space="0"/>
            <w:right w:val="none" w:sz="0" w:space="0"/>
          </w:pgBorders>
          <w:pgNumType w:fmt="decimal" w:start="1"/>
          <w:cols w:space="720" w:num="1"/>
          <w:docGrid w:linePitch="312" w:charSpace="0"/>
        </w:sectPr>
      </w:pPr>
    </w:p>
    <w:p w14:paraId="55E8CECB">
      <w:pPr>
        <w:spacing w:line="600" w:lineRule="auto"/>
        <w:jc w:val="center"/>
        <w:rPr>
          <w:rFonts w:hint="eastAsia" w:ascii="仿宋" w:hAnsi="仿宋" w:eastAsia="仿宋" w:cs="仿宋"/>
          <w:b/>
          <w:color w:val="auto"/>
          <w:sz w:val="24"/>
          <w:szCs w:val="24"/>
          <w:highlight w:val="none"/>
        </w:rPr>
        <w:sectPr>
          <w:pgSz w:w="11906" w:h="16838"/>
          <w:pgMar w:top="1440" w:right="1588" w:bottom="1440" w:left="1588" w:header="851" w:footer="2392" w:gutter="0"/>
          <w:pgBorders>
            <w:top w:val="none" w:sz="0" w:space="0"/>
            <w:left w:val="none" w:sz="0" w:space="0"/>
            <w:bottom w:val="none" w:sz="0" w:space="0"/>
            <w:right w:val="none" w:sz="0" w:space="0"/>
          </w:pgBorders>
          <w:pgNumType w:fmt="decimal" w:start="1"/>
          <w:cols w:space="720" w:num="1"/>
          <w:docGrid w:linePitch="312" w:charSpace="0"/>
        </w:sectPr>
      </w:pPr>
    </w:p>
    <w:sdt>
      <w:sdtPr>
        <w:rPr>
          <w:rFonts w:hint="eastAsia" w:ascii="仿宋" w:hAnsi="仿宋" w:eastAsia="仿宋" w:cs="仿宋"/>
          <w:color w:val="auto"/>
          <w:kern w:val="2"/>
          <w:sz w:val="24"/>
          <w:szCs w:val="24"/>
          <w:highlight w:val="none"/>
          <w:lang w:val="en-US" w:eastAsia="zh-CN" w:bidi="ar-SA"/>
        </w:rPr>
        <w:id w:val="147470995"/>
        <w15:color w:val="DBDBDB"/>
        <w:docPartObj>
          <w:docPartGallery w:val="Table of Contents"/>
          <w:docPartUnique/>
        </w:docPartObj>
      </w:sdtPr>
      <w:sdtEndPr>
        <w:rPr>
          <w:rFonts w:hint="eastAsia" w:ascii="仿宋" w:hAnsi="仿宋" w:eastAsia="仿宋" w:cs="仿宋"/>
          <w:color w:val="auto"/>
          <w:kern w:val="2"/>
          <w:sz w:val="24"/>
          <w:szCs w:val="24"/>
          <w:highlight w:val="none"/>
          <w:lang w:val="zh-CN" w:eastAsia="zh-CN" w:bidi="ar-SA"/>
        </w:rPr>
      </w:sdtEndPr>
      <w:sdtContent>
        <w:p w14:paraId="45B1D6BE">
          <w:pPr>
            <w:spacing w:before="0" w:beforeLines="0" w:after="0" w:afterLines="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目录</w:t>
          </w:r>
        </w:p>
        <w:p w14:paraId="2BA53026">
          <w:pPr>
            <w:pStyle w:val="18"/>
            <w:tabs>
              <w:tab w:val="right" w:leader="dot" w:pos="9746"/>
            </w:tabs>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kern w:val="2"/>
              <w:sz w:val="28"/>
              <w:szCs w:val="28"/>
              <w:highlight w:val="none"/>
              <w:lang w:val="zh-CN" w:eastAsia="zh-CN" w:bidi="ar-SA"/>
            </w:rPr>
            <w:fldChar w:fldCharType="begin"/>
          </w:r>
          <w:r>
            <w:rPr>
              <w:rFonts w:hint="eastAsia" w:ascii="仿宋" w:hAnsi="仿宋" w:eastAsia="仿宋" w:cs="仿宋"/>
              <w:color w:val="auto"/>
              <w:kern w:val="2"/>
              <w:sz w:val="28"/>
              <w:szCs w:val="28"/>
              <w:highlight w:val="none"/>
              <w:lang w:val="zh-CN" w:eastAsia="zh-CN" w:bidi="ar-SA"/>
            </w:rPr>
            <w:instrText xml:space="preserve">TOC \o "1-1" \h \u </w:instrText>
          </w:r>
          <w:r>
            <w:rPr>
              <w:rFonts w:hint="eastAsia" w:ascii="仿宋" w:hAnsi="仿宋" w:eastAsia="仿宋" w:cs="仿宋"/>
              <w:color w:val="auto"/>
              <w:kern w:val="2"/>
              <w:sz w:val="28"/>
              <w:szCs w:val="28"/>
              <w:highlight w:val="none"/>
              <w:lang w:val="zh-CN" w:eastAsia="zh-CN" w:bidi="ar-SA"/>
            </w:rPr>
            <w:fldChar w:fldCharType="separate"/>
          </w:r>
          <w:r>
            <w:rPr>
              <w:rFonts w:hint="eastAsia" w:ascii="仿宋" w:hAnsi="仿宋" w:eastAsia="仿宋" w:cs="仿宋"/>
              <w:color w:val="auto"/>
              <w:kern w:val="2"/>
              <w:sz w:val="28"/>
              <w:szCs w:val="28"/>
              <w:highlight w:val="none"/>
              <w:lang w:val="zh-CN" w:eastAsia="zh-CN" w:bidi="ar-SA"/>
            </w:rPr>
            <w:fldChar w:fldCharType="begin"/>
          </w:r>
          <w:r>
            <w:rPr>
              <w:rFonts w:hint="eastAsia" w:ascii="仿宋" w:hAnsi="仿宋" w:eastAsia="仿宋" w:cs="仿宋"/>
              <w:color w:val="auto"/>
              <w:kern w:val="2"/>
              <w:sz w:val="28"/>
              <w:szCs w:val="28"/>
              <w:highlight w:val="none"/>
              <w:lang w:val="zh-CN" w:eastAsia="zh-CN" w:bidi="ar-SA"/>
            </w:rPr>
            <w:instrText xml:space="preserve"> HYPERLINK \l _Toc30897 </w:instrText>
          </w:r>
          <w:r>
            <w:rPr>
              <w:rFonts w:hint="eastAsia" w:ascii="仿宋" w:hAnsi="仿宋" w:eastAsia="仿宋" w:cs="仿宋"/>
              <w:color w:val="auto"/>
              <w:kern w:val="2"/>
              <w:sz w:val="28"/>
              <w:szCs w:val="28"/>
              <w:highlight w:val="none"/>
              <w:lang w:val="zh-CN" w:eastAsia="zh-CN" w:bidi="ar-SA"/>
            </w:rPr>
            <w:fldChar w:fldCharType="separate"/>
          </w:r>
          <w:r>
            <w:rPr>
              <w:rFonts w:hint="eastAsia" w:ascii="仿宋" w:hAnsi="仿宋" w:eastAsia="仿宋" w:cs="仿宋"/>
              <w:bCs/>
              <w:color w:val="auto"/>
              <w:kern w:val="0"/>
              <w:sz w:val="28"/>
              <w:szCs w:val="28"/>
              <w:highlight w:val="none"/>
              <w:shd w:val="clear" w:fill="FFFFFF"/>
              <w:lang w:val="en-US" w:eastAsia="zh-CN" w:bidi="ar"/>
            </w:rPr>
            <w:t>第一部分  招标公告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_Toc30897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kern w:val="2"/>
              <w:sz w:val="28"/>
              <w:szCs w:val="28"/>
              <w:highlight w:val="none"/>
              <w:lang w:val="zh-CN" w:eastAsia="zh-CN" w:bidi="ar-SA"/>
            </w:rPr>
            <w:fldChar w:fldCharType="end"/>
          </w:r>
        </w:p>
        <w:p w14:paraId="6191290D">
          <w:pPr>
            <w:pStyle w:val="18"/>
            <w:tabs>
              <w:tab w:val="right" w:leader="dot" w:pos="9746"/>
            </w:tabs>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kern w:val="2"/>
              <w:sz w:val="28"/>
              <w:szCs w:val="28"/>
              <w:highlight w:val="none"/>
              <w:lang w:val="zh-CN" w:eastAsia="zh-CN" w:bidi="ar-SA"/>
            </w:rPr>
            <w:fldChar w:fldCharType="begin"/>
          </w:r>
          <w:r>
            <w:rPr>
              <w:rFonts w:hint="eastAsia" w:ascii="仿宋" w:hAnsi="仿宋" w:eastAsia="仿宋" w:cs="仿宋"/>
              <w:color w:val="auto"/>
              <w:kern w:val="2"/>
              <w:sz w:val="28"/>
              <w:szCs w:val="28"/>
              <w:highlight w:val="none"/>
              <w:lang w:val="zh-CN" w:eastAsia="zh-CN" w:bidi="ar-SA"/>
            </w:rPr>
            <w:instrText xml:space="preserve"> HYPERLINK \l _Toc17232 </w:instrText>
          </w:r>
          <w:r>
            <w:rPr>
              <w:rFonts w:hint="eastAsia" w:ascii="仿宋" w:hAnsi="仿宋" w:eastAsia="仿宋" w:cs="仿宋"/>
              <w:color w:val="auto"/>
              <w:kern w:val="2"/>
              <w:sz w:val="28"/>
              <w:szCs w:val="28"/>
              <w:highlight w:val="none"/>
              <w:lang w:val="zh-CN" w:eastAsia="zh-CN" w:bidi="ar-SA"/>
            </w:rPr>
            <w:fldChar w:fldCharType="separate"/>
          </w:r>
          <w:r>
            <w:rPr>
              <w:rFonts w:hint="eastAsia" w:ascii="仿宋" w:hAnsi="仿宋" w:eastAsia="仿宋" w:cs="仿宋"/>
              <w:bCs/>
              <w:color w:val="auto"/>
              <w:sz w:val="28"/>
              <w:szCs w:val="28"/>
              <w:highlight w:val="none"/>
            </w:rPr>
            <w:t>第二部分  供应商须知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kern w:val="2"/>
              <w:sz w:val="28"/>
              <w:szCs w:val="28"/>
              <w:highlight w:val="none"/>
              <w:lang w:val="zh-CN" w:eastAsia="zh-CN" w:bidi="ar-SA"/>
            </w:rPr>
            <w:fldChar w:fldCharType="end"/>
          </w:r>
        </w:p>
        <w:p w14:paraId="1F7E5184">
          <w:pPr>
            <w:pStyle w:val="18"/>
            <w:tabs>
              <w:tab w:val="right" w:leader="dot" w:pos="9746"/>
            </w:tabs>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kern w:val="2"/>
              <w:sz w:val="28"/>
              <w:szCs w:val="28"/>
              <w:highlight w:val="none"/>
              <w:lang w:val="zh-CN" w:eastAsia="zh-CN" w:bidi="ar-SA"/>
            </w:rPr>
            <w:fldChar w:fldCharType="begin"/>
          </w:r>
          <w:r>
            <w:rPr>
              <w:rFonts w:hint="eastAsia" w:ascii="仿宋" w:hAnsi="仿宋" w:eastAsia="仿宋" w:cs="仿宋"/>
              <w:color w:val="auto"/>
              <w:kern w:val="2"/>
              <w:sz w:val="28"/>
              <w:szCs w:val="28"/>
              <w:highlight w:val="none"/>
              <w:lang w:val="zh-CN" w:eastAsia="zh-CN" w:bidi="ar-SA"/>
            </w:rPr>
            <w:instrText xml:space="preserve"> HYPERLINK \l _Toc8299 </w:instrText>
          </w:r>
          <w:r>
            <w:rPr>
              <w:rFonts w:hint="eastAsia" w:ascii="仿宋" w:hAnsi="仿宋" w:eastAsia="仿宋" w:cs="仿宋"/>
              <w:color w:val="auto"/>
              <w:kern w:val="2"/>
              <w:sz w:val="28"/>
              <w:szCs w:val="28"/>
              <w:highlight w:val="none"/>
              <w:lang w:val="zh-CN" w:eastAsia="zh-CN" w:bidi="ar-SA"/>
            </w:rPr>
            <w:fldChar w:fldCharType="separate"/>
          </w:r>
          <w:r>
            <w:rPr>
              <w:rFonts w:hint="eastAsia" w:ascii="仿宋" w:hAnsi="仿宋" w:eastAsia="仿宋" w:cs="仿宋"/>
              <w:bCs/>
              <w:color w:val="auto"/>
              <w:sz w:val="28"/>
              <w:szCs w:val="28"/>
              <w:highlight w:val="none"/>
              <w:lang w:val="en-US" w:eastAsia="zh-CN"/>
            </w:rPr>
            <w:t>第三部分  采购内容</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_Toc8299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kern w:val="2"/>
              <w:sz w:val="28"/>
              <w:szCs w:val="28"/>
              <w:highlight w:val="none"/>
              <w:lang w:val="zh-CN" w:eastAsia="zh-CN" w:bidi="ar-SA"/>
            </w:rPr>
            <w:fldChar w:fldCharType="end"/>
          </w:r>
        </w:p>
        <w:p w14:paraId="5326DE9D">
          <w:pPr>
            <w:pStyle w:val="18"/>
            <w:tabs>
              <w:tab w:val="right" w:leader="dot" w:pos="9746"/>
            </w:tabs>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kern w:val="2"/>
              <w:sz w:val="28"/>
              <w:szCs w:val="28"/>
              <w:highlight w:val="none"/>
              <w:lang w:val="zh-CN" w:eastAsia="zh-CN" w:bidi="ar-SA"/>
            </w:rPr>
            <w:fldChar w:fldCharType="begin"/>
          </w:r>
          <w:r>
            <w:rPr>
              <w:rFonts w:hint="eastAsia" w:ascii="仿宋" w:hAnsi="仿宋" w:eastAsia="仿宋" w:cs="仿宋"/>
              <w:color w:val="auto"/>
              <w:kern w:val="2"/>
              <w:sz w:val="28"/>
              <w:szCs w:val="28"/>
              <w:highlight w:val="none"/>
              <w:lang w:val="zh-CN" w:eastAsia="zh-CN" w:bidi="ar-SA"/>
            </w:rPr>
            <w:instrText xml:space="preserve"> HYPERLINK \l _Toc28255 </w:instrText>
          </w:r>
          <w:r>
            <w:rPr>
              <w:rFonts w:hint="eastAsia" w:ascii="仿宋" w:hAnsi="仿宋" w:eastAsia="仿宋" w:cs="仿宋"/>
              <w:color w:val="auto"/>
              <w:kern w:val="2"/>
              <w:sz w:val="28"/>
              <w:szCs w:val="28"/>
              <w:highlight w:val="none"/>
              <w:lang w:val="zh-CN" w:eastAsia="zh-CN" w:bidi="ar-SA"/>
            </w:rPr>
            <w:fldChar w:fldCharType="separate"/>
          </w:r>
          <w:r>
            <w:rPr>
              <w:rFonts w:hint="eastAsia" w:ascii="仿宋" w:hAnsi="仿宋" w:eastAsia="仿宋" w:cs="仿宋"/>
              <w:bCs w:val="0"/>
              <w:color w:val="auto"/>
              <w:kern w:val="2"/>
              <w:sz w:val="28"/>
              <w:szCs w:val="28"/>
              <w:highlight w:val="none"/>
              <w:lang w:val="en-US" w:eastAsia="zh-CN" w:bidi="ar-SA"/>
            </w:rPr>
            <w:t>第四部分  商务要求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kern w:val="2"/>
              <w:sz w:val="28"/>
              <w:szCs w:val="28"/>
              <w:highlight w:val="none"/>
              <w:lang w:val="zh-CN" w:eastAsia="zh-CN" w:bidi="ar-SA"/>
            </w:rPr>
            <w:fldChar w:fldCharType="end"/>
          </w:r>
          <w:r>
            <w:rPr>
              <w:rFonts w:hint="eastAsia" w:ascii="仿宋" w:hAnsi="仿宋" w:eastAsia="仿宋" w:cs="仿宋"/>
              <w:color w:val="auto"/>
              <w:kern w:val="2"/>
              <w:sz w:val="28"/>
              <w:szCs w:val="28"/>
              <w:highlight w:val="none"/>
              <w:lang w:val="en-US" w:eastAsia="zh-CN" w:bidi="ar-SA"/>
            </w:rPr>
            <w:t>7</w:t>
          </w:r>
        </w:p>
        <w:p w14:paraId="7D5070E3">
          <w:pPr>
            <w:pStyle w:val="18"/>
            <w:tabs>
              <w:tab w:val="right" w:leader="dot" w:pos="9746"/>
            </w:tabs>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kern w:val="2"/>
              <w:sz w:val="28"/>
              <w:szCs w:val="28"/>
              <w:highlight w:val="none"/>
              <w:lang w:val="zh-CN" w:eastAsia="zh-CN" w:bidi="ar-SA"/>
            </w:rPr>
            <w:fldChar w:fldCharType="begin"/>
          </w:r>
          <w:r>
            <w:rPr>
              <w:rFonts w:hint="eastAsia" w:ascii="仿宋" w:hAnsi="仿宋" w:eastAsia="仿宋" w:cs="仿宋"/>
              <w:color w:val="auto"/>
              <w:kern w:val="2"/>
              <w:sz w:val="28"/>
              <w:szCs w:val="28"/>
              <w:highlight w:val="none"/>
              <w:lang w:val="zh-CN" w:eastAsia="zh-CN" w:bidi="ar-SA"/>
            </w:rPr>
            <w:instrText xml:space="preserve"> HYPERLINK \l _Toc16424 </w:instrText>
          </w:r>
          <w:r>
            <w:rPr>
              <w:rFonts w:hint="eastAsia" w:ascii="仿宋" w:hAnsi="仿宋" w:eastAsia="仿宋" w:cs="仿宋"/>
              <w:color w:val="auto"/>
              <w:kern w:val="2"/>
              <w:sz w:val="28"/>
              <w:szCs w:val="28"/>
              <w:highlight w:val="none"/>
              <w:lang w:val="zh-CN" w:eastAsia="zh-CN" w:bidi="ar-SA"/>
            </w:rPr>
            <w:fldChar w:fldCharType="separate"/>
          </w:r>
          <w:r>
            <w:rPr>
              <w:rFonts w:hint="eastAsia" w:ascii="仿宋" w:hAnsi="仿宋" w:eastAsia="仿宋" w:cs="仿宋"/>
              <w:color w:val="auto"/>
              <w:sz w:val="28"/>
              <w:szCs w:val="28"/>
              <w:highlight w:val="none"/>
            </w:rPr>
            <w:t>第</w:t>
          </w:r>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rPr>
            <w:t>部分  采购合同</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仅供参考</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_Toc16424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68</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kern w:val="2"/>
              <w:sz w:val="28"/>
              <w:szCs w:val="28"/>
              <w:highlight w:val="none"/>
              <w:lang w:val="zh-CN" w:eastAsia="zh-CN" w:bidi="ar-SA"/>
            </w:rPr>
            <w:fldChar w:fldCharType="end"/>
          </w:r>
        </w:p>
        <w:p w14:paraId="69B10657">
          <w:pPr>
            <w:pStyle w:val="18"/>
            <w:tabs>
              <w:tab w:val="right" w:leader="dot" w:pos="9746"/>
            </w:tabs>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kern w:val="2"/>
              <w:sz w:val="28"/>
              <w:szCs w:val="28"/>
              <w:highlight w:val="none"/>
              <w:lang w:val="zh-CN" w:eastAsia="zh-CN" w:bidi="ar-SA"/>
            </w:rPr>
            <w:fldChar w:fldCharType="begin"/>
          </w:r>
          <w:r>
            <w:rPr>
              <w:rFonts w:hint="eastAsia" w:ascii="仿宋" w:hAnsi="仿宋" w:eastAsia="仿宋" w:cs="仿宋"/>
              <w:color w:val="auto"/>
              <w:kern w:val="2"/>
              <w:sz w:val="28"/>
              <w:szCs w:val="28"/>
              <w:highlight w:val="none"/>
              <w:lang w:val="zh-CN" w:eastAsia="zh-CN" w:bidi="ar-SA"/>
            </w:rPr>
            <w:instrText xml:space="preserve"> HYPERLINK \l _Toc5521 </w:instrText>
          </w:r>
          <w:r>
            <w:rPr>
              <w:rFonts w:hint="eastAsia" w:ascii="仿宋" w:hAnsi="仿宋" w:eastAsia="仿宋" w:cs="仿宋"/>
              <w:color w:val="auto"/>
              <w:kern w:val="2"/>
              <w:sz w:val="28"/>
              <w:szCs w:val="28"/>
              <w:highlight w:val="none"/>
              <w:lang w:val="zh-CN" w:eastAsia="zh-CN" w:bidi="ar-SA"/>
            </w:rPr>
            <w:fldChar w:fldCharType="separate"/>
          </w:r>
          <w:r>
            <w:rPr>
              <w:rFonts w:hint="eastAsia" w:ascii="仿宋" w:hAnsi="仿宋" w:eastAsia="仿宋" w:cs="仿宋"/>
              <w:bCs/>
              <w:color w:val="auto"/>
              <w:sz w:val="28"/>
              <w:szCs w:val="28"/>
              <w:highlight w:val="none"/>
            </w:rPr>
            <w:t>第</w:t>
          </w:r>
          <w:r>
            <w:rPr>
              <w:rFonts w:hint="eastAsia" w:ascii="仿宋" w:hAnsi="仿宋" w:eastAsia="仿宋" w:cs="仿宋"/>
              <w:bCs/>
              <w:color w:val="auto"/>
              <w:sz w:val="28"/>
              <w:szCs w:val="28"/>
              <w:highlight w:val="none"/>
              <w:lang w:val="en-US" w:eastAsia="zh-CN"/>
            </w:rPr>
            <w:t>六</w:t>
          </w:r>
          <w:r>
            <w:rPr>
              <w:rFonts w:hint="eastAsia" w:ascii="仿宋" w:hAnsi="仿宋" w:eastAsia="仿宋" w:cs="仿宋"/>
              <w:bCs/>
              <w:color w:val="auto"/>
              <w:sz w:val="28"/>
              <w:szCs w:val="28"/>
              <w:highlight w:val="none"/>
            </w:rPr>
            <w:t>部分  投标文件格式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_Toc5521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72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kern w:val="2"/>
              <w:sz w:val="28"/>
              <w:szCs w:val="28"/>
              <w:highlight w:val="none"/>
              <w:lang w:val="zh-CN" w:eastAsia="zh-CN" w:bidi="ar-SA"/>
            </w:rPr>
            <w:fldChar w:fldCharType="end"/>
          </w:r>
        </w:p>
        <w:p w14:paraId="0632EA8F">
          <w:pPr>
            <w:spacing w:line="360" w:lineRule="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8"/>
              <w:szCs w:val="28"/>
              <w:highlight w:val="none"/>
              <w:lang w:val="zh-CN" w:eastAsia="zh-CN" w:bidi="ar-SA"/>
            </w:rPr>
            <w:fldChar w:fldCharType="end"/>
          </w:r>
        </w:p>
      </w:sdtContent>
    </w:sdt>
    <w:p w14:paraId="537B7A9F">
      <w:pPr>
        <w:rPr>
          <w:rFonts w:hint="eastAsia" w:ascii="仿宋" w:hAnsi="仿宋" w:eastAsia="仿宋" w:cs="仿宋"/>
          <w:color w:val="auto"/>
          <w:kern w:val="2"/>
          <w:sz w:val="24"/>
          <w:szCs w:val="24"/>
          <w:highlight w:val="none"/>
          <w:lang w:val="zh-CN" w:eastAsia="zh-CN" w:bidi="ar-SA"/>
        </w:rPr>
      </w:pPr>
    </w:p>
    <w:p w14:paraId="075BC5BA">
      <w:pPr>
        <w:pageBreakBefore w:val="0"/>
        <w:bidi w:val="0"/>
        <w:spacing w:line="460" w:lineRule="exact"/>
        <w:outlineLvl w:val="9"/>
        <w:rPr>
          <w:rFonts w:hint="eastAsia" w:ascii="仿宋" w:hAnsi="仿宋" w:eastAsia="仿宋" w:cs="仿宋"/>
          <w:color w:val="auto"/>
          <w:sz w:val="24"/>
          <w:szCs w:val="24"/>
          <w:highlight w:val="none"/>
        </w:rPr>
      </w:pPr>
    </w:p>
    <w:p w14:paraId="6AD2305B">
      <w:pPr>
        <w:pageBreakBefore w:val="0"/>
        <w:tabs>
          <w:tab w:val="left" w:pos="7111"/>
        </w:tabs>
        <w:bidi w:val="0"/>
        <w:spacing w:line="460" w:lineRule="exact"/>
        <w:ind w:left="-141" w:leftChars="-67" w:right="-197" w:rightChars="-94"/>
        <w:outlineLvl w:val="9"/>
        <w:rPr>
          <w:rFonts w:hint="eastAsia" w:ascii="仿宋" w:hAnsi="仿宋" w:eastAsia="仿宋" w:cs="仿宋"/>
          <w:color w:val="auto"/>
          <w:sz w:val="24"/>
          <w:szCs w:val="24"/>
          <w:highlight w:val="none"/>
        </w:rPr>
        <w:sectPr>
          <w:headerReference r:id="rId7" w:type="first"/>
          <w:footerReference r:id="rId9" w:type="first"/>
          <w:headerReference r:id="rId6" w:type="default"/>
          <w:footerReference r:id="rId8" w:type="default"/>
          <w:pgSz w:w="11906" w:h="16838"/>
          <w:pgMar w:top="1440" w:right="1080" w:bottom="1440" w:left="1080" w:header="851" w:footer="850" w:gutter="0"/>
          <w:pgBorders>
            <w:top w:val="none" w:sz="0" w:space="0"/>
            <w:left w:val="none" w:sz="0" w:space="0"/>
            <w:bottom w:val="none" w:sz="0" w:space="0"/>
            <w:right w:val="none" w:sz="0" w:space="0"/>
          </w:pgBorders>
          <w:pgNumType w:fmt="upperRoman" w:start="1"/>
          <w:cols w:space="425" w:num="1"/>
          <w:titlePg/>
          <w:docGrid w:type="lines" w:linePitch="312" w:charSpace="0"/>
        </w:sectPr>
      </w:pPr>
      <w:r>
        <w:rPr>
          <w:rFonts w:hint="eastAsia" w:ascii="仿宋" w:hAnsi="仿宋" w:eastAsia="仿宋" w:cs="仿宋"/>
          <w:color w:val="auto"/>
          <w:sz w:val="24"/>
          <w:szCs w:val="24"/>
          <w:highlight w:val="none"/>
        </w:rPr>
        <w:tab/>
      </w:r>
    </w:p>
    <w:p w14:paraId="2352FF88">
      <w:pPr>
        <w:pageBreakBefore w:val="0"/>
        <w:tabs>
          <w:tab w:val="left" w:pos="7111"/>
        </w:tabs>
        <w:bidi w:val="0"/>
        <w:spacing w:line="460" w:lineRule="exact"/>
        <w:ind w:left="-141" w:leftChars="-67" w:right="-197" w:rightChars="-94"/>
        <w:outlineLvl w:val="9"/>
        <w:rPr>
          <w:rFonts w:hint="eastAsia" w:ascii="仿宋" w:hAnsi="仿宋" w:eastAsia="仿宋" w:cs="仿宋"/>
          <w:color w:val="auto"/>
          <w:sz w:val="24"/>
          <w:szCs w:val="24"/>
          <w:highlight w:val="none"/>
        </w:rPr>
        <w:sectPr>
          <w:pgSz w:w="11906" w:h="16838"/>
          <w:pgMar w:top="1440" w:right="1080" w:bottom="1440" w:left="1080" w:header="851" w:footer="850" w:gutter="0"/>
          <w:pgBorders>
            <w:top w:val="none" w:sz="0" w:space="0"/>
            <w:left w:val="none" w:sz="0" w:space="0"/>
            <w:bottom w:val="none" w:sz="0" w:space="0"/>
            <w:right w:val="none" w:sz="0" w:space="0"/>
          </w:pgBorders>
          <w:pgNumType w:fmt="upperRoman" w:start="1"/>
          <w:cols w:space="425" w:num="1"/>
          <w:titlePg/>
          <w:docGrid w:type="lines" w:linePitch="312" w:charSpace="0"/>
        </w:sectPr>
      </w:pPr>
    </w:p>
    <w:p w14:paraId="4529903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line="360" w:lineRule="auto"/>
        <w:jc w:val="center"/>
        <w:textAlignment w:val="auto"/>
        <w:rPr>
          <w:rFonts w:hint="eastAsia" w:ascii="仿宋" w:hAnsi="仿宋" w:eastAsia="仿宋" w:cs="仿宋"/>
          <w:b/>
          <w:bCs/>
          <w:i w:val="0"/>
          <w:iCs w:val="0"/>
          <w:caps w:val="0"/>
          <w:color w:val="auto"/>
          <w:spacing w:val="0"/>
          <w:kern w:val="0"/>
          <w:sz w:val="32"/>
          <w:szCs w:val="32"/>
          <w:highlight w:val="none"/>
          <w:shd w:val="clear" w:color="auto" w:fill="FFFFFF"/>
          <w:lang w:val="en-US" w:eastAsia="zh-CN" w:bidi="ar"/>
        </w:rPr>
      </w:pPr>
      <w:bookmarkStart w:id="0" w:name="_Toc3865"/>
      <w:bookmarkStart w:id="1" w:name="_Toc30897"/>
      <w:bookmarkStart w:id="2" w:name="OLE_LINK3"/>
      <w:r>
        <w:rPr>
          <w:rFonts w:hint="eastAsia" w:ascii="仿宋" w:hAnsi="仿宋" w:eastAsia="仿宋" w:cs="仿宋"/>
          <w:b/>
          <w:bCs/>
          <w:i w:val="0"/>
          <w:iCs w:val="0"/>
          <w:caps w:val="0"/>
          <w:color w:val="auto"/>
          <w:spacing w:val="0"/>
          <w:kern w:val="0"/>
          <w:sz w:val="32"/>
          <w:szCs w:val="32"/>
          <w:highlight w:val="none"/>
          <w:shd w:val="clear" w:color="auto" w:fill="FFFFFF"/>
          <w:lang w:val="en-US" w:eastAsia="zh-CN" w:bidi="ar"/>
        </w:rPr>
        <w:t>第一部分  招标公告</w:t>
      </w:r>
      <w:bookmarkEnd w:id="0"/>
      <w:bookmarkEnd w:id="1"/>
    </w:p>
    <w:bookmarkEnd w:id="2"/>
    <w:p w14:paraId="2002A26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420" w:lineRule="exact"/>
        <w:jc w:val="center"/>
        <w:textAlignment w:val="auto"/>
        <w:rPr>
          <w:rFonts w:hint="eastAsia" w:ascii="仿宋" w:hAnsi="仿宋" w:eastAsia="仿宋" w:cs="仿宋"/>
          <w:b/>
          <w:bCs/>
          <w:i w:val="0"/>
          <w:iCs w:val="0"/>
          <w:caps w:val="0"/>
          <w:color w:val="auto"/>
          <w:spacing w:val="0"/>
          <w:kern w:val="0"/>
          <w:sz w:val="28"/>
          <w:szCs w:val="28"/>
          <w:shd w:val="clear" w:fill="FFFFFF"/>
          <w:lang w:val="en-US" w:eastAsia="zh-CN" w:bidi="ar"/>
        </w:rPr>
      </w:pPr>
      <w:bookmarkStart w:id="3" w:name="_Toc17232"/>
      <w:bookmarkStart w:id="4" w:name="_Toc9213"/>
      <w:bookmarkStart w:id="5" w:name="_Toc22493"/>
      <w:r>
        <w:rPr>
          <w:rFonts w:hint="eastAsia" w:ascii="仿宋" w:hAnsi="仿宋" w:eastAsia="仿宋" w:cs="仿宋"/>
          <w:b/>
          <w:bCs/>
          <w:i w:val="0"/>
          <w:iCs w:val="0"/>
          <w:caps w:val="0"/>
          <w:color w:val="auto"/>
          <w:spacing w:val="0"/>
          <w:kern w:val="0"/>
          <w:sz w:val="28"/>
          <w:szCs w:val="28"/>
          <w:shd w:val="clear" w:fill="FFFFFF"/>
          <w:lang w:val="en-US" w:eastAsia="zh-CN" w:bidi="ar"/>
        </w:rPr>
        <w:t>延安市行政审批服务局延安市政务服务城市频道建设及运营（大厅硬件设备改造项目）</w:t>
      </w:r>
    </w:p>
    <w:p w14:paraId="21495C5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420" w:lineRule="exact"/>
        <w:jc w:val="center"/>
        <w:textAlignment w:val="auto"/>
        <w:rPr>
          <w:rFonts w:hint="eastAsia" w:ascii="仿宋" w:hAnsi="仿宋" w:eastAsia="仿宋" w:cs="仿宋"/>
          <w:b/>
          <w:bCs/>
          <w:i w:val="0"/>
          <w:iCs w:val="0"/>
          <w:caps w:val="0"/>
          <w:color w:val="auto"/>
          <w:spacing w:val="0"/>
          <w:sz w:val="28"/>
          <w:szCs w:val="28"/>
        </w:rPr>
      </w:pPr>
      <w:r>
        <w:rPr>
          <w:rFonts w:hint="eastAsia" w:ascii="仿宋" w:hAnsi="仿宋" w:eastAsia="仿宋" w:cs="仿宋"/>
          <w:b/>
          <w:bCs/>
          <w:i w:val="0"/>
          <w:iCs w:val="0"/>
          <w:caps w:val="0"/>
          <w:color w:val="auto"/>
          <w:spacing w:val="0"/>
          <w:kern w:val="0"/>
          <w:sz w:val="28"/>
          <w:szCs w:val="28"/>
          <w:shd w:val="clear" w:fill="FFFFFF"/>
          <w:lang w:val="en-US" w:eastAsia="zh-CN" w:bidi="ar"/>
        </w:rPr>
        <w:t>招标公告</w:t>
      </w:r>
    </w:p>
    <w:p w14:paraId="1CAA1AA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2" w:firstLineChars="200"/>
        <w:jc w:val="left"/>
        <w:textAlignment w:val="auto"/>
        <w:rPr>
          <w:rFonts w:hint="eastAsia" w:ascii="仿宋" w:hAnsi="仿宋" w:eastAsia="仿宋" w:cs="仿宋"/>
          <w:b w:val="0"/>
          <w:bCs w:val="0"/>
          <w:color w:val="auto"/>
          <w:sz w:val="24"/>
          <w:szCs w:val="24"/>
        </w:rPr>
      </w:pPr>
      <w:r>
        <w:rPr>
          <w:rStyle w:val="27"/>
          <w:rFonts w:hint="eastAsia" w:ascii="仿宋" w:hAnsi="仿宋" w:eastAsia="仿宋" w:cs="仿宋"/>
          <w:b/>
          <w:bCs/>
          <w:i w:val="0"/>
          <w:iCs w:val="0"/>
          <w:caps w:val="0"/>
          <w:color w:val="auto"/>
          <w:spacing w:val="0"/>
          <w:sz w:val="24"/>
          <w:szCs w:val="24"/>
          <w:shd w:val="clear" w:fill="FFFFFF"/>
        </w:rPr>
        <w:t>项目概况</w:t>
      </w:r>
    </w:p>
    <w:p w14:paraId="39819B1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延安市政务服务城市频道建设及运营（大厅硬件设备改造项目）招标项目的潜在投标人应在《全国公共资源交易平台（陕西省·延安市）》电子招投标系统使用CA锁下载获取招标文件，并于 2026年10月29日</w:t>
      </w:r>
      <w:r>
        <w:rPr>
          <w:rFonts w:hint="eastAsia" w:ascii="仿宋" w:hAnsi="仿宋" w:eastAsia="仿宋" w:cs="仿宋"/>
          <w:i w:val="0"/>
          <w:iCs w:val="0"/>
          <w:caps w:val="0"/>
          <w:color w:val="auto"/>
          <w:spacing w:val="0"/>
          <w:sz w:val="24"/>
          <w:szCs w:val="24"/>
          <w:shd w:val="clear" w:fill="FFFFFF"/>
          <w:lang w:val="en-US" w:eastAsia="zh-CN"/>
        </w:rPr>
        <w:t>14</w:t>
      </w:r>
      <w:r>
        <w:rPr>
          <w:rFonts w:hint="eastAsia" w:ascii="仿宋" w:hAnsi="仿宋" w:eastAsia="仿宋" w:cs="仿宋"/>
          <w:i w:val="0"/>
          <w:iCs w:val="0"/>
          <w:caps w:val="0"/>
          <w:color w:val="auto"/>
          <w:spacing w:val="0"/>
          <w:sz w:val="24"/>
          <w:szCs w:val="24"/>
          <w:shd w:val="clear" w:fill="FFFFFF"/>
        </w:rPr>
        <w:t>时</w:t>
      </w:r>
      <w:r>
        <w:rPr>
          <w:rFonts w:hint="eastAsia" w:ascii="仿宋" w:hAnsi="仿宋" w:eastAsia="仿宋" w:cs="仿宋"/>
          <w:i w:val="0"/>
          <w:iCs w:val="0"/>
          <w:caps w:val="0"/>
          <w:color w:val="auto"/>
          <w:spacing w:val="0"/>
          <w:sz w:val="24"/>
          <w:szCs w:val="24"/>
          <w:shd w:val="clear" w:fill="FFFFFF"/>
          <w:lang w:val="en-US" w:eastAsia="zh-CN"/>
        </w:rPr>
        <w:t>30</w:t>
      </w:r>
      <w:r>
        <w:rPr>
          <w:rFonts w:hint="eastAsia" w:ascii="仿宋" w:hAnsi="仿宋" w:eastAsia="仿宋" w:cs="仿宋"/>
          <w:i w:val="0"/>
          <w:iCs w:val="0"/>
          <w:caps w:val="0"/>
          <w:color w:val="auto"/>
          <w:spacing w:val="0"/>
          <w:sz w:val="24"/>
          <w:szCs w:val="24"/>
          <w:shd w:val="clear" w:fill="FFFFFF"/>
        </w:rPr>
        <w:t>分 （北京时间）前递交投标文件。</w:t>
      </w:r>
    </w:p>
    <w:p w14:paraId="082530D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Autospacing="0" w:line="420" w:lineRule="exact"/>
        <w:ind w:left="0" w:right="0" w:firstLine="482" w:firstLineChars="200"/>
        <w:jc w:val="left"/>
        <w:textAlignment w:val="auto"/>
        <w:rPr>
          <w:rFonts w:hint="eastAsia" w:ascii="仿宋" w:hAnsi="仿宋" w:eastAsia="仿宋" w:cs="仿宋"/>
          <w:b w:val="0"/>
          <w:bCs w:val="0"/>
          <w:color w:val="auto"/>
          <w:sz w:val="24"/>
          <w:szCs w:val="24"/>
        </w:rPr>
      </w:pPr>
      <w:r>
        <w:rPr>
          <w:rStyle w:val="27"/>
          <w:rFonts w:hint="eastAsia" w:ascii="仿宋" w:hAnsi="仿宋" w:eastAsia="仿宋" w:cs="仿宋"/>
          <w:b/>
          <w:bCs/>
          <w:i w:val="0"/>
          <w:iCs w:val="0"/>
          <w:caps w:val="0"/>
          <w:color w:val="auto"/>
          <w:spacing w:val="0"/>
          <w:sz w:val="24"/>
          <w:szCs w:val="24"/>
          <w:shd w:val="clear" w:fill="FFFFFF"/>
        </w:rPr>
        <w:t>一、项目基本情况</w:t>
      </w:r>
    </w:p>
    <w:p w14:paraId="5A712C4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项目编号：PZZX-26-B072</w:t>
      </w:r>
    </w:p>
    <w:p w14:paraId="6D66E31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项目名称：延安市政务服务城市频道建设及运营（大厅硬件设备改造项目）</w:t>
      </w:r>
    </w:p>
    <w:p w14:paraId="78AC75D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采购方式：公开招标</w:t>
      </w:r>
    </w:p>
    <w:p w14:paraId="2C6588F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预算金额：3,222,900.00元</w:t>
      </w:r>
    </w:p>
    <w:p w14:paraId="5706F4E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采购需求：</w:t>
      </w:r>
    </w:p>
    <w:p w14:paraId="10B9640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合同包1(延安市政务服务城市频道建设及运营（大厅硬件设备改造项目）):</w:t>
      </w:r>
    </w:p>
    <w:p w14:paraId="3AC71DD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合同包预算金额：3,222,900.00元</w:t>
      </w:r>
    </w:p>
    <w:p w14:paraId="29740CB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合同包最高限价：3,222,900.00元</w:t>
      </w:r>
    </w:p>
    <w:tbl>
      <w:tblPr>
        <w:tblStyle w:val="24"/>
        <w:tblW w:w="5180" w:type="pct"/>
        <w:tblInd w:w="-12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20"/>
        <w:gridCol w:w="2229"/>
        <w:gridCol w:w="3018"/>
        <w:gridCol w:w="789"/>
        <w:gridCol w:w="1532"/>
        <w:gridCol w:w="1720"/>
      </w:tblGrid>
      <w:tr w14:paraId="26C22C0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3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6921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20" w:lineRule="exact"/>
              <w:ind w:left="0" w:right="0" w:firstLine="0" w:firstLineChars="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品目号</w:t>
            </w:r>
          </w:p>
        </w:tc>
        <w:tc>
          <w:tcPr>
            <w:tcW w:w="111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69637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20" w:lineRule="exact"/>
              <w:ind w:left="0" w:right="0" w:firstLine="0" w:firstLineChars="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品目名称</w:t>
            </w:r>
          </w:p>
        </w:tc>
        <w:tc>
          <w:tcPr>
            <w:tcW w:w="150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AC5D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20" w:lineRule="exact"/>
              <w:ind w:left="0" w:right="0" w:firstLine="0" w:firstLineChars="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采购标的</w:t>
            </w:r>
          </w:p>
        </w:tc>
        <w:tc>
          <w:tcPr>
            <w:tcW w:w="3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C408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20" w:lineRule="exact"/>
              <w:ind w:left="0" w:right="0" w:firstLine="0" w:firstLineChars="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数量（单位）</w:t>
            </w:r>
          </w:p>
        </w:tc>
        <w:tc>
          <w:tcPr>
            <w:tcW w:w="7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2C52F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20" w:lineRule="exact"/>
              <w:ind w:left="0" w:right="0" w:firstLine="0" w:firstLineChars="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技术规格、参数及要求</w:t>
            </w:r>
          </w:p>
        </w:tc>
        <w:tc>
          <w:tcPr>
            <w:tcW w:w="8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A7835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20" w:lineRule="exact"/>
              <w:ind w:left="0" w:right="0" w:firstLine="0" w:firstLineChars="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品目预算(元)</w:t>
            </w:r>
          </w:p>
        </w:tc>
      </w:tr>
      <w:tr w14:paraId="406527F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64539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20" w:lineRule="exact"/>
              <w:ind w:left="0" w:right="0"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1-1</w:t>
            </w:r>
          </w:p>
        </w:tc>
        <w:tc>
          <w:tcPr>
            <w:tcW w:w="111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241E0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20" w:lineRule="exact"/>
              <w:ind w:left="0" w:right="0"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其他信息化设备</w:t>
            </w:r>
          </w:p>
        </w:tc>
        <w:tc>
          <w:tcPr>
            <w:tcW w:w="150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94CAC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20" w:lineRule="exact"/>
              <w:ind w:left="0" w:right="0"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延安市政务服务城市频道建设及运营（大厅硬件设备）</w:t>
            </w:r>
          </w:p>
        </w:tc>
        <w:tc>
          <w:tcPr>
            <w:tcW w:w="3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341BF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20" w:lineRule="exact"/>
              <w:ind w:left="0" w:right="0"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1(项)</w:t>
            </w:r>
          </w:p>
        </w:tc>
        <w:tc>
          <w:tcPr>
            <w:tcW w:w="7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9330A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20" w:lineRule="exact"/>
              <w:ind w:left="0" w:right="0"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详见采购文件</w:t>
            </w:r>
          </w:p>
        </w:tc>
        <w:tc>
          <w:tcPr>
            <w:tcW w:w="8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819ED4">
            <w:pPr>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0" w:firstLineChars="0"/>
              <w:jc w:val="righ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3,222,900.00</w:t>
            </w:r>
          </w:p>
        </w:tc>
      </w:tr>
    </w:tbl>
    <w:p w14:paraId="1161A14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本合同包不接受联合体投标</w:t>
      </w:r>
    </w:p>
    <w:p w14:paraId="7380B4B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合同履行期限：自合同签订之日起15日历天</w:t>
      </w:r>
    </w:p>
    <w:p w14:paraId="42AAB4F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Autospacing="0" w:line="420" w:lineRule="exact"/>
        <w:ind w:left="0" w:right="0" w:firstLine="482" w:firstLineChars="200"/>
        <w:jc w:val="left"/>
        <w:textAlignment w:val="auto"/>
        <w:rPr>
          <w:rFonts w:hint="eastAsia" w:ascii="仿宋" w:hAnsi="仿宋" w:eastAsia="仿宋" w:cs="仿宋"/>
          <w:b w:val="0"/>
          <w:bCs w:val="0"/>
          <w:color w:val="auto"/>
          <w:sz w:val="24"/>
          <w:szCs w:val="24"/>
        </w:rPr>
      </w:pPr>
      <w:r>
        <w:rPr>
          <w:rStyle w:val="27"/>
          <w:rFonts w:hint="eastAsia" w:ascii="仿宋" w:hAnsi="仿宋" w:eastAsia="仿宋" w:cs="仿宋"/>
          <w:b/>
          <w:bCs/>
          <w:i w:val="0"/>
          <w:iCs w:val="0"/>
          <w:caps w:val="0"/>
          <w:color w:val="auto"/>
          <w:spacing w:val="0"/>
          <w:sz w:val="24"/>
          <w:szCs w:val="24"/>
          <w:shd w:val="clear" w:fill="FFFFFF"/>
        </w:rPr>
        <w:t>二、申请人的资格要求：</w:t>
      </w:r>
    </w:p>
    <w:p w14:paraId="6839EAE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1.满足《中华人民共和国政府采购法》第二十二条规定;</w:t>
      </w:r>
    </w:p>
    <w:p w14:paraId="6B057E8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2.落实政府采购政策需满足的资格要求：</w:t>
      </w:r>
    </w:p>
    <w:p w14:paraId="2A26B5C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合同包1(延安市政务服务城市频道建设及运营（大厅硬件设备改造项目）)落实政府采购政策需满足的资格要求如下:</w:t>
      </w:r>
    </w:p>
    <w:p w14:paraId="188E946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本项目不专门面向中小企业采购。</w:t>
      </w:r>
    </w:p>
    <w:p w14:paraId="771799C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3.本项目的特定资格要求：</w:t>
      </w:r>
    </w:p>
    <w:p w14:paraId="72E5C5B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合同包1(延安市政务服务城市频道建设及运营（大厅硬件设备改造项目）)特定资格要求如下:</w:t>
      </w:r>
    </w:p>
    <w:p w14:paraId="700958C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供应商须为独立承担民事责任能力的法人或其他组织，并提供有效的营业执照等国家规定的相关主体资格证明资料及开户许可证（或基本存款账户信息）；（2）提供2025年经会计师事务所审计的财务审计报告或近三个月内银行出具的资信证明；（3）提供2026年1月1日至今已缴纳的至少一个月的纳税证明，依法免税的供应商应提供相关文件证明；（4）提供2026年1月1日至今已缴纳的至少一个月社会保障资金缴存单据或社保机构出具的社会保险参保缴费情况证明，依法不需要缴纳社保的供应商应提供相关文件证明；（5）法定代表人授权书及被授权人身份证（法定代表人直接投标只需提供本人身份证）；（6）参加政府采购活动前3年内，在经营活动中没有重大违法记录的书面声明；（7）供应商不得为“中国执行信息公开网”列入失信被执行人名单的供应商，不得为“信用中国”网列入重大税收违法失信主体名单的供应商，不得为中国政府采购网政府采购严重违法失信行为记录名单中被财政部门禁止参加政府采购活动的供应商（以上内容资格审查时现场核查）。</w:t>
      </w:r>
    </w:p>
    <w:p w14:paraId="40E9AE6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Autospacing="0" w:line="420" w:lineRule="exact"/>
        <w:ind w:left="0" w:right="0" w:firstLine="482" w:firstLineChars="200"/>
        <w:jc w:val="left"/>
        <w:textAlignment w:val="auto"/>
        <w:rPr>
          <w:rFonts w:hint="eastAsia" w:ascii="仿宋" w:hAnsi="仿宋" w:eastAsia="仿宋" w:cs="仿宋"/>
          <w:b w:val="0"/>
          <w:bCs w:val="0"/>
          <w:color w:val="auto"/>
          <w:sz w:val="24"/>
          <w:szCs w:val="24"/>
        </w:rPr>
      </w:pPr>
      <w:r>
        <w:rPr>
          <w:rStyle w:val="27"/>
          <w:rFonts w:hint="eastAsia" w:ascii="仿宋" w:hAnsi="仿宋" w:eastAsia="仿宋" w:cs="仿宋"/>
          <w:b/>
          <w:bCs/>
          <w:i w:val="0"/>
          <w:iCs w:val="0"/>
          <w:caps w:val="0"/>
          <w:color w:val="auto"/>
          <w:spacing w:val="0"/>
          <w:sz w:val="24"/>
          <w:szCs w:val="24"/>
          <w:shd w:val="clear" w:fill="FFFFFF"/>
        </w:rPr>
        <w:t>三、获取招标文件</w:t>
      </w:r>
    </w:p>
    <w:p w14:paraId="54EBCF2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时间： 2026年10月09日 至 2026年10月14日 ，每天上午 08:00:00 至 12:00:00 ，下午 12:00:00 至 18:00:00 （北京时间）</w:t>
      </w:r>
    </w:p>
    <w:p w14:paraId="0A548F5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途径：《全国公共资源交易平台（陕西省·延安市）》电子招投标系统使用CA锁下载</w:t>
      </w:r>
    </w:p>
    <w:p w14:paraId="5D9CAA4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方式：在线获取</w:t>
      </w:r>
    </w:p>
    <w:p w14:paraId="7EAD1D3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售价： 0元</w:t>
      </w:r>
    </w:p>
    <w:p w14:paraId="356886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Autospacing="0" w:line="420" w:lineRule="exact"/>
        <w:ind w:left="0" w:right="0" w:firstLine="482" w:firstLineChars="200"/>
        <w:jc w:val="left"/>
        <w:textAlignment w:val="auto"/>
        <w:rPr>
          <w:rFonts w:hint="eastAsia" w:ascii="仿宋" w:hAnsi="仿宋" w:eastAsia="仿宋" w:cs="仿宋"/>
          <w:b w:val="0"/>
          <w:bCs w:val="0"/>
          <w:color w:val="auto"/>
          <w:sz w:val="24"/>
          <w:szCs w:val="24"/>
        </w:rPr>
      </w:pPr>
      <w:r>
        <w:rPr>
          <w:rStyle w:val="27"/>
          <w:rFonts w:hint="eastAsia" w:ascii="仿宋" w:hAnsi="仿宋" w:eastAsia="仿宋" w:cs="仿宋"/>
          <w:b/>
          <w:bCs/>
          <w:i w:val="0"/>
          <w:iCs w:val="0"/>
          <w:caps w:val="0"/>
          <w:color w:val="auto"/>
          <w:spacing w:val="0"/>
          <w:sz w:val="24"/>
          <w:szCs w:val="24"/>
          <w:shd w:val="clear" w:fill="FFFFFF"/>
        </w:rPr>
        <w:t>四、提交投标文件截止时间、开标时间和地点</w:t>
      </w:r>
    </w:p>
    <w:p w14:paraId="21C84F0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时间： 2026年10月29日</w:t>
      </w:r>
      <w:r>
        <w:rPr>
          <w:rFonts w:hint="eastAsia" w:ascii="仿宋" w:hAnsi="仿宋" w:eastAsia="仿宋" w:cs="仿宋"/>
          <w:i w:val="0"/>
          <w:iCs w:val="0"/>
          <w:caps w:val="0"/>
          <w:color w:val="auto"/>
          <w:spacing w:val="0"/>
          <w:sz w:val="24"/>
          <w:szCs w:val="24"/>
          <w:shd w:val="clear" w:fill="FFFFFF"/>
          <w:lang w:val="en-US" w:eastAsia="zh-CN"/>
        </w:rPr>
        <w:t>14</w:t>
      </w:r>
      <w:r>
        <w:rPr>
          <w:rFonts w:hint="eastAsia" w:ascii="仿宋" w:hAnsi="仿宋" w:eastAsia="仿宋" w:cs="仿宋"/>
          <w:i w:val="0"/>
          <w:iCs w:val="0"/>
          <w:caps w:val="0"/>
          <w:color w:val="auto"/>
          <w:spacing w:val="0"/>
          <w:sz w:val="24"/>
          <w:szCs w:val="24"/>
          <w:shd w:val="clear" w:fill="FFFFFF"/>
        </w:rPr>
        <w:t>时</w:t>
      </w:r>
      <w:r>
        <w:rPr>
          <w:rFonts w:hint="eastAsia" w:ascii="仿宋" w:hAnsi="仿宋" w:eastAsia="仿宋" w:cs="仿宋"/>
          <w:i w:val="0"/>
          <w:iCs w:val="0"/>
          <w:caps w:val="0"/>
          <w:color w:val="auto"/>
          <w:spacing w:val="0"/>
          <w:sz w:val="24"/>
          <w:szCs w:val="24"/>
          <w:shd w:val="clear" w:fill="FFFFFF"/>
          <w:lang w:val="en-US" w:eastAsia="zh-CN"/>
        </w:rPr>
        <w:t>30</w:t>
      </w:r>
      <w:r>
        <w:rPr>
          <w:rFonts w:hint="eastAsia" w:ascii="仿宋" w:hAnsi="仿宋" w:eastAsia="仿宋" w:cs="仿宋"/>
          <w:i w:val="0"/>
          <w:iCs w:val="0"/>
          <w:caps w:val="0"/>
          <w:color w:val="auto"/>
          <w:spacing w:val="0"/>
          <w:sz w:val="24"/>
          <w:szCs w:val="24"/>
          <w:shd w:val="clear" w:fill="FFFFFF"/>
        </w:rPr>
        <w:t>分（北京时间）</w:t>
      </w:r>
    </w:p>
    <w:p w14:paraId="4427D74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提交投标文件地点：延安市公共资源交易中心开标</w:t>
      </w:r>
      <w:r>
        <w:rPr>
          <w:rFonts w:hint="eastAsia" w:ascii="仿宋" w:hAnsi="仿宋" w:eastAsia="仿宋" w:cs="仿宋"/>
          <w:i w:val="0"/>
          <w:iCs w:val="0"/>
          <w:caps w:val="0"/>
          <w:color w:val="auto"/>
          <w:spacing w:val="0"/>
          <w:sz w:val="24"/>
          <w:szCs w:val="24"/>
          <w:shd w:val="clear" w:fill="FFFFFF"/>
          <w:lang w:val="en-US" w:eastAsia="zh-CN"/>
        </w:rPr>
        <w:t>5</w:t>
      </w:r>
      <w:r>
        <w:rPr>
          <w:rFonts w:hint="eastAsia" w:ascii="仿宋" w:hAnsi="仿宋" w:eastAsia="仿宋" w:cs="仿宋"/>
          <w:i w:val="0"/>
          <w:iCs w:val="0"/>
          <w:caps w:val="0"/>
          <w:color w:val="auto"/>
          <w:spacing w:val="0"/>
          <w:sz w:val="24"/>
          <w:szCs w:val="24"/>
          <w:shd w:val="clear" w:fill="FFFFFF"/>
        </w:rPr>
        <w:t>室</w:t>
      </w:r>
    </w:p>
    <w:p w14:paraId="7DCB402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开标地点：延安市公共资源交易中心开标</w:t>
      </w:r>
      <w:r>
        <w:rPr>
          <w:rFonts w:hint="eastAsia" w:ascii="仿宋" w:hAnsi="仿宋" w:eastAsia="仿宋" w:cs="仿宋"/>
          <w:i w:val="0"/>
          <w:iCs w:val="0"/>
          <w:caps w:val="0"/>
          <w:color w:val="auto"/>
          <w:spacing w:val="0"/>
          <w:sz w:val="24"/>
          <w:szCs w:val="24"/>
          <w:shd w:val="clear" w:fill="FFFFFF"/>
          <w:lang w:val="en-US" w:eastAsia="zh-CN"/>
        </w:rPr>
        <w:t>5</w:t>
      </w:r>
      <w:r>
        <w:rPr>
          <w:rFonts w:hint="eastAsia" w:ascii="仿宋" w:hAnsi="仿宋" w:eastAsia="仿宋" w:cs="仿宋"/>
          <w:i w:val="0"/>
          <w:iCs w:val="0"/>
          <w:caps w:val="0"/>
          <w:color w:val="auto"/>
          <w:spacing w:val="0"/>
          <w:sz w:val="24"/>
          <w:szCs w:val="24"/>
          <w:shd w:val="clear" w:fill="FFFFFF"/>
        </w:rPr>
        <w:t>室</w:t>
      </w:r>
    </w:p>
    <w:p w14:paraId="7E5F732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Autospacing="0" w:line="420" w:lineRule="exact"/>
        <w:ind w:left="0" w:right="0" w:firstLine="482" w:firstLineChars="200"/>
        <w:jc w:val="left"/>
        <w:textAlignment w:val="auto"/>
        <w:rPr>
          <w:rFonts w:hint="eastAsia" w:ascii="仿宋" w:hAnsi="仿宋" w:eastAsia="仿宋" w:cs="仿宋"/>
          <w:b w:val="0"/>
          <w:bCs w:val="0"/>
          <w:color w:val="auto"/>
          <w:sz w:val="24"/>
          <w:szCs w:val="24"/>
        </w:rPr>
      </w:pPr>
      <w:r>
        <w:rPr>
          <w:rStyle w:val="27"/>
          <w:rFonts w:hint="eastAsia" w:ascii="仿宋" w:hAnsi="仿宋" w:eastAsia="仿宋" w:cs="仿宋"/>
          <w:b/>
          <w:bCs/>
          <w:i w:val="0"/>
          <w:iCs w:val="0"/>
          <w:caps w:val="0"/>
          <w:color w:val="auto"/>
          <w:spacing w:val="0"/>
          <w:sz w:val="24"/>
          <w:szCs w:val="24"/>
          <w:shd w:val="clear" w:fill="FFFFFF"/>
        </w:rPr>
        <w:t>五、公告期限</w:t>
      </w:r>
    </w:p>
    <w:p w14:paraId="5E5DE34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自本公告发布之日起5个工作日。</w:t>
      </w:r>
    </w:p>
    <w:p w14:paraId="6AB4B9E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Autospacing="0" w:line="420" w:lineRule="exact"/>
        <w:ind w:left="0" w:right="0" w:firstLine="482" w:firstLineChars="200"/>
        <w:jc w:val="left"/>
        <w:textAlignment w:val="auto"/>
        <w:rPr>
          <w:rFonts w:hint="eastAsia" w:ascii="仿宋" w:hAnsi="仿宋" w:eastAsia="仿宋" w:cs="仿宋"/>
          <w:b w:val="0"/>
          <w:bCs w:val="0"/>
          <w:color w:val="auto"/>
          <w:sz w:val="24"/>
          <w:szCs w:val="24"/>
        </w:rPr>
      </w:pPr>
      <w:r>
        <w:rPr>
          <w:rStyle w:val="27"/>
          <w:rFonts w:hint="eastAsia" w:ascii="仿宋" w:hAnsi="仿宋" w:eastAsia="仿宋" w:cs="仿宋"/>
          <w:b/>
          <w:bCs/>
          <w:i w:val="0"/>
          <w:iCs w:val="0"/>
          <w:caps w:val="0"/>
          <w:color w:val="auto"/>
          <w:spacing w:val="0"/>
          <w:sz w:val="24"/>
          <w:szCs w:val="24"/>
          <w:shd w:val="clear" w:fill="FFFFFF"/>
        </w:rPr>
        <w:t>六、其他补充事宜</w:t>
      </w:r>
    </w:p>
    <w:p w14:paraId="25A23A3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1、凡有意参与的供应商请于2026年10月09日至2026年10月14日（公休日除外）使用CA锁在全国公共资源交易平台（陕西省·延安市）选择电子交易平台中的陕西政府采购交易系统进行登录，登录后选择“交易乙方”身份进入供应商界面进行网上确认,确认成功后在《全国公共资源交易平台（陕西省·延安市）》免费下载招标文件。</w:t>
      </w:r>
    </w:p>
    <w:p w14:paraId="4D3021B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2、纸质版投标文件递交地点：延安市公共资源交易中心开标5室，电子投标文件递交地点：上传至《全国公共资源交易平台（陕西省·延安市）》电子招投标系统。投标文件递交的具体要求详见招标文件的规定。</w:t>
      </w:r>
    </w:p>
    <w:p w14:paraId="3189FE7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3、逾期送达、未送达指定地点或上传的投标文件，采购人不予受理。</w:t>
      </w:r>
    </w:p>
    <w:p w14:paraId="31DF86E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4、本次招标公告在《陕西省政府采购网》、《全国公共资源交易平台（陕西省.延安市）》媒介上发布。</w:t>
      </w:r>
    </w:p>
    <w:p w14:paraId="7636477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5、本次采购采取线上不见面开标模式。</w:t>
      </w:r>
    </w:p>
    <w:p w14:paraId="28F333B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2" w:firstLineChars="200"/>
        <w:jc w:val="both"/>
        <w:textAlignment w:val="auto"/>
        <w:rPr>
          <w:rFonts w:hint="eastAsia" w:ascii="仿宋" w:hAnsi="仿宋" w:eastAsia="仿宋" w:cs="仿宋"/>
          <w:color w:val="auto"/>
          <w:sz w:val="24"/>
          <w:szCs w:val="24"/>
        </w:rPr>
      </w:pPr>
      <w:r>
        <w:rPr>
          <w:rStyle w:val="27"/>
          <w:rFonts w:hint="eastAsia" w:ascii="仿宋" w:hAnsi="仿宋" w:eastAsia="仿宋" w:cs="仿宋"/>
          <w:b/>
          <w:bCs/>
          <w:i w:val="0"/>
          <w:iCs w:val="0"/>
          <w:caps w:val="0"/>
          <w:color w:val="auto"/>
          <w:spacing w:val="0"/>
          <w:kern w:val="0"/>
          <w:sz w:val="24"/>
          <w:szCs w:val="24"/>
          <w:shd w:val="clear" w:fill="FFFFFF"/>
          <w:lang w:val="en-US" w:eastAsia="zh-CN" w:bidi="ar"/>
        </w:rPr>
        <w:t>6、项目名称：延安市行政审批服务局延安市政务服务城市频道建设及运营（大厅硬件设备改造项目）</w:t>
      </w:r>
    </w:p>
    <w:p w14:paraId="0AB152E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7、本项目需要落实的政府采购政策：《政府采购促进中小企业发展管理办法》的通知（财库〔2020〕46号）；（2）财政部司法部关于政府采购支持监狱企业发展有关问题的通知--财库〔2014〕68号；（3）《国务院办公厅关于建立政府强制采购节能产品制度的通知》--国办发〔2007〕51号；（4）《关于促进残疾人就业政府采购政策的通知》财库〔2017〕141号；（5）陕西省财政厅关于印发《陕西省中小企业政府采购信用融资办法》（陕财办采〔2018〕23号）；（6）《财政部 发展改革委 生态环境部 市场监管总局关于调整优化节能产品、环境标志产品政府采购执行机制的通知》（财库〔2019〕9号）；（7）其他需要落实的政府采购政策。</w:t>
      </w:r>
    </w:p>
    <w:p w14:paraId="7422BC6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Autospacing="0" w:line="420" w:lineRule="exact"/>
        <w:ind w:left="0" w:right="0" w:firstLine="482" w:firstLineChars="200"/>
        <w:jc w:val="left"/>
        <w:textAlignment w:val="auto"/>
        <w:rPr>
          <w:rFonts w:hint="eastAsia" w:ascii="仿宋" w:hAnsi="仿宋" w:eastAsia="仿宋" w:cs="仿宋"/>
          <w:b w:val="0"/>
          <w:bCs w:val="0"/>
          <w:color w:val="auto"/>
          <w:sz w:val="24"/>
          <w:szCs w:val="24"/>
        </w:rPr>
      </w:pPr>
      <w:r>
        <w:rPr>
          <w:rStyle w:val="27"/>
          <w:rFonts w:hint="eastAsia" w:ascii="仿宋" w:hAnsi="仿宋" w:eastAsia="仿宋" w:cs="仿宋"/>
          <w:b/>
          <w:bCs/>
          <w:i w:val="0"/>
          <w:iCs w:val="0"/>
          <w:caps w:val="0"/>
          <w:color w:val="auto"/>
          <w:spacing w:val="0"/>
          <w:sz w:val="24"/>
          <w:szCs w:val="24"/>
          <w:shd w:val="clear" w:fill="FFFFFF"/>
        </w:rPr>
        <w:t>七、对本次招标提出询问，请按以下方式联系。</w:t>
      </w:r>
    </w:p>
    <w:p w14:paraId="5DBD927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firstLineChars="20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1.采购人信息</w:t>
      </w:r>
    </w:p>
    <w:p w14:paraId="7B8A9AE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名称：延安市行政审批服务局</w:t>
      </w:r>
    </w:p>
    <w:p w14:paraId="374D6DE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地址：延安市新区为民服务中心七号楼4楼</w:t>
      </w:r>
    </w:p>
    <w:p w14:paraId="02349BC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联系方式：19991144438</w:t>
      </w:r>
    </w:p>
    <w:p w14:paraId="12FD0EA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firstLineChars="20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2.采购代理机构信息</w:t>
      </w:r>
    </w:p>
    <w:p w14:paraId="2E60469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名称：品智工程咨询有限公司</w:t>
      </w:r>
    </w:p>
    <w:p w14:paraId="3C9B221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地址：陕西省西安市经济技术开发区长和国际A座1502室</w:t>
      </w:r>
    </w:p>
    <w:p w14:paraId="048FBE7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联系方式：15667672797</w:t>
      </w:r>
    </w:p>
    <w:p w14:paraId="76F439C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firstLineChars="20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3.项目联系方式</w:t>
      </w:r>
    </w:p>
    <w:p w14:paraId="1998E20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项目联系人：袁新洁</w:t>
      </w:r>
    </w:p>
    <w:p w14:paraId="59527D5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电话：15129883713</w:t>
      </w:r>
    </w:p>
    <w:p w14:paraId="2A89E052">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0"/>
        <w:rPr>
          <w:rFonts w:hint="eastAsia" w:ascii="仿宋" w:hAnsi="仿宋" w:eastAsia="仿宋" w:cs="仿宋"/>
          <w:b/>
          <w:bCs/>
          <w:color w:val="auto"/>
          <w:sz w:val="32"/>
          <w:szCs w:val="32"/>
          <w:highlight w:val="none"/>
        </w:rPr>
        <w:sectPr>
          <w:headerReference r:id="rId10" w:type="default"/>
          <w:footerReference r:id="rId11" w:type="default"/>
          <w:pgSz w:w="11900" w:h="16838"/>
          <w:pgMar w:top="1440" w:right="1349" w:bottom="1440" w:left="1349" w:header="0" w:footer="0" w:gutter="0"/>
          <w:pgBorders>
            <w:top w:val="none" w:sz="0" w:space="0"/>
            <w:left w:val="none" w:sz="0" w:space="0"/>
            <w:bottom w:val="none" w:sz="0" w:space="0"/>
            <w:right w:val="none" w:sz="0" w:space="0"/>
          </w:pgBorders>
          <w:pgNumType w:fmt="decimal" w:start="1"/>
          <w:cols w:equalWidth="0" w:num="1">
            <w:col w:w="9420"/>
          </w:cols>
        </w:sectPr>
      </w:pPr>
    </w:p>
    <w:p w14:paraId="58038DC8">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第二部分  供应商须知</w:t>
      </w:r>
      <w:bookmarkEnd w:id="3"/>
      <w:bookmarkEnd w:id="4"/>
      <w:bookmarkEnd w:id="5"/>
    </w:p>
    <w:p w14:paraId="4D664B22">
      <w:pPr>
        <w:pageBreakBefore w:val="0"/>
        <w:bidi w:val="0"/>
        <w:spacing w:line="460" w:lineRule="exact"/>
        <w:jc w:val="left"/>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供应商须知前附表</w:t>
      </w:r>
    </w:p>
    <w:tbl>
      <w:tblPr>
        <w:tblStyle w:val="24"/>
        <w:tblW w:w="10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017"/>
        <w:gridCol w:w="7164"/>
      </w:tblGrid>
      <w:tr w14:paraId="5F13F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00" w:type="dxa"/>
            <w:vAlign w:val="center"/>
          </w:tcPr>
          <w:p w14:paraId="0FE7C9F8">
            <w:pPr>
              <w:pageBreakBefore w:val="0"/>
              <w:bidi w:val="0"/>
              <w:spacing w:line="460" w:lineRule="exact"/>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2017" w:type="dxa"/>
            <w:vAlign w:val="center"/>
          </w:tcPr>
          <w:p w14:paraId="3AC8620B">
            <w:pPr>
              <w:pageBreakBefore w:val="0"/>
              <w:bidi w:val="0"/>
              <w:spacing w:line="460" w:lineRule="exact"/>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条款名称</w:t>
            </w:r>
          </w:p>
        </w:tc>
        <w:tc>
          <w:tcPr>
            <w:tcW w:w="7164" w:type="dxa"/>
          </w:tcPr>
          <w:p w14:paraId="56DA9AE6">
            <w:pPr>
              <w:pageBreakBefore w:val="0"/>
              <w:bidi w:val="0"/>
              <w:spacing w:line="460" w:lineRule="exact"/>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说明和要求</w:t>
            </w:r>
          </w:p>
        </w:tc>
      </w:tr>
      <w:tr w14:paraId="11550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jc w:val="center"/>
        </w:trPr>
        <w:tc>
          <w:tcPr>
            <w:tcW w:w="900" w:type="dxa"/>
            <w:vAlign w:val="center"/>
          </w:tcPr>
          <w:p w14:paraId="7387B911">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2017" w:type="dxa"/>
            <w:vAlign w:val="center"/>
          </w:tcPr>
          <w:p w14:paraId="6F17BB3B">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w:t>
            </w:r>
          </w:p>
        </w:tc>
        <w:tc>
          <w:tcPr>
            <w:tcW w:w="7164" w:type="dxa"/>
          </w:tcPr>
          <w:p w14:paraId="5256870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延安市行政审批服务局</w:t>
            </w:r>
          </w:p>
          <w:p w14:paraId="05804D2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地址：延安市新区为民服务中心七号楼4楼</w:t>
            </w:r>
          </w:p>
          <w:p w14:paraId="1BFCD77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val="en-US" w:eastAsia="zh-CN"/>
              </w:rPr>
              <w:t>刘勇</w:t>
            </w:r>
          </w:p>
          <w:p w14:paraId="7677667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val="en-US" w:eastAsia="zh-CN"/>
              </w:rPr>
              <w:t>:19991144438</w:t>
            </w:r>
          </w:p>
        </w:tc>
      </w:tr>
      <w:tr w14:paraId="7B90A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jc w:val="center"/>
        </w:trPr>
        <w:tc>
          <w:tcPr>
            <w:tcW w:w="900" w:type="dxa"/>
            <w:vAlign w:val="center"/>
          </w:tcPr>
          <w:p w14:paraId="3FB30512">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2017" w:type="dxa"/>
            <w:vAlign w:val="center"/>
          </w:tcPr>
          <w:p w14:paraId="6BEF6020">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采购代理机构</w:t>
            </w:r>
          </w:p>
        </w:tc>
        <w:tc>
          <w:tcPr>
            <w:tcW w:w="7164" w:type="dxa"/>
          </w:tcPr>
          <w:p w14:paraId="248A102E">
            <w:pPr>
              <w:pageBreakBefore w:val="0"/>
              <w:bidi w:val="0"/>
              <w:spacing w:line="460" w:lineRule="exact"/>
              <w:outlineLvl w:val="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品智工程咨询有限公司</w:t>
            </w:r>
          </w:p>
          <w:p w14:paraId="0A18EBF5">
            <w:pPr>
              <w:pageBreakBefore w:val="0"/>
              <w:bidi w:val="0"/>
              <w:spacing w:line="46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地址：陕西省西安市经济技术开发区长和国际A座1502室</w:t>
            </w:r>
          </w:p>
          <w:p w14:paraId="719916FD">
            <w:pPr>
              <w:pageBreakBefore w:val="0"/>
              <w:bidi w:val="0"/>
              <w:spacing w:line="460" w:lineRule="exact"/>
              <w:outlineLvl w:val="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联系人：袁新洁</w:t>
            </w:r>
          </w:p>
          <w:p w14:paraId="563C790B">
            <w:pPr>
              <w:pageBreakBefore w:val="0"/>
              <w:bidi w:val="0"/>
              <w:spacing w:line="460" w:lineRule="exac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联系方式：15667672797</w:t>
            </w:r>
          </w:p>
        </w:tc>
      </w:tr>
      <w:tr w14:paraId="11158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00" w:type="dxa"/>
            <w:vAlign w:val="center"/>
          </w:tcPr>
          <w:p w14:paraId="33BE609B">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2017" w:type="dxa"/>
            <w:vAlign w:val="center"/>
          </w:tcPr>
          <w:p w14:paraId="7DA6090A">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7164" w:type="dxa"/>
          </w:tcPr>
          <w:p w14:paraId="20566721">
            <w:pPr>
              <w:pageBreakBefore w:val="0"/>
              <w:bidi w:val="0"/>
              <w:spacing w:line="460" w:lineRule="exact"/>
              <w:outlineLvl w:val="9"/>
              <w:rPr>
                <w:rFonts w:hint="eastAsia" w:ascii="仿宋" w:hAnsi="仿宋" w:eastAsia="仿宋" w:cs="仿宋"/>
                <w:color w:val="auto"/>
                <w:spacing w:val="-6"/>
                <w:sz w:val="28"/>
                <w:szCs w:val="28"/>
                <w:highlight w:val="none"/>
                <w:lang w:val="en-US" w:eastAsia="zh-CN"/>
              </w:rPr>
            </w:pPr>
            <w:r>
              <w:rPr>
                <w:rFonts w:hint="eastAsia" w:ascii="仿宋" w:hAnsi="仿宋" w:eastAsia="仿宋" w:cs="仿宋"/>
                <w:color w:val="auto"/>
                <w:spacing w:val="-6"/>
                <w:sz w:val="28"/>
                <w:szCs w:val="28"/>
                <w:highlight w:val="none"/>
                <w:lang w:val="en-US" w:eastAsia="zh-CN"/>
              </w:rPr>
              <w:t>延安市行政审批服务局延安市政务服务城市频道建设及运营（大厅硬件设备改造项目）</w:t>
            </w:r>
          </w:p>
        </w:tc>
      </w:tr>
      <w:tr w14:paraId="3EEA8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00" w:type="dxa"/>
            <w:vAlign w:val="center"/>
          </w:tcPr>
          <w:p w14:paraId="6D50E51E">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2017" w:type="dxa"/>
            <w:vAlign w:val="center"/>
          </w:tcPr>
          <w:p w14:paraId="12B5834F">
            <w:pPr>
              <w:pageBreakBefore w:val="0"/>
              <w:bidi w:val="0"/>
              <w:spacing w:line="460" w:lineRule="exact"/>
              <w:jc w:val="center"/>
              <w:outlineLvl w:val="9"/>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项目编号</w:t>
            </w:r>
          </w:p>
        </w:tc>
        <w:tc>
          <w:tcPr>
            <w:tcW w:w="7164" w:type="dxa"/>
          </w:tcPr>
          <w:p w14:paraId="6D9EADFC">
            <w:pPr>
              <w:pageBreakBefore w:val="0"/>
              <w:bidi w:val="0"/>
              <w:spacing w:line="460" w:lineRule="exact"/>
              <w:outlineLvl w:val="9"/>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PZZX-26-B072</w:t>
            </w:r>
          </w:p>
        </w:tc>
      </w:tr>
      <w:tr w14:paraId="1798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00" w:type="dxa"/>
            <w:vAlign w:val="center"/>
          </w:tcPr>
          <w:p w14:paraId="279C43E6">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c>
          <w:tcPr>
            <w:tcW w:w="2017" w:type="dxa"/>
            <w:vAlign w:val="center"/>
          </w:tcPr>
          <w:p w14:paraId="65DB2FA0">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项目性质</w:t>
            </w:r>
          </w:p>
        </w:tc>
        <w:tc>
          <w:tcPr>
            <w:tcW w:w="7164" w:type="dxa"/>
          </w:tcPr>
          <w:p w14:paraId="39B854F3">
            <w:pPr>
              <w:pageBreakBefore w:val="0"/>
              <w:bidi w:val="0"/>
              <w:spacing w:line="460" w:lineRule="exac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w:t>
            </w:r>
          </w:p>
        </w:tc>
      </w:tr>
      <w:tr w14:paraId="1EF6B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900" w:type="dxa"/>
            <w:vAlign w:val="center"/>
          </w:tcPr>
          <w:p w14:paraId="6DC45CDC">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p>
        </w:tc>
        <w:tc>
          <w:tcPr>
            <w:tcW w:w="2017" w:type="dxa"/>
            <w:vAlign w:val="center"/>
          </w:tcPr>
          <w:p w14:paraId="7958240B">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采购项目预算</w:t>
            </w:r>
          </w:p>
        </w:tc>
        <w:tc>
          <w:tcPr>
            <w:tcW w:w="7164" w:type="dxa"/>
            <w:vAlign w:val="center"/>
          </w:tcPr>
          <w:p w14:paraId="30B9BFCC">
            <w:pPr>
              <w:pageBreakBefore w:val="0"/>
              <w:bidi w:val="0"/>
              <w:spacing w:line="460" w:lineRule="exact"/>
              <w:jc w:val="both"/>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3222900.00元</w:t>
            </w:r>
          </w:p>
        </w:tc>
      </w:tr>
      <w:tr w14:paraId="19556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00" w:type="dxa"/>
            <w:vAlign w:val="center"/>
          </w:tcPr>
          <w:p w14:paraId="060B96B9">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p>
        </w:tc>
        <w:tc>
          <w:tcPr>
            <w:tcW w:w="2017" w:type="dxa"/>
            <w:vAlign w:val="center"/>
          </w:tcPr>
          <w:p w14:paraId="76ABA41B">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项目用途</w:t>
            </w:r>
          </w:p>
        </w:tc>
        <w:tc>
          <w:tcPr>
            <w:tcW w:w="7164" w:type="dxa"/>
          </w:tcPr>
          <w:p w14:paraId="77753AEB">
            <w:pPr>
              <w:pageBreakBefore w:val="0"/>
              <w:bidi w:val="0"/>
              <w:spacing w:line="460" w:lineRule="exac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w:t>
            </w:r>
          </w:p>
        </w:tc>
      </w:tr>
      <w:tr w14:paraId="0C19F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900" w:type="dxa"/>
            <w:vAlign w:val="center"/>
          </w:tcPr>
          <w:p w14:paraId="0E0FE783">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p>
        </w:tc>
        <w:tc>
          <w:tcPr>
            <w:tcW w:w="2017" w:type="dxa"/>
            <w:vAlign w:val="center"/>
          </w:tcPr>
          <w:p w14:paraId="278C26FA">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采购内容</w:t>
            </w:r>
          </w:p>
        </w:tc>
        <w:tc>
          <w:tcPr>
            <w:tcW w:w="7164" w:type="dxa"/>
            <w:vAlign w:val="center"/>
          </w:tcPr>
          <w:p w14:paraId="42C26C06">
            <w:pP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val="en-US" w:eastAsia="zh-CN" w:bidi="ar"/>
              </w:rPr>
              <w:t>政务服务大厅设施设备（大屏）智能化升级改造工程</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kern w:val="0"/>
                <w:sz w:val="28"/>
                <w:szCs w:val="28"/>
                <w:highlight w:val="none"/>
                <w:lang w:val="en-US" w:eastAsia="zh-CN" w:bidi="ar"/>
              </w:rPr>
              <w:t>智慧叫号设施设备及系统整体升级改造工程</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kern w:val="0"/>
                <w:sz w:val="28"/>
                <w:szCs w:val="28"/>
                <w:highlight w:val="none"/>
                <w:lang w:val="en-US" w:eastAsia="zh-CN" w:bidi="ar"/>
              </w:rPr>
              <w:t>原有设施拆除及场地恢复工程、档案室配套设施建设工程</w:t>
            </w:r>
            <w:r>
              <w:rPr>
                <w:rFonts w:hint="eastAsia" w:ascii="仿宋" w:hAnsi="仿宋" w:eastAsia="仿宋" w:cs="仿宋"/>
                <w:color w:val="auto"/>
                <w:sz w:val="28"/>
                <w:szCs w:val="28"/>
                <w:highlight w:val="none"/>
                <w:lang w:val="en-US" w:eastAsia="zh-CN"/>
              </w:rPr>
              <w:t>（具体详见采购清单）</w:t>
            </w:r>
          </w:p>
        </w:tc>
      </w:tr>
      <w:tr w14:paraId="175F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00" w:type="dxa"/>
            <w:vAlign w:val="center"/>
          </w:tcPr>
          <w:p w14:paraId="0D934E9E">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p>
        </w:tc>
        <w:tc>
          <w:tcPr>
            <w:tcW w:w="2017" w:type="dxa"/>
            <w:vAlign w:val="center"/>
          </w:tcPr>
          <w:p w14:paraId="1239A4A7">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交货期</w:t>
            </w:r>
          </w:p>
        </w:tc>
        <w:tc>
          <w:tcPr>
            <w:tcW w:w="7164" w:type="dxa"/>
            <w:vAlign w:val="center"/>
          </w:tcPr>
          <w:p w14:paraId="2A65655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自合同签订之日起15日历天</w:t>
            </w:r>
          </w:p>
        </w:tc>
      </w:tr>
      <w:tr w14:paraId="73395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00" w:type="dxa"/>
            <w:vAlign w:val="center"/>
          </w:tcPr>
          <w:p w14:paraId="748A745C">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p>
        </w:tc>
        <w:tc>
          <w:tcPr>
            <w:tcW w:w="2017" w:type="dxa"/>
            <w:vAlign w:val="center"/>
          </w:tcPr>
          <w:p w14:paraId="5852235F">
            <w:pPr>
              <w:pageBreakBefore w:val="0"/>
              <w:bidi w:val="0"/>
              <w:spacing w:line="460" w:lineRule="exact"/>
              <w:jc w:val="center"/>
              <w:outlineLvl w:val="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招标文件</w:t>
            </w:r>
            <w:r>
              <w:rPr>
                <w:rFonts w:hint="eastAsia" w:ascii="仿宋" w:hAnsi="仿宋" w:eastAsia="仿宋" w:cs="仿宋"/>
                <w:color w:val="auto"/>
                <w:sz w:val="28"/>
                <w:szCs w:val="28"/>
                <w:highlight w:val="none"/>
                <w:lang w:val="en-US" w:eastAsia="zh-CN"/>
              </w:rPr>
              <w:t>获取</w:t>
            </w:r>
          </w:p>
        </w:tc>
        <w:tc>
          <w:tcPr>
            <w:tcW w:w="7164" w:type="dxa"/>
          </w:tcPr>
          <w:p w14:paraId="18424CFE">
            <w:pPr>
              <w:pStyle w:val="45"/>
              <w:pageBreakBefore w:val="0"/>
              <w:bidi w:val="0"/>
              <w:spacing w:line="460" w:lineRule="exact"/>
              <w:outlineLvl w:val="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2026年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lang w:eastAsia="zh-CN"/>
              </w:rPr>
              <w:t>日至2026年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lang w:eastAsia="zh-CN"/>
              </w:rPr>
              <w:t>日（</w:t>
            </w:r>
            <w:r>
              <w:rPr>
                <w:rFonts w:hint="eastAsia" w:ascii="仿宋" w:hAnsi="仿宋" w:eastAsia="仿宋" w:cs="仿宋"/>
                <w:color w:val="auto"/>
                <w:sz w:val="28"/>
                <w:szCs w:val="28"/>
                <w:highlight w:val="none"/>
                <w:lang w:val="en-US" w:eastAsia="zh-CN"/>
              </w:rPr>
              <w:t>公休日除外</w:t>
            </w:r>
            <w:r>
              <w:rPr>
                <w:rFonts w:hint="eastAsia" w:ascii="仿宋" w:hAnsi="仿宋" w:eastAsia="仿宋" w:cs="仿宋"/>
                <w:color w:val="auto"/>
                <w:sz w:val="28"/>
                <w:szCs w:val="28"/>
                <w:highlight w:val="none"/>
                <w:lang w:eastAsia="zh-CN"/>
              </w:rPr>
              <w:t>），每天上午08:00:00至12:00:00，下午12:00:00至18:00:00（北京时间）</w:t>
            </w:r>
          </w:p>
        </w:tc>
      </w:tr>
      <w:tr w14:paraId="25EE9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900" w:type="dxa"/>
            <w:vAlign w:val="center"/>
          </w:tcPr>
          <w:p w14:paraId="76D9435A">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w:t>
            </w:r>
          </w:p>
        </w:tc>
        <w:tc>
          <w:tcPr>
            <w:tcW w:w="2017" w:type="dxa"/>
            <w:vAlign w:val="center"/>
          </w:tcPr>
          <w:p w14:paraId="368CB62A">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联合体投标</w:t>
            </w:r>
          </w:p>
        </w:tc>
        <w:tc>
          <w:tcPr>
            <w:tcW w:w="7164" w:type="dxa"/>
            <w:vAlign w:val="center"/>
          </w:tcPr>
          <w:p w14:paraId="68F2C71F">
            <w:pPr>
              <w:pageBreakBefore w:val="0"/>
              <w:bidi w:val="0"/>
              <w:spacing w:line="46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不接受</w:t>
            </w:r>
            <w:bookmarkStart w:id="33" w:name="_GoBack"/>
            <w:bookmarkEnd w:id="33"/>
          </w:p>
        </w:tc>
      </w:tr>
      <w:tr w14:paraId="64F83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900" w:type="dxa"/>
            <w:vAlign w:val="center"/>
          </w:tcPr>
          <w:p w14:paraId="0C847330">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w:t>
            </w:r>
          </w:p>
        </w:tc>
        <w:tc>
          <w:tcPr>
            <w:tcW w:w="2017" w:type="dxa"/>
            <w:vAlign w:val="center"/>
          </w:tcPr>
          <w:p w14:paraId="71EB890A">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现场勘查、标前答疑会</w:t>
            </w:r>
          </w:p>
        </w:tc>
        <w:tc>
          <w:tcPr>
            <w:tcW w:w="7164" w:type="dxa"/>
            <w:vAlign w:val="center"/>
          </w:tcPr>
          <w:p w14:paraId="42B270DE">
            <w:pPr>
              <w:pageBreakBefore w:val="0"/>
              <w:bidi w:val="0"/>
              <w:spacing w:line="46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不组织。</w:t>
            </w:r>
          </w:p>
        </w:tc>
      </w:tr>
      <w:tr w14:paraId="489F7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900" w:type="dxa"/>
            <w:vAlign w:val="center"/>
          </w:tcPr>
          <w:p w14:paraId="2B5024B2">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w:t>
            </w:r>
          </w:p>
        </w:tc>
        <w:tc>
          <w:tcPr>
            <w:tcW w:w="2017" w:type="dxa"/>
            <w:vAlign w:val="center"/>
          </w:tcPr>
          <w:p w14:paraId="3D348506">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供应商对招标文件提出</w:t>
            </w:r>
            <w:r>
              <w:rPr>
                <w:rFonts w:hint="eastAsia" w:ascii="仿宋" w:hAnsi="仿宋" w:eastAsia="仿宋" w:cs="仿宋"/>
                <w:color w:val="auto"/>
                <w:sz w:val="28"/>
                <w:szCs w:val="28"/>
                <w:highlight w:val="none"/>
                <w:lang w:eastAsia="zh-CN"/>
              </w:rPr>
              <w:t>问题</w:t>
            </w:r>
            <w:r>
              <w:rPr>
                <w:rFonts w:hint="eastAsia" w:ascii="仿宋" w:hAnsi="仿宋" w:eastAsia="仿宋" w:cs="仿宋"/>
                <w:color w:val="auto"/>
                <w:sz w:val="28"/>
                <w:szCs w:val="28"/>
                <w:highlight w:val="none"/>
              </w:rPr>
              <w:t>的时间</w:t>
            </w:r>
          </w:p>
        </w:tc>
        <w:tc>
          <w:tcPr>
            <w:tcW w:w="7164" w:type="dxa"/>
            <w:vAlign w:val="center"/>
          </w:tcPr>
          <w:p w14:paraId="02FA12DC">
            <w:pPr>
              <w:pageBreakBefore w:val="0"/>
              <w:bidi w:val="0"/>
              <w:spacing w:line="460" w:lineRule="exact"/>
              <w:jc w:val="both"/>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供应商若对招标文件有</w:t>
            </w:r>
            <w:r>
              <w:rPr>
                <w:rFonts w:hint="eastAsia" w:ascii="仿宋" w:hAnsi="仿宋" w:eastAsia="仿宋" w:cs="仿宋"/>
                <w:color w:val="auto"/>
                <w:sz w:val="28"/>
                <w:szCs w:val="28"/>
                <w:highlight w:val="none"/>
                <w:lang w:eastAsia="zh-CN"/>
              </w:rPr>
              <w:t>疑问</w:t>
            </w:r>
            <w:r>
              <w:rPr>
                <w:rFonts w:hint="eastAsia" w:ascii="仿宋" w:hAnsi="仿宋" w:eastAsia="仿宋" w:cs="仿宋"/>
                <w:color w:val="auto"/>
                <w:sz w:val="28"/>
                <w:szCs w:val="28"/>
                <w:highlight w:val="none"/>
              </w:rPr>
              <w:t>的，在投标截止时间10日前，以书面形式向采购代理机构提出，在此之后提出的</w:t>
            </w:r>
            <w:r>
              <w:rPr>
                <w:rFonts w:hint="eastAsia" w:ascii="仿宋" w:hAnsi="仿宋" w:eastAsia="仿宋" w:cs="仿宋"/>
                <w:color w:val="auto"/>
                <w:sz w:val="28"/>
                <w:szCs w:val="28"/>
                <w:highlight w:val="none"/>
                <w:lang w:eastAsia="zh-CN"/>
              </w:rPr>
              <w:t>疑问</w:t>
            </w:r>
            <w:r>
              <w:rPr>
                <w:rFonts w:hint="eastAsia" w:ascii="仿宋" w:hAnsi="仿宋" w:eastAsia="仿宋" w:cs="仿宋"/>
                <w:color w:val="auto"/>
                <w:sz w:val="28"/>
                <w:szCs w:val="28"/>
                <w:highlight w:val="none"/>
              </w:rPr>
              <w:t>无效。</w:t>
            </w:r>
          </w:p>
        </w:tc>
      </w:tr>
      <w:tr w14:paraId="020B4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900" w:type="dxa"/>
            <w:vAlign w:val="center"/>
          </w:tcPr>
          <w:p w14:paraId="6096DFFB">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p>
        </w:tc>
        <w:tc>
          <w:tcPr>
            <w:tcW w:w="2017" w:type="dxa"/>
            <w:vAlign w:val="center"/>
          </w:tcPr>
          <w:p w14:paraId="08F86282">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构成招标文件的其他文件</w:t>
            </w:r>
          </w:p>
        </w:tc>
        <w:tc>
          <w:tcPr>
            <w:tcW w:w="7164" w:type="dxa"/>
            <w:vAlign w:val="center"/>
          </w:tcPr>
          <w:p w14:paraId="532094DB">
            <w:pPr>
              <w:pageBreakBefore w:val="0"/>
              <w:bidi w:val="0"/>
              <w:spacing w:line="460" w:lineRule="exact"/>
              <w:jc w:val="both"/>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招标文件的澄清、修改书及有关补充通知为招标文件的有效组成部分。</w:t>
            </w:r>
          </w:p>
        </w:tc>
      </w:tr>
      <w:tr w14:paraId="629B6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0" w:hRule="atLeast"/>
          <w:jc w:val="center"/>
        </w:trPr>
        <w:tc>
          <w:tcPr>
            <w:tcW w:w="900" w:type="dxa"/>
            <w:vAlign w:val="center"/>
          </w:tcPr>
          <w:p w14:paraId="0B56EF7D">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w:t>
            </w:r>
          </w:p>
        </w:tc>
        <w:tc>
          <w:tcPr>
            <w:tcW w:w="2017" w:type="dxa"/>
            <w:vAlign w:val="center"/>
          </w:tcPr>
          <w:p w14:paraId="24F9E231">
            <w:pPr>
              <w:pStyle w:val="45"/>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投标文件截止时间及开标时间和地点</w:t>
            </w:r>
          </w:p>
        </w:tc>
        <w:tc>
          <w:tcPr>
            <w:tcW w:w="7164" w:type="dxa"/>
          </w:tcPr>
          <w:p w14:paraId="26FAD60D">
            <w:pPr>
              <w:pageBreakBefore w:val="0"/>
              <w:numPr>
                <w:ilvl w:val="0"/>
                <w:numId w:val="1"/>
              </w:numPr>
              <w:bidi w:val="0"/>
              <w:spacing w:line="46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递交</w:t>
            </w:r>
            <w:r>
              <w:rPr>
                <w:rFonts w:hint="eastAsia" w:ascii="仿宋" w:hAnsi="仿宋" w:eastAsia="仿宋" w:cs="仿宋"/>
                <w:color w:val="auto"/>
                <w:sz w:val="28"/>
                <w:szCs w:val="28"/>
                <w:highlight w:val="none"/>
              </w:rPr>
              <w:t>投标文件截止时间：2026年10月29日</w:t>
            </w: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rPr>
              <w:t>时</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分</w:t>
            </w:r>
          </w:p>
          <w:p w14:paraId="57ECA6ED">
            <w:pPr>
              <w:pageBreakBefore w:val="0"/>
              <w:numPr>
                <w:ilvl w:val="0"/>
                <w:numId w:val="1"/>
              </w:numPr>
              <w:bidi w:val="0"/>
              <w:spacing w:line="46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投标文件开启时间</w:t>
            </w:r>
            <w:r>
              <w:rPr>
                <w:rFonts w:hint="eastAsia" w:ascii="仿宋" w:hAnsi="仿宋" w:eastAsia="仿宋" w:cs="仿宋"/>
                <w:color w:val="auto"/>
                <w:sz w:val="28"/>
                <w:szCs w:val="28"/>
                <w:highlight w:val="none"/>
                <w:lang w:eastAsia="zh-CN"/>
              </w:rPr>
              <w:t>：2026年10月29日</w:t>
            </w: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lang w:eastAsia="zh-CN"/>
              </w:rPr>
              <w:t>时</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lang w:eastAsia="zh-CN"/>
              </w:rPr>
              <w:t>分</w:t>
            </w:r>
          </w:p>
          <w:p w14:paraId="0B82281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50" w:lineRule="exact"/>
              <w:ind w:right="0"/>
              <w:jc w:val="both"/>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w:t>
            </w:r>
            <w:r>
              <w:rPr>
                <w:rFonts w:hint="eastAsia" w:ascii="仿宋" w:hAnsi="仿宋" w:eastAsia="仿宋" w:cs="仿宋"/>
                <w:color w:val="auto"/>
                <w:sz w:val="28"/>
                <w:szCs w:val="28"/>
                <w:highlight w:val="none"/>
                <w:lang w:val="en-US" w:eastAsia="zh-CN"/>
              </w:rPr>
              <w:t>文件递交</w:t>
            </w:r>
            <w:r>
              <w:rPr>
                <w:rFonts w:hint="eastAsia" w:ascii="仿宋" w:hAnsi="仿宋" w:eastAsia="仿宋" w:cs="仿宋"/>
                <w:color w:val="auto"/>
                <w:sz w:val="28"/>
                <w:szCs w:val="28"/>
                <w:highlight w:val="none"/>
              </w:rPr>
              <w:t>地点：</w:t>
            </w:r>
            <w:r>
              <w:rPr>
                <w:rFonts w:hint="eastAsia" w:ascii="仿宋" w:hAnsi="仿宋" w:eastAsia="仿宋" w:cs="仿宋"/>
                <w:i w:val="0"/>
                <w:iCs w:val="0"/>
                <w:caps w:val="0"/>
                <w:color w:val="auto"/>
                <w:spacing w:val="0"/>
                <w:kern w:val="0"/>
                <w:sz w:val="28"/>
                <w:szCs w:val="28"/>
                <w:highlight w:val="none"/>
                <w:shd w:val="clear" w:fill="FFFFFF"/>
                <w:lang w:val="en-US" w:eastAsia="zh-CN" w:bidi="ar"/>
              </w:rPr>
              <w:t>纸质版递交至</w:t>
            </w:r>
            <w:r>
              <w:rPr>
                <w:rFonts w:hint="eastAsia" w:ascii="仿宋" w:hAnsi="仿宋" w:eastAsia="仿宋" w:cs="仿宋"/>
                <w:i w:val="0"/>
                <w:iCs w:val="0"/>
                <w:caps w:val="0"/>
                <w:color w:val="auto"/>
                <w:spacing w:val="0"/>
                <w:sz w:val="28"/>
                <w:szCs w:val="28"/>
                <w:highlight w:val="none"/>
                <w:shd w:val="clear" w:fill="FFFFFF"/>
              </w:rPr>
              <w:t>延安市公共资源交易中心开标</w:t>
            </w:r>
            <w:r>
              <w:rPr>
                <w:rFonts w:hint="eastAsia" w:ascii="仿宋" w:hAnsi="仿宋" w:eastAsia="仿宋" w:cs="仿宋"/>
                <w:i w:val="0"/>
                <w:iCs w:val="0"/>
                <w:caps w:val="0"/>
                <w:color w:val="auto"/>
                <w:spacing w:val="0"/>
                <w:sz w:val="28"/>
                <w:szCs w:val="28"/>
                <w:highlight w:val="none"/>
                <w:shd w:val="clear" w:fill="FFFFFF"/>
                <w:lang w:val="en-US" w:eastAsia="zh-CN"/>
              </w:rPr>
              <w:t>5</w:t>
            </w:r>
            <w:r>
              <w:rPr>
                <w:rFonts w:hint="eastAsia" w:ascii="仿宋" w:hAnsi="仿宋" w:eastAsia="仿宋" w:cs="仿宋"/>
                <w:i w:val="0"/>
                <w:iCs w:val="0"/>
                <w:caps w:val="0"/>
                <w:color w:val="auto"/>
                <w:spacing w:val="0"/>
                <w:sz w:val="28"/>
                <w:szCs w:val="28"/>
                <w:highlight w:val="none"/>
                <w:shd w:val="clear" w:fill="FFFFFF"/>
              </w:rPr>
              <w:t>室</w:t>
            </w:r>
            <w:r>
              <w:rPr>
                <w:rFonts w:hint="eastAsia" w:ascii="仿宋" w:hAnsi="仿宋" w:eastAsia="仿宋" w:cs="仿宋"/>
                <w:i w:val="0"/>
                <w:iCs w:val="0"/>
                <w:caps w:val="0"/>
                <w:color w:val="auto"/>
                <w:spacing w:val="0"/>
                <w:kern w:val="0"/>
                <w:sz w:val="28"/>
                <w:szCs w:val="28"/>
                <w:highlight w:val="none"/>
                <w:shd w:val="clear" w:fill="FFFFFF"/>
                <w:lang w:val="en-US" w:eastAsia="zh-CN" w:bidi="ar"/>
              </w:rPr>
              <w:t>，电子版上传至《全国公共资源交易平台（陕西省·延安市）》电子招投标系统</w:t>
            </w:r>
            <w:r>
              <w:rPr>
                <w:rFonts w:hint="eastAsia" w:ascii="仿宋" w:hAnsi="仿宋" w:eastAsia="仿宋" w:cs="仿宋"/>
                <w:color w:val="auto"/>
                <w:sz w:val="28"/>
                <w:szCs w:val="28"/>
                <w:highlight w:val="none"/>
              </w:rPr>
              <w:t xml:space="preserve"> 。</w:t>
            </w:r>
          </w:p>
        </w:tc>
      </w:tr>
      <w:tr w14:paraId="41F9E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00" w:type="dxa"/>
            <w:vAlign w:val="center"/>
          </w:tcPr>
          <w:p w14:paraId="098FC20F">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p>
        </w:tc>
        <w:tc>
          <w:tcPr>
            <w:tcW w:w="2017" w:type="dxa"/>
            <w:vAlign w:val="center"/>
          </w:tcPr>
          <w:p w14:paraId="2F1DD605">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投标有效期</w:t>
            </w:r>
          </w:p>
        </w:tc>
        <w:tc>
          <w:tcPr>
            <w:tcW w:w="7164" w:type="dxa"/>
          </w:tcPr>
          <w:p w14:paraId="2E87DDA3">
            <w:pPr>
              <w:pageBreakBefore w:val="0"/>
              <w:bidi w:val="0"/>
              <w:spacing w:line="46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自</w:t>
            </w:r>
            <w:r>
              <w:rPr>
                <w:rFonts w:hint="eastAsia" w:ascii="仿宋" w:hAnsi="仿宋" w:eastAsia="仿宋" w:cs="仿宋"/>
                <w:color w:val="auto"/>
                <w:spacing w:val="-4"/>
                <w:sz w:val="28"/>
                <w:szCs w:val="28"/>
                <w:highlight w:val="none"/>
                <w:lang w:eastAsia="zh-CN"/>
              </w:rPr>
              <w:t>递交投标文件截止</w:t>
            </w:r>
            <w:r>
              <w:rPr>
                <w:rFonts w:hint="eastAsia" w:ascii="仿宋" w:hAnsi="仿宋" w:eastAsia="仿宋" w:cs="仿宋"/>
                <w:color w:val="auto"/>
                <w:spacing w:val="-4"/>
                <w:sz w:val="28"/>
                <w:szCs w:val="28"/>
                <w:highlight w:val="none"/>
              </w:rPr>
              <w:t>之日起90个日历天。</w:t>
            </w:r>
          </w:p>
        </w:tc>
      </w:tr>
      <w:tr w14:paraId="761B2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900" w:type="dxa"/>
            <w:vAlign w:val="center"/>
          </w:tcPr>
          <w:p w14:paraId="7FFBFD06">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w:t>
            </w:r>
          </w:p>
        </w:tc>
        <w:tc>
          <w:tcPr>
            <w:tcW w:w="2017" w:type="dxa"/>
            <w:vAlign w:val="center"/>
          </w:tcPr>
          <w:p w14:paraId="0115FCDF">
            <w:pPr>
              <w:pageBreakBefore w:val="0"/>
              <w:bidi w:val="0"/>
              <w:spacing w:line="40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投标保证金</w:t>
            </w:r>
          </w:p>
        </w:tc>
        <w:tc>
          <w:tcPr>
            <w:tcW w:w="7164" w:type="dxa"/>
            <w:vAlign w:val="center"/>
          </w:tcPr>
          <w:p w14:paraId="1A139DBF">
            <w:pPr>
              <w:pageBreakBefore w:val="0"/>
              <w:bidi w:val="0"/>
              <w:spacing w:line="460" w:lineRule="exact"/>
              <w:outlineLvl w:val="9"/>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投标保证金应当以支票、汇票、本票或者金融机构、担保机构出具的保函等非现金形式提交。投标人未按照招标文件要求提交投标保证金的，投标无效。</w:t>
            </w:r>
          </w:p>
          <w:p w14:paraId="55A8CB59">
            <w:pPr>
              <w:pageBreakBefore w:val="0"/>
              <w:bidi w:val="0"/>
              <w:spacing w:line="460" w:lineRule="exact"/>
              <w:outlineLvl w:val="9"/>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采用银行转账形式交纳投标保证金的，供应商必须从供应商的银行账户（户名与供应商名一致）将投标保证金交纳至招标文件指定账户，并且在转账时注明项目编号或项目名称。</w:t>
            </w:r>
          </w:p>
          <w:p w14:paraId="2779C44C">
            <w:pPr>
              <w:pageBreakBefore w:val="0"/>
              <w:bidi w:val="0"/>
              <w:spacing w:line="460" w:lineRule="exact"/>
              <w:outlineLvl w:val="9"/>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投标保证金必须在投标截止时间前交纳。</w:t>
            </w:r>
          </w:p>
          <w:p w14:paraId="0B4E4433">
            <w:pPr>
              <w:pageBreakBefore w:val="0"/>
              <w:bidi w:val="0"/>
              <w:spacing w:line="460" w:lineRule="exact"/>
              <w:outlineLvl w:val="9"/>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（1）采用银行转账形式交纳的，以招标文件指定账户到账显示时间为准。</w:t>
            </w:r>
          </w:p>
          <w:p w14:paraId="37BBD6CD">
            <w:pPr>
              <w:pageBreakBefore w:val="0"/>
              <w:bidi w:val="0"/>
              <w:spacing w:line="460" w:lineRule="exact"/>
              <w:outlineLvl w:val="9"/>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（2）采用支票、汇票、本票、保函方式的，在投标文件中放入本票、汇票、支票、保函复印件，在投标截止时间之前将原件随纸质版投标文件一起递交。</w:t>
            </w:r>
          </w:p>
          <w:p w14:paraId="08DFCB5C">
            <w:pPr>
              <w:pageBreakBefore w:val="0"/>
              <w:bidi w:val="0"/>
              <w:spacing w:line="460" w:lineRule="exact"/>
              <w:outlineLvl w:val="9"/>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供应商应充分考虑并自行承担任何可能导致到账被延误的风险。</w:t>
            </w:r>
          </w:p>
          <w:p w14:paraId="051BABA3">
            <w:pPr>
              <w:pageBreakBefore w:val="0"/>
              <w:bidi w:val="0"/>
              <w:spacing w:line="460" w:lineRule="exact"/>
              <w:outlineLvl w:val="9"/>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投标保证金有效期与投标有效期一致。</w:t>
            </w:r>
          </w:p>
          <w:p w14:paraId="2402F267">
            <w:pPr>
              <w:pageBreakBefore w:val="0"/>
              <w:bidi w:val="0"/>
              <w:spacing w:line="460" w:lineRule="exact"/>
              <w:outlineLvl w:val="9"/>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凡未交纳、未足额交纳或未按规定时间和形式交纳保证金的，将被视为自动放弃投标权利，响应无效。</w:t>
            </w:r>
          </w:p>
          <w:p w14:paraId="27930DAA">
            <w:pPr>
              <w:pageBreakBefore w:val="0"/>
              <w:bidi w:val="0"/>
              <w:spacing w:line="460" w:lineRule="exac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投标保证金的金额为：</w:t>
            </w:r>
            <w:r>
              <w:rPr>
                <w:rFonts w:hint="eastAsia" w:ascii="仿宋" w:hAnsi="仿宋" w:eastAsia="仿宋" w:cs="仿宋"/>
                <w:color w:val="auto"/>
                <w:sz w:val="28"/>
                <w:szCs w:val="28"/>
                <w:highlight w:val="none"/>
                <w:lang w:val="en-US" w:eastAsia="zh-CN"/>
              </w:rPr>
              <w:t xml:space="preserve">5000.00元 </w:t>
            </w:r>
          </w:p>
          <w:p w14:paraId="76C808C5">
            <w:pPr>
              <w:spacing w:line="360" w:lineRule="auto"/>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账户名称：品智工程咨询有限公司延安新区分公司</w:t>
            </w:r>
          </w:p>
          <w:p w14:paraId="1328C55B">
            <w:pPr>
              <w:spacing w:line="360" w:lineRule="auto"/>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开户行及账号:中国银行股份有限公司延安枣园路支行</w:t>
            </w:r>
          </w:p>
          <w:p w14:paraId="43CF4E98">
            <w:pPr>
              <w:spacing w:line="360" w:lineRule="auto"/>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102522759915</w:t>
            </w:r>
          </w:p>
          <w:p w14:paraId="743F27CF">
            <w:pPr>
              <w:pageBreakBefore w:val="0"/>
              <w:bidi w:val="0"/>
              <w:spacing w:line="460" w:lineRule="exact"/>
              <w:outlineLvl w:val="9"/>
              <w:rPr>
                <w:rFonts w:hint="eastAsia" w:ascii="仿宋" w:hAnsi="仿宋" w:eastAsia="仿宋" w:cs="仿宋"/>
                <w:b/>
                <w:color w:val="auto"/>
                <w:sz w:val="28"/>
                <w:szCs w:val="28"/>
                <w:highlight w:val="none"/>
                <w:lang w:eastAsia="zh-CN"/>
              </w:rPr>
            </w:pPr>
            <w:r>
              <w:rPr>
                <w:rFonts w:hint="eastAsia" w:ascii="仿宋" w:hAnsi="仿宋" w:eastAsia="仿宋" w:cs="仿宋"/>
                <w:color w:val="auto"/>
                <w:sz w:val="28"/>
                <w:szCs w:val="28"/>
                <w:highlight w:val="none"/>
              </w:rPr>
              <w:t>重要提示：缴纳凭证注明：（项目名称） 的</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保证金。</w:t>
            </w:r>
          </w:p>
        </w:tc>
      </w:tr>
      <w:tr w14:paraId="61273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900" w:type="dxa"/>
            <w:vAlign w:val="center"/>
          </w:tcPr>
          <w:p w14:paraId="68F9DD5B">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w:t>
            </w:r>
          </w:p>
        </w:tc>
        <w:tc>
          <w:tcPr>
            <w:tcW w:w="2017" w:type="dxa"/>
            <w:vAlign w:val="center"/>
          </w:tcPr>
          <w:p w14:paraId="446B6225">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备选投标方案</w:t>
            </w:r>
          </w:p>
          <w:p w14:paraId="3BA6DC26">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和报价</w:t>
            </w:r>
          </w:p>
        </w:tc>
        <w:tc>
          <w:tcPr>
            <w:tcW w:w="7164" w:type="dxa"/>
            <w:vAlign w:val="center"/>
          </w:tcPr>
          <w:p w14:paraId="371593DC">
            <w:pPr>
              <w:pageBreakBefore w:val="0"/>
              <w:tabs>
                <w:tab w:val="left" w:pos="7013"/>
              </w:tabs>
              <w:bidi w:val="0"/>
              <w:spacing w:line="46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不接受备选投标方案和多个报价。</w:t>
            </w:r>
          </w:p>
        </w:tc>
      </w:tr>
      <w:tr w14:paraId="5EC2B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00" w:type="dxa"/>
            <w:vAlign w:val="center"/>
          </w:tcPr>
          <w:p w14:paraId="6967FFDE">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w:t>
            </w:r>
          </w:p>
        </w:tc>
        <w:tc>
          <w:tcPr>
            <w:tcW w:w="2017" w:type="dxa"/>
            <w:vAlign w:val="center"/>
          </w:tcPr>
          <w:p w14:paraId="559D166D">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盖章签字</w:t>
            </w:r>
          </w:p>
        </w:tc>
        <w:tc>
          <w:tcPr>
            <w:tcW w:w="7164" w:type="dxa"/>
            <w:vAlign w:val="center"/>
          </w:tcPr>
          <w:p w14:paraId="04E842A9">
            <w:pPr>
              <w:pageBreakBefore w:val="0"/>
              <w:tabs>
                <w:tab w:val="left" w:pos="7013"/>
              </w:tabs>
              <w:bidi w:val="0"/>
              <w:spacing w:line="46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招标文件要</w:t>
            </w:r>
            <w:r>
              <w:rPr>
                <w:rFonts w:hint="eastAsia" w:ascii="仿宋" w:hAnsi="仿宋" w:eastAsia="仿宋" w:cs="仿宋"/>
                <w:color w:val="auto"/>
                <w:sz w:val="28"/>
                <w:szCs w:val="28"/>
                <w:highlight w:val="none"/>
                <w:lang w:eastAsia="zh-CN"/>
              </w:rPr>
              <w:t>求在</w:t>
            </w:r>
            <w:r>
              <w:rPr>
                <w:rFonts w:hint="eastAsia" w:ascii="仿宋" w:hAnsi="仿宋" w:eastAsia="仿宋" w:cs="仿宋"/>
                <w:color w:val="auto"/>
                <w:sz w:val="28"/>
                <w:szCs w:val="28"/>
                <w:highlight w:val="none"/>
              </w:rPr>
              <w:t>指定位置“签字或盖章”的，投标人只要一项内容即可。</w:t>
            </w:r>
          </w:p>
          <w:p w14:paraId="438811B4">
            <w:pPr>
              <w:pageBreakBefore w:val="0"/>
              <w:tabs>
                <w:tab w:val="left" w:pos="7013"/>
              </w:tabs>
              <w:bidi w:val="0"/>
              <w:spacing w:line="46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招标文件要求指定位置“签字和盖章”的，投标人必须既签字又盖章。</w:t>
            </w:r>
          </w:p>
        </w:tc>
      </w:tr>
      <w:tr w14:paraId="020AD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vAlign w:val="center"/>
          </w:tcPr>
          <w:p w14:paraId="15246EA1">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w:t>
            </w:r>
          </w:p>
        </w:tc>
        <w:tc>
          <w:tcPr>
            <w:tcW w:w="2017" w:type="dxa"/>
            <w:vAlign w:val="center"/>
          </w:tcPr>
          <w:p w14:paraId="4DC46EBA">
            <w:pPr>
              <w:pageBreakBefore w:val="0"/>
              <w:bidi w:val="0"/>
              <w:spacing w:line="460" w:lineRule="exact"/>
              <w:jc w:val="center"/>
              <w:outlineLvl w:val="9"/>
              <w:rPr>
                <w:rFonts w:hint="eastAsia" w:ascii="仿宋" w:hAnsi="仿宋" w:eastAsia="仿宋" w:cs="仿宋"/>
                <w:color w:val="auto"/>
                <w:spacing w:val="-30"/>
                <w:sz w:val="28"/>
                <w:szCs w:val="28"/>
                <w:highlight w:val="none"/>
              </w:rPr>
            </w:pPr>
            <w:r>
              <w:rPr>
                <w:rFonts w:hint="eastAsia" w:ascii="仿宋" w:hAnsi="仿宋" w:eastAsia="仿宋" w:cs="仿宋"/>
                <w:color w:val="auto"/>
                <w:spacing w:val="-30"/>
                <w:sz w:val="28"/>
                <w:szCs w:val="28"/>
                <w:highlight w:val="none"/>
              </w:rPr>
              <w:t>投标文件数量、</w:t>
            </w:r>
          </w:p>
          <w:p w14:paraId="2187E9EC">
            <w:pPr>
              <w:pageBreakBefore w:val="0"/>
              <w:bidi w:val="0"/>
              <w:spacing w:line="460" w:lineRule="exact"/>
              <w:jc w:val="center"/>
              <w:outlineLvl w:val="9"/>
              <w:rPr>
                <w:rFonts w:hint="eastAsia" w:ascii="仿宋" w:hAnsi="仿宋" w:eastAsia="仿宋" w:cs="仿宋"/>
                <w:color w:val="auto"/>
                <w:spacing w:val="-30"/>
                <w:sz w:val="28"/>
                <w:szCs w:val="28"/>
                <w:highlight w:val="none"/>
              </w:rPr>
            </w:pPr>
            <w:r>
              <w:rPr>
                <w:rFonts w:hint="eastAsia" w:ascii="仿宋" w:hAnsi="仿宋" w:eastAsia="仿宋" w:cs="仿宋"/>
                <w:color w:val="auto"/>
                <w:spacing w:val="-30"/>
                <w:sz w:val="28"/>
                <w:szCs w:val="28"/>
                <w:highlight w:val="none"/>
              </w:rPr>
              <w:t>装订</w:t>
            </w:r>
          </w:p>
        </w:tc>
        <w:tc>
          <w:tcPr>
            <w:tcW w:w="7164" w:type="dxa"/>
            <w:vAlign w:val="center"/>
          </w:tcPr>
          <w:p w14:paraId="53C02F1D">
            <w:pPr>
              <w:pageBreakBefore w:val="0"/>
              <w:bidi w:val="0"/>
              <w:spacing w:line="460" w:lineRule="exact"/>
              <w:outlineLvl w:val="9"/>
              <w:rPr>
                <w:rFonts w:hint="eastAsia" w:ascii="仿宋" w:hAnsi="仿宋" w:eastAsia="仿宋" w:cs="仿宋"/>
                <w:b/>
                <w:color w:val="auto"/>
                <w:sz w:val="28"/>
                <w:szCs w:val="28"/>
                <w:highlight w:val="none"/>
                <w:u w:val="single"/>
              </w:rPr>
            </w:pPr>
            <w:r>
              <w:rPr>
                <w:rFonts w:hint="eastAsia" w:ascii="仿宋" w:hAnsi="仿宋" w:eastAsia="仿宋" w:cs="仿宋"/>
                <w:color w:val="auto"/>
                <w:sz w:val="28"/>
                <w:szCs w:val="28"/>
                <w:highlight w:val="none"/>
              </w:rPr>
              <w:t>投标文件一律采用胶装方式装订。投标文件正本一份，副本二份，</w:t>
            </w:r>
            <w:r>
              <w:rPr>
                <w:rFonts w:hint="eastAsia" w:ascii="仿宋" w:hAnsi="仿宋" w:eastAsia="仿宋" w:cs="仿宋"/>
                <w:color w:val="auto"/>
                <w:sz w:val="28"/>
                <w:szCs w:val="28"/>
                <w:highlight w:val="none"/>
                <w:lang w:eastAsia="zh-CN"/>
              </w:rPr>
              <w:t>建议双面打印，</w:t>
            </w:r>
            <w:r>
              <w:rPr>
                <w:rFonts w:hint="eastAsia" w:ascii="仿宋" w:hAnsi="仿宋" w:eastAsia="仿宋" w:cs="仿宋"/>
                <w:color w:val="auto"/>
                <w:sz w:val="28"/>
                <w:szCs w:val="28"/>
                <w:highlight w:val="none"/>
              </w:rPr>
              <w:t>电子文件（U盘）</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份，投标报价一览表一份。投标文件的正本和副本均须A4纸打印，并编制目录和页码。正、副本分别各自装订成册，单独密封，电子文件和投标报价一览表密封在同一标袋内。</w:t>
            </w:r>
          </w:p>
        </w:tc>
      </w:tr>
      <w:tr w14:paraId="7FD67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vAlign w:val="center"/>
          </w:tcPr>
          <w:p w14:paraId="34D03DFC">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w:t>
            </w:r>
          </w:p>
        </w:tc>
        <w:tc>
          <w:tcPr>
            <w:tcW w:w="2017" w:type="dxa"/>
            <w:vAlign w:val="center"/>
          </w:tcPr>
          <w:p w14:paraId="4AD107B9">
            <w:pPr>
              <w:pageBreakBefore w:val="0"/>
              <w:bidi w:val="0"/>
              <w:spacing w:line="240" w:lineRule="auto"/>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评标办法及</w:t>
            </w:r>
          </w:p>
          <w:p w14:paraId="0438C996">
            <w:pPr>
              <w:pageBreakBefore w:val="0"/>
              <w:bidi w:val="0"/>
              <w:spacing w:line="240" w:lineRule="auto"/>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标准</w:t>
            </w:r>
          </w:p>
        </w:tc>
        <w:tc>
          <w:tcPr>
            <w:tcW w:w="7164" w:type="dxa"/>
            <w:vAlign w:val="center"/>
          </w:tcPr>
          <w:p w14:paraId="7C51A28D">
            <w:pPr>
              <w:pStyle w:val="45"/>
              <w:pageBreakBefore w:val="0"/>
              <w:bidi w:val="0"/>
              <w:spacing w:line="46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综</w:t>
            </w:r>
            <w:bookmarkStart w:id="6" w:name="OLE_LINK8"/>
            <w:r>
              <w:rPr>
                <w:rFonts w:hint="eastAsia" w:ascii="仿宋" w:hAnsi="仿宋" w:eastAsia="仿宋" w:cs="仿宋"/>
                <w:color w:val="auto"/>
                <w:sz w:val="28"/>
                <w:szCs w:val="28"/>
                <w:highlight w:val="none"/>
              </w:rPr>
              <w:t>合评估</w:t>
            </w:r>
            <w:bookmarkEnd w:id="6"/>
            <w:r>
              <w:rPr>
                <w:rFonts w:hint="eastAsia" w:ascii="仿宋" w:hAnsi="仿宋" w:eastAsia="仿宋" w:cs="仿宋"/>
                <w:color w:val="auto"/>
                <w:sz w:val="28"/>
                <w:szCs w:val="28"/>
                <w:highlight w:val="none"/>
              </w:rPr>
              <w:t>法</w:t>
            </w:r>
          </w:p>
        </w:tc>
      </w:tr>
      <w:tr w14:paraId="20F1D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shd w:val="clear" w:color="auto" w:fill="auto"/>
            <w:vAlign w:val="center"/>
          </w:tcPr>
          <w:p w14:paraId="47561234">
            <w:pPr>
              <w:pageBreakBefore w:val="0"/>
              <w:bidi w:val="0"/>
              <w:spacing w:line="460" w:lineRule="exact"/>
              <w:jc w:val="center"/>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22</w:t>
            </w:r>
          </w:p>
        </w:tc>
        <w:tc>
          <w:tcPr>
            <w:tcW w:w="2017" w:type="dxa"/>
            <w:vAlign w:val="center"/>
          </w:tcPr>
          <w:p w14:paraId="0BDC9105">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评审委员会的</w:t>
            </w:r>
          </w:p>
          <w:p w14:paraId="0315A0BD">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组建</w:t>
            </w:r>
          </w:p>
        </w:tc>
        <w:tc>
          <w:tcPr>
            <w:tcW w:w="7164" w:type="dxa"/>
            <w:vAlign w:val="center"/>
          </w:tcPr>
          <w:p w14:paraId="1BF9D174">
            <w:pPr>
              <w:pageBreakBefore w:val="0"/>
              <w:bidi w:val="0"/>
              <w:spacing w:line="460" w:lineRule="exac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评审委员会构成：</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人</w:t>
            </w:r>
            <w:r>
              <w:rPr>
                <w:rFonts w:hint="eastAsia" w:ascii="仿宋" w:hAnsi="仿宋" w:eastAsia="仿宋" w:cs="仿宋"/>
                <w:color w:val="auto"/>
                <w:sz w:val="28"/>
                <w:szCs w:val="28"/>
                <w:highlight w:val="none"/>
                <w:lang w:val="en-US" w:eastAsia="zh-CN"/>
              </w:rPr>
              <w:t>。采购人代表1人，专家4人。</w:t>
            </w:r>
          </w:p>
          <w:p w14:paraId="63B28874">
            <w:pPr>
              <w:pageBreakBefore w:val="0"/>
              <w:bidi w:val="0"/>
              <w:spacing w:line="46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评审专家确定方式：开标前24小时内从陕西省政府采购综合管理平台</w:t>
            </w:r>
            <w:r>
              <w:rPr>
                <w:rFonts w:hint="eastAsia" w:ascii="仿宋" w:hAnsi="仿宋" w:eastAsia="仿宋" w:cs="仿宋"/>
                <w:color w:val="auto"/>
                <w:sz w:val="28"/>
                <w:szCs w:val="28"/>
                <w:highlight w:val="none"/>
                <w:lang w:val="en-US" w:eastAsia="zh-CN"/>
              </w:rPr>
              <w:t>专家库</w:t>
            </w:r>
            <w:r>
              <w:rPr>
                <w:rFonts w:hint="eastAsia" w:ascii="仿宋" w:hAnsi="仿宋" w:eastAsia="仿宋" w:cs="仿宋"/>
                <w:color w:val="auto"/>
                <w:sz w:val="28"/>
                <w:szCs w:val="28"/>
                <w:highlight w:val="none"/>
              </w:rPr>
              <w:t>中随机抽取。</w:t>
            </w:r>
          </w:p>
        </w:tc>
      </w:tr>
      <w:tr w14:paraId="2B816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900" w:type="dxa"/>
            <w:shd w:val="clear" w:color="auto" w:fill="auto"/>
            <w:vAlign w:val="center"/>
          </w:tcPr>
          <w:p w14:paraId="7E792D63">
            <w:pPr>
              <w:pageBreakBefore w:val="0"/>
              <w:bidi w:val="0"/>
              <w:spacing w:line="460" w:lineRule="exact"/>
              <w:jc w:val="center"/>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23</w:t>
            </w:r>
          </w:p>
        </w:tc>
        <w:tc>
          <w:tcPr>
            <w:tcW w:w="2017" w:type="dxa"/>
            <w:vAlign w:val="center"/>
          </w:tcPr>
          <w:p w14:paraId="77CFD463">
            <w:pPr>
              <w:pageBreakBefore w:val="0"/>
              <w:bidi w:val="0"/>
              <w:spacing w:line="46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服务费</w:t>
            </w:r>
          </w:p>
        </w:tc>
        <w:tc>
          <w:tcPr>
            <w:tcW w:w="7164" w:type="dxa"/>
            <w:vAlign w:val="center"/>
          </w:tcPr>
          <w:p w14:paraId="4B4E045B">
            <w:pPr>
              <w:pageBreakBefore w:val="0"/>
              <w:bidi w:val="0"/>
              <w:spacing w:line="460" w:lineRule="exact"/>
              <w:outlineLvl w:val="9"/>
              <w:rPr>
                <w:rFonts w:hint="eastAsia" w:ascii="仿宋" w:hAnsi="仿宋" w:eastAsia="仿宋" w:cs="仿宋"/>
                <w:color w:val="auto"/>
                <w:sz w:val="28"/>
                <w:szCs w:val="28"/>
                <w:highlight w:val="none"/>
              </w:rPr>
            </w:pPr>
            <w:bookmarkStart w:id="7" w:name="OLE_LINK9"/>
            <w:r>
              <w:rPr>
                <w:rFonts w:hint="eastAsia" w:ascii="仿宋" w:hAnsi="仿宋" w:eastAsia="仿宋" w:cs="仿宋"/>
                <w:color w:val="auto"/>
                <w:sz w:val="28"/>
                <w:szCs w:val="28"/>
                <w:highlight w:val="none"/>
              </w:rPr>
              <w:t>招标代理服务费</w:t>
            </w:r>
            <w:r>
              <w:rPr>
                <w:rFonts w:hint="eastAsia" w:ascii="仿宋" w:hAnsi="仿宋" w:eastAsia="仿宋" w:cs="仿宋"/>
                <w:color w:val="auto"/>
                <w:sz w:val="28"/>
                <w:szCs w:val="28"/>
                <w:highlight w:val="none"/>
                <w:lang w:eastAsia="zh-CN"/>
              </w:rPr>
              <w:t>：</w:t>
            </w:r>
            <w:bookmarkStart w:id="8" w:name="OLE_LINK10"/>
            <w:r>
              <w:rPr>
                <w:rFonts w:hint="eastAsia" w:ascii="仿宋" w:hAnsi="仿宋" w:eastAsia="仿宋" w:cs="仿宋"/>
                <w:color w:val="auto"/>
                <w:sz w:val="28"/>
                <w:szCs w:val="28"/>
                <w:highlight w:val="none"/>
                <w:lang w:val="en-US" w:eastAsia="zh-CN"/>
              </w:rPr>
              <w:t>贰万元整（小写：20000.00元），由中标人支付。中标人在领取中标通知书时须向采购代理机构一次性支付招标代理服务费。</w:t>
            </w:r>
            <w:bookmarkEnd w:id="7"/>
            <w:bookmarkEnd w:id="8"/>
          </w:p>
        </w:tc>
      </w:tr>
      <w:tr w14:paraId="27B44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900" w:type="dxa"/>
            <w:shd w:val="clear" w:color="auto" w:fill="auto"/>
            <w:vAlign w:val="center"/>
          </w:tcPr>
          <w:p w14:paraId="03B7F520">
            <w:pPr>
              <w:pageBreakBefore w:val="0"/>
              <w:bidi w:val="0"/>
              <w:spacing w:line="460" w:lineRule="exact"/>
              <w:jc w:val="center"/>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24</w:t>
            </w:r>
          </w:p>
        </w:tc>
        <w:tc>
          <w:tcPr>
            <w:tcW w:w="2017" w:type="dxa"/>
            <w:vAlign w:val="center"/>
          </w:tcPr>
          <w:p w14:paraId="46780B51">
            <w:pPr>
              <w:pageBreakBefore w:val="0"/>
              <w:bidi w:val="0"/>
              <w:spacing w:line="460" w:lineRule="exact"/>
              <w:jc w:val="center"/>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采购标的</w:t>
            </w:r>
          </w:p>
          <w:p w14:paraId="475AFE69">
            <w:pPr>
              <w:pageBreakBefore w:val="0"/>
              <w:bidi w:val="0"/>
              <w:spacing w:line="460" w:lineRule="exact"/>
              <w:jc w:val="center"/>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所属行业</w:t>
            </w:r>
          </w:p>
        </w:tc>
        <w:tc>
          <w:tcPr>
            <w:tcW w:w="7164" w:type="dxa"/>
            <w:vAlign w:val="center"/>
          </w:tcPr>
          <w:p w14:paraId="2FF964AB">
            <w:pPr>
              <w:pageBreakBefore w:val="0"/>
              <w:bidi w:val="0"/>
              <w:spacing w:line="460" w:lineRule="exac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本项目采购标的对应的中小企业划分标准：工业</w:t>
            </w:r>
          </w:p>
        </w:tc>
      </w:tr>
      <w:tr w14:paraId="660A0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900" w:type="dxa"/>
            <w:vAlign w:val="center"/>
          </w:tcPr>
          <w:p w14:paraId="59892DAD">
            <w:pPr>
              <w:pageBreakBefore w:val="0"/>
              <w:bidi w:val="0"/>
              <w:spacing w:line="460" w:lineRule="exact"/>
              <w:jc w:val="center"/>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25</w:t>
            </w:r>
          </w:p>
        </w:tc>
        <w:tc>
          <w:tcPr>
            <w:tcW w:w="2017" w:type="dxa"/>
            <w:vAlign w:val="center"/>
          </w:tcPr>
          <w:p w14:paraId="36C73CE5">
            <w:pPr>
              <w:pageBreakBefore w:val="0"/>
              <w:bidi w:val="0"/>
              <w:spacing w:after="120" w:line="400" w:lineRule="exact"/>
              <w:jc w:val="center"/>
              <w:outlineLvl w:val="9"/>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sz w:val="28"/>
                <w:szCs w:val="28"/>
                <w:highlight w:val="none"/>
              </w:rPr>
              <w:t>电子投标注意事项</w:t>
            </w:r>
          </w:p>
        </w:tc>
        <w:tc>
          <w:tcPr>
            <w:tcW w:w="7164" w:type="dxa"/>
            <w:vAlign w:val="center"/>
          </w:tcPr>
          <w:p w14:paraId="7FE58D07">
            <w:pPr>
              <w:pageBreakBefore w:val="0"/>
              <w:bidi w:val="0"/>
              <w:spacing w:line="360" w:lineRule="auto"/>
              <w:outlineLvl w:val="9"/>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应及时下载招标文件等相关文件，在投标截止前必须上传投标文件；</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应在系统发出解密指令后规定时间内对投标文件完成解密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供应商未按规定下载、上传或对投标文件进行解密造成废标的，后果由供应商自行承担。</w:t>
            </w:r>
          </w:p>
        </w:tc>
      </w:tr>
    </w:tbl>
    <w:p w14:paraId="25A58363">
      <w:pPr>
        <w:pageBreakBefore w:val="0"/>
        <w:bidi w:val="0"/>
        <w:spacing w:line="460" w:lineRule="exact"/>
        <w:outlineLvl w:val="9"/>
        <w:rPr>
          <w:rFonts w:hint="eastAsia" w:ascii="仿宋" w:hAnsi="仿宋" w:eastAsia="仿宋" w:cs="仿宋"/>
          <w:b/>
          <w:color w:val="auto"/>
          <w:sz w:val="28"/>
          <w:szCs w:val="28"/>
          <w:highlight w:val="none"/>
        </w:rPr>
        <w:sectPr>
          <w:pgSz w:w="11900" w:h="16838"/>
          <w:pgMar w:top="1440" w:right="1349" w:bottom="1440" w:left="1349" w:header="0" w:footer="0" w:gutter="0"/>
          <w:pgBorders>
            <w:top w:val="none" w:sz="0" w:space="0"/>
            <w:left w:val="none" w:sz="0" w:space="0"/>
            <w:bottom w:val="none" w:sz="0" w:space="0"/>
            <w:right w:val="none" w:sz="0" w:space="0"/>
          </w:pgBorders>
          <w:pgNumType w:fmt="decimal"/>
          <w:cols w:equalWidth="0" w:num="1">
            <w:col w:w="9420"/>
          </w:cols>
        </w:sectPr>
      </w:pPr>
    </w:p>
    <w:p w14:paraId="596B9603">
      <w:pPr>
        <w:pageBreakBefore w:val="0"/>
        <w:bidi w:val="0"/>
        <w:spacing w:line="360" w:lineRule="auto"/>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一、名词解释</w:t>
      </w:r>
    </w:p>
    <w:p w14:paraId="0FA8216F">
      <w:pPr>
        <w:pageBreakBefore w:val="0"/>
        <w:bidi w:val="0"/>
        <w:spacing w:line="360" w:lineRule="auto"/>
        <w:ind w:firstLine="560" w:firstLineChars="200"/>
        <w:outlineLvl w:val="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zh-CN"/>
        </w:rPr>
        <w:t>1、采购人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延安市行政审批服务局</w:t>
      </w:r>
    </w:p>
    <w:p w14:paraId="01CC5D76">
      <w:pPr>
        <w:pageBreakBefore w:val="0"/>
        <w:bidi w:val="0"/>
        <w:spacing w:line="360" w:lineRule="auto"/>
        <w:ind w:firstLine="560" w:firstLineChars="200"/>
        <w:outlineLvl w:val="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zh-CN"/>
        </w:rPr>
        <w:t>、采购代理</w:t>
      </w:r>
      <w:r>
        <w:rPr>
          <w:rFonts w:hint="eastAsia" w:ascii="仿宋" w:hAnsi="仿宋" w:eastAsia="仿宋" w:cs="仿宋"/>
          <w:color w:val="auto"/>
          <w:sz w:val="28"/>
          <w:szCs w:val="28"/>
          <w:highlight w:val="none"/>
        </w:rPr>
        <w:t>机构：</w:t>
      </w:r>
      <w:r>
        <w:rPr>
          <w:rFonts w:hint="eastAsia" w:ascii="仿宋" w:hAnsi="仿宋" w:eastAsia="仿宋" w:cs="仿宋"/>
          <w:color w:val="auto"/>
          <w:sz w:val="28"/>
          <w:szCs w:val="28"/>
          <w:highlight w:val="none"/>
          <w:lang w:eastAsia="zh-CN"/>
        </w:rPr>
        <w:t>品智工程咨询有限公司</w:t>
      </w:r>
    </w:p>
    <w:p w14:paraId="6226C8B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3、采购预算价：</w:t>
      </w:r>
      <w:r>
        <w:rPr>
          <w:rFonts w:hint="eastAsia" w:ascii="仿宋" w:hAnsi="仿宋" w:eastAsia="仿宋" w:cs="仿宋"/>
          <w:i w:val="0"/>
          <w:iCs w:val="0"/>
          <w:caps w:val="0"/>
          <w:color w:val="auto"/>
          <w:spacing w:val="0"/>
          <w:sz w:val="28"/>
          <w:szCs w:val="28"/>
          <w:highlight w:val="none"/>
          <w:shd w:val="clear" w:color="auto" w:fill="FFFFFF"/>
          <w:lang w:val="en-US" w:eastAsia="zh-CN"/>
        </w:rPr>
        <w:t>3222900.00</w:t>
      </w:r>
      <w:r>
        <w:rPr>
          <w:rFonts w:hint="eastAsia" w:ascii="仿宋" w:hAnsi="仿宋" w:eastAsia="仿宋" w:cs="仿宋"/>
          <w:i w:val="0"/>
          <w:iCs w:val="0"/>
          <w:caps w:val="0"/>
          <w:color w:val="auto"/>
          <w:spacing w:val="0"/>
          <w:sz w:val="28"/>
          <w:szCs w:val="28"/>
          <w:highlight w:val="none"/>
          <w:shd w:val="clear" w:color="auto" w:fill="FFFFFF"/>
        </w:rPr>
        <w:t>元</w:t>
      </w:r>
    </w:p>
    <w:p w14:paraId="0418DBCC">
      <w:pPr>
        <w:pageBreakBefore w:val="0"/>
        <w:bidi w:val="0"/>
        <w:spacing w:line="360" w:lineRule="auto"/>
        <w:ind w:firstLine="560" w:firstLineChars="200"/>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4、招标最高限价：3222900.00元</w:t>
      </w:r>
    </w:p>
    <w:p w14:paraId="5ABC2AB9">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、标  书：招标文件与投标文件的统称</w:t>
      </w:r>
    </w:p>
    <w:p w14:paraId="28E549DB">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val="zh-CN"/>
        </w:rPr>
        <w:t>、供应商：</w:t>
      </w:r>
      <w:r>
        <w:rPr>
          <w:rFonts w:hint="eastAsia" w:ascii="仿宋" w:hAnsi="仿宋" w:eastAsia="仿宋" w:cs="仿宋"/>
          <w:color w:val="auto"/>
          <w:sz w:val="28"/>
          <w:szCs w:val="28"/>
          <w:highlight w:val="none"/>
        </w:rPr>
        <w:t>符合本次招标文件所规定的资格条件，自愿参加本次招标活动的投标单位。</w:t>
      </w:r>
    </w:p>
    <w:p w14:paraId="2659F303">
      <w:pPr>
        <w:pageBreakBefore w:val="0"/>
        <w:bidi w:val="0"/>
        <w:spacing w:line="360" w:lineRule="auto"/>
        <w:ind w:firstLine="560" w:firstLineChars="200"/>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7、“节能产品”或“环保产品”：国务院有关部门发布的《节能产品政府采购清单》 或者《环境标志产品政府采购清单》 内的产品</w:t>
      </w:r>
    </w:p>
    <w:p w14:paraId="35E704DB">
      <w:pPr>
        <w:pageBreakBefore w:val="0"/>
        <w:bidi w:val="0"/>
        <w:spacing w:line="360" w:lineRule="auto"/>
        <w:ind w:firstLine="560" w:firstLineChars="200"/>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 进口产品：通过中国海关报关验收进入中国境内且产自关境外的产品。已通过财政核准的进口产品，仅表明允许进口产品参与该项目的政府采购活动，如因信息不对称等原因，仍有满足需求的国内产品要求参与采购竞争的，任何单位和个人不得对其加以限制，应当按照公平竞争原则实施采购。未通过财政核准的进口产品，禁止进口产品参与本项目投标。</w:t>
      </w:r>
    </w:p>
    <w:p w14:paraId="3F7D2036">
      <w:pPr>
        <w:pageBreakBefore w:val="0"/>
        <w:tabs>
          <w:tab w:val="left" w:pos="3067"/>
        </w:tabs>
        <w:bidi w:val="0"/>
        <w:spacing w:line="360" w:lineRule="auto"/>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二、招标文件</w:t>
      </w:r>
      <w:r>
        <w:rPr>
          <w:rFonts w:hint="eastAsia" w:ascii="仿宋" w:hAnsi="仿宋" w:eastAsia="仿宋" w:cs="仿宋"/>
          <w:b/>
          <w:color w:val="auto"/>
          <w:sz w:val="28"/>
          <w:szCs w:val="28"/>
          <w:highlight w:val="none"/>
        </w:rPr>
        <w:tab/>
      </w:r>
    </w:p>
    <w:p w14:paraId="6B35852A">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1、招标文件的组成： </w:t>
      </w:r>
    </w:p>
    <w:p w14:paraId="38ED7F3A">
      <w:pPr>
        <w:pStyle w:val="18"/>
        <w:keepNext w:val="0"/>
        <w:keepLines w:val="0"/>
        <w:pageBreakBefore w:val="0"/>
        <w:tabs>
          <w:tab w:val="right" w:leader="dot" w:pos="9202"/>
        </w:tabs>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（1）招标公告</w:t>
      </w:r>
    </w:p>
    <w:p w14:paraId="1945906B">
      <w:pPr>
        <w:pStyle w:val="18"/>
        <w:keepNext w:val="0"/>
        <w:keepLines w:val="0"/>
        <w:pageBreakBefore w:val="0"/>
        <w:tabs>
          <w:tab w:val="right" w:leader="dot" w:pos="9202"/>
        </w:tabs>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（2）供应商须知</w:t>
      </w:r>
    </w:p>
    <w:p w14:paraId="7A313A0B">
      <w:pPr>
        <w:pStyle w:val="18"/>
        <w:keepNext w:val="0"/>
        <w:keepLines w:val="0"/>
        <w:pageBreakBefore w:val="0"/>
        <w:tabs>
          <w:tab w:val="right" w:leader="dot" w:pos="9202"/>
        </w:tabs>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（3）采购内容</w:t>
      </w:r>
    </w:p>
    <w:p w14:paraId="7B2EB073">
      <w:pPr>
        <w:pStyle w:val="18"/>
        <w:keepNext w:val="0"/>
        <w:keepLines w:val="0"/>
        <w:pageBreakBefore w:val="0"/>
        <w:tabs>
          <w:tab w:val="right" w:leader="dot" w:pos="9202"/>
        </w:tabs>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（4）商务要求</w:t>
      </w:r>
    </w:p>
    <w:p w14:paraId="69928D66">
      <w:pPr>
        <w:pStyle w:val="18"/>
        <w:keepNext w:val="0"/>
        <w:keepLines w:val="0"/>
        <w:pageBreakBefore w:val="0"/>
        <w:tabs>
          <w:tab w:val="right" w:leader="dot" w:pos="9202"/>
        </w:tabs>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（5）采购合同</w:t>
      </w:r>
    </w:p>
    <w:p w14:paraId="24C511A8">
      <w:pPr>
        <w:pStyle w:val="18"/>
        <w:keepNext w:val="0"/>
        <w:keepLines w:val="0"/>
        <w:pageBreakBefore w:val="0"/>
        <w:numPr>
          <w:ilvl w:val="0"/>
          <w:numId w:val="0"/>
        </w:numPr>
        <w:tabs>
          <w:tab w:val="right" w:leader="dot" w:pos="9202"/>
        </w:tabs>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（6）投标文件格式</w:t>
      </w:r>
    </w:p>
    <w:p w14:paraId="21EB7172">
      <w:pPr>
        <w:pStyle w:val="18"/>
        <w:keepNext w:val="0"/>
        <w:keepLines w:val="0"/>
        <w:pageBreakBefore w:val="0"/>
        <w:numPr>
          <w:ilvl w:val="0"/>
          <w:numId w:val="0"/>
        </w:numPr>
        <w:tabs>
          <w:tab w:val="right" w:leader="dot" w:pos="9202"/>
        </w:tabs>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供应商应认真审阅招标文件所有的事项、格式、条款和规范要求等，在投标文件中对招标文件的各方面都做出实质性的响应，按照招标文件的要求提交全部资料。若供应商的投标文件未按招标文件要求提交全部资料，或没有对招标文件做出实质性响应，应作废标处理。</w:t>
      </w:r>
    </w:p>
    <w:p w14:paraId="41977C7A">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3、招标文件的澄清或修改：</w:t>
      </w:r>
    </w:p>
    <w:p w14:paraId="51CA24BF">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提交投标文件截止时间前，采购人、采购代理机构可以以书面形式对招标文件进行必要的澄清或修改，其内容均为招标文件的组成部分，并对采购人及供应商起约束作用。澄清或修改的内容可能影响投标文件编制的，都将于提交投标文件截止时间15日前以书面形式发送给所有参加投标的供应商；不足15日的，采购人、采购代理机构顺延递交投标文件的截止时间。</w:t>
      </w:r>
    </w:p>
    <w:p w14:paraId="20CE60BD">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供应商若对招标文件有任何疑问要求澄清，或认为有必要与采购人进行技术交流的，供应商在投标截止时间10日前，以书面形式向采购代理机构提出，采购代理机构以书面形式予以答复。在此之后提出的无效。</w:t>
      </w:r>
    </w:p>
    <w:p w14:paraId="387A8151">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招标文件的澄清或修改内容均以书面形式明确的内容为准。当招标文件的澄清、修改、补充等在同一内容的表述上不一致时，以最后发出的书面文件为准。所有补充文件将作为招标文件的组成部分，对所有供应商具有约束力。</w:t>
      </w:r>
    </w:p>
    <w:p w14:paraId="546B607F">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3-4、根据招标工作进展实际情况，采购人可酌情延长递交投标文件的截止时间，若延长将另行以书面形式通知各供应商或在原信息发布媒体上发布变更公告。</w:t>
      </w:r>
    </w:p>
    <w:p w14:paraId="27FA4455">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4、供应商须从</w:t>
      </w:r>
      <w:r>
        <w:rPr>
          <w:rFonts w:hint="eastAsia" w:ascii="仿宋" w:hAnsi="仿宋" w:eastAsia="仿宋" w:cs="仿宋"/>
          <w:i w:val="0"/>
          <w:iCs w:val="0"/>
          <w:caps w:val="0"/>
          <w:color w:val="auto"/>
          <w:spacing w:val="0"/>
          <w:kern w:val="0"/>
          <w:sz w:val="28"/>
          <w:szCs w:val="28"/>
          <w:highlight w:val="none"/>
          <w:shd w:val="clear" w:color="auto" w:fill="FFFFFF"/>
          <w:lang w:val="en-US" w:eastAsia="zh-CN" w:bidi="ar"/>
        </w:rPr>
        <w:t>全国公共资源交易平台（陕西省·延安市）下载</w:t>
      </w:r>
      <w:r>
        <w:rPr>
          <w:rFonts w:hint="eastAsia" w:ascii="仿宋" w:hAnsi="仿宋" w:eastAsia="仿宋" w:cs="仿宋"/>
          <w:color w:val="auto"/>
          <w:sz w:val="28"/>
          <w:szCs w:val="28"/>
          <w:highlight w:val="none"/>
        </w:rPr>
        <w:t>招标文件，供应商自行转让或复制招标文件视为无效。</w:t>
      </w:r>
    </w:p>
    <w:p w14:paraId="34E4ACDF">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5、招标文件的解释权归</w:t>
      </w:r>
      <w:r>
        <w:rPr>
          <w:rFonts w:hint="eastAsia" w:ascii="仿宋" w:hAnsi="仿宋" w:eastAsia="仿宋" w:cs="仿宋"/>
          <w:color w:val="auto"/>
          <w:sz w:val="28"/>
          <w:szCs w:val="28"/>
          <w:highlight w:val="none"/>
          <w:lang w:val="en-US" w:eastAsia="zh-CN"/>
        </w:rPr>
        <w:t>采购人所有</w:t>
      </w:r>
      <w:r>
        <w:rPr>
          <w:rFonts w:hint="eastAsia" w:ascii="仿宋" w:hAnsi="仿宋" w:eastAsia="仿宋" w:cs="仿宋"/>
          <w:color w:val="auto"/>
          <w:sz w:val="28"/>
          <w:szCs w:val="28"/>
          <w:highlight w:val="none"/>
        </w:rPr>
        <w:t>，如发现招标文件内容与现行法律法规不相符的情况，以现行法律法规为准。</w:t>
      </w:r>
    </w:p>
    <w:p w14:paraId="13A1DD95">
      <w:pPr>
        <w:pageBreakBefore w:val="0"/>
        <w:bidi w:val="0"/>
        <w:spacing w:line="360" w:lineRule="auto"/>
        <w:ind w:firstLine="562" w:firstLineChars="200"/>
        <w:outlineLvl w:val="9"/>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三、投标文件</w:t>
      </w:r>
    </w:p>
    <w:p w14:paraId="5B251EA3">
      <w:pPr>
        <w:pageBreakBefore w:val="0"/>
        <w:bidi w:val="0"/>
        <w:spacing w:line="360" w:lineRule="auto"/>
        <w:ind w:firstLine="562" w:firstLineChars="200"/>
        <w:outlineLvl w:val="9"/>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1、供应商资格要求：</w:t>
      </w:r>
    </w:p>
    <w:p w14:paraId="6D7E0829">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满足《中华人民共和国政府采购法》第二十二条规定;</w:t>
      </w:r>
    </w:p>
    <w:p w14:paraId="2ACB116C">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1.2</w:t>
      </w:r>
      <w:r>
        <w:rPr>
          <w:rFonts w:hint="eastAsia" w:ascii="仿宋" w:hAnsi="仿宋" w:eastAsia="仿宋" w:cs="仿宋"/>
          <w:color w:val="auto"/>
          <w:sz w:val="28"/>
          <w:szCs w:val="28"/>
          <w:highlight w:val="none"/>
        </w:rPr>
        <w:t>落实政府采购政策需满足的资格要求：</w:t>
      </w:r>
    </w:p>
    <w:p w14:paraId="6F918D6E">
      <w:pPr>
        <w:pageBreakBefore w:val="0"/>
        <w:bidi w:val="0"/>
        <w:spacing w:line="360" w:lineRule="auto"/>
        <w:ind w:firstLine="560" w:firstLineChars="200"/>
        <w:outlineLvl w:val="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本项目不专门面向中小企业采购</w:t>
      </w:r>
      <w:r>
        <w:rPr>
          <w:rFonts w:hint="eastAsia" w:ascii="仿宋" w:hAnsi="仿宋" w:eastAsia="仿宋" w:cs="仿宋"/>
          <w:color w:val="auto"/>
          <w:sz w:val="28"/>
          <w:szCs w:val="28"/>
          <w:highlight w:val="none"/>
          <w:lang w:eastAsia="zh-CN"/>
        </w:rPr>
        <w:t>。</w:t>
      </w:r>
    </w:p>
    <w:p w14:paraId="1C7DDFF0">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1.3</w:t>
      </w:r>
      <w:r>
        <w:rPr>
          <w:rFonts w:hint="eastAsia" w:ascii="仿宋" w:hAnsi="仿宋" w:eastAsia="仿宋" w:cs="仿宋"/>
          <w:color w:val="auto"/>
          <w:sz w:val="28"/>
          <w:szCs w:val="28"/>
          <w:highlight w:val="none"/>
        </w:rPr>
        <w:t>本项目的特定资格要求：</w:t>
      </w:r>
    </w:p>
    <w:p w14:paraId="2666E21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i w:val="0"/>
          <w:iCs w:val="0"/>
          <w:caps w:val="0"/>
          <w:color w:val="auto"/>
          <w:spacing w:val="0"/>
          <w:sz w:val="28"/>
          <w:szCs w:val="28"/>
          <w:highlight w:val="none"/>
          <w:shd w:val="clear" w:fill="FFFFFF"/>
        </w:rPr>
        <w:t>（1）供应商须为独立承担民事责任能力的法人或其他组织，并提供有效的营业执照等国家规定的相关主体资格证明资料及开户许可证（或基本存款账户信息）；（</w:t>
      </w:r>
      <w:r>
        <w:rPr>
          <w:rFonts w:hint="eastAsia" w:ascii="仿宋" w:hAnsi="仿宋" w:eastAsia="仿宋" w:cs="仿宋"/>
          <w:i w:val="0"/>
          <w:iCs w:val="0"/>
          <w:caps w:val="0"/>
          <w:color w:val="auto"/>
          <w:spacing w:val="0"/>
          <w:sz w:val="28"/>
          <w:szCs w:val="28"/>
          <w:highlight w:val="none"/>
          <w:shd w:val="clear" w:fill="FFFFFF"/>
          <w:lang w:val="en-US" w:eastAsia="zh-CN"/>
        </w:rPr>
        <w:t>2</w:t>
      </w:r>
      <w:r>
        <w:rPr>
          <w:rFonts w:hint="eastAsia" w:ascii="仿宋" w:hAnsi="仿宋" w:eastAsia="仿宋" w:cs="仿宋"/>
          <w:i w:val="0"/>
          <w:iCs w:val="0"/>
          <w:caps w:val="0"/>
          <w:color w:val="auto"/>
          <w:spacing w:val="0"/>
          <w:sz w:val="28"/>
          <w:szCs w:val="28"/>
          <w:highlight w:val="none"/>
          <w:shd w:val="clear" w:fill="FFFFFF"/>
        </w:rPr>
        <w:t>）提供2025年经会计师事务所审计的财务审计报告或近三个月内银行出具的资信证明；（</w:t>
      </w:r>
      <w:r>
        <w:rPr>
          <w:rFonts w:hint="eastAsia" w:ascii="仿宋" w:hAnsi="仿宋" w:eastAsia="仿宋" w:cs="仿宋"/>
          <w:i w:val="0"/>
          <w:iCs w:val="0"/>
          <w:caps w:val="0"/>
          <w:color w:val="auto"/>
          <w:spacing w:val="0"/>
          <w:sz w:val="28"/>
          <w:szCs w:val="28"/>
          <w:highlight w:val="none"/>
          <w:shd w:val="clear" w:fill="FFFFFF"/>
          <w:lang w:val="en-US" w:eastAsia="zh-CN"/>
        </w:rPr>
        <w:t>3</w:t>
      </w:r>
      <w:r>
        <w:rPr>
          <w:rFonts w:hint="eastAsia" w:ascii="仿宋" w:hAnsi="仿宋" w:eastAsia="仿宋" w:cs="仿宋"/>
          <w:i w:val="0"/>
          <w:iCs w:val="0"/>
          <w:caps w:val="0"/>
          <w:color w:val="auto"/>
          <w:spacing w:val="0"/>
          <w:sz w:val="28"/>
          <w:szCs w:val="28"/>
          <w:highlight w:val="none"/>
          <w:shd w:val="clear" w:fill="FFFFFF"/>
        </w:rPr>
        <w:t>）提供2026年1月1日至今已缴纳的至少一个月的纳税证明，依法免税的供应商应提供相关文件证明；（</w:t>
      </w:r>
      <w:r>
        <w:rPr>
          <w:rFonts w:hint="eastAsia" w:ascii="仿宋" w:hAnsi="仿宋" w:eastAsia="仿宋" w:cs="仿宋"/>
          <w:i w:val="0"/>
          <w:iCs w:val="0"/>
          <w:caps w:val="0"/>
          <w:color w:val="auto"/>
          <w:spacing w:val="0"/>
          <w:sz w:val="28"/>
          <w:szCs w:val="28"/>
          <w:highlight w:val="none"/>
          <w:shd w:val="clear" w:fill="FFFFFF"/>
          <w:lang w:val="en-US" w:eastAsia="zh-CN"/>
        </w:rPr>
        <w:t>4</w:t>
      </w:r>
      <w:r>
        <w:rPr>
          <w:rFonts w:hint="eastAsia" w:ascii="仿宋" w:hAnsi="仿宋" w:eastAsia="仿宋" w:cs="仿宋"/>
          <w:i w:val="0"/>
          <w:iCs w:val="0"/>
          <w:caps w:val="0"/>
          <w:color w:val="auto"/>
          <w:spacing w:val="0"/>
          <w:sz w:val="28"/>
          <w:szCs w:val="28"/>
          <w:highlight w:val="none"/>
          <w:shd w:val="clear" w:fill="FFFFFF"/>
        </w:rPr>
        <w:t>）提供2026年1月1日至今已缴纳的至少一个月社会保障资金缴存单据或社保机构出具的社会保险参保缴费情况证明，依法不需要缴纳社保的供应商应提供相关文件证明；（</w:t>
      </w:r>
      <w:r>
        <w:rPr>
          <w:rFonts w:hint="eastAsia" w:ascii="仿宋" w:hAnsi="仿宋" w:eastAsia="仿宋" w:cs="仿宋"/>
          <w:i w:val="0"/>
          <w:iCs w:val="0"/>
          <w:caps w:val="0"/>
          <w:color w:val="auto"/>
          <w:spacing w:val="0"/>
          <w:sz w:val="28"/>
          <w:szCs w:val="28"/>
          <w:highlight w:val="none"/>
          <w:shd w:val="clear" w:fill="FFFFFF"/>
          <w:lang w:val="en-US" w:eastAsia="zh-CN"/>
        </w:rPr>
        <w:t>5</w:t>
      </w:r>
      <w:r>
        <w:rPr>
          <w:rFonts w:hint="eastAsia" w:ascii="仿宋" w:hAnsi="仿宋" w:eastAsia="仿宋" w:cs="仿宋"/>
          <w:i w:val="0"/>
          <w:iCs w:val="0"/>
          <w:caps w:val="0"/>
          <w:color w:val="auto"/>
          <w:spacing w:val="0"/>
          <w:sz w:val="28"/>
          <w:szCs w:val="28"/>
          <w:highlight w:val="none"/>
          <w:shd w:val="clear" w:fill="FFFFFF"/>
        </w:rPr>
        <w:t>）法定代表人授权书及被授权人身份证（法定代表人直接投标只需提供本人身份证）；（</w:t>
      </w:r>
      <w:r>
        <w:rPr>
          <w:rFonts w:hint="eastAsia" w:ascii="仿宋" w:hAnsi="仿宋" w:eastAsia="仿宋" w:cs="仿宋"/>
          <w:i w:val="0"/>
          <w:iCs w:val="0"/>
          <w:caps w:val="0"/>
          <w:color w:val="auto"/>
          <w:spacing w:val="0"/>
          <w:sz w:val="28"/>
          <w:szCs w:val="28"/>
          <w:highlight w:val="none"/>
          <w:shd w:val="clear" w:fill="FFFFFF"/>
          <w:lang w:val="en-US" w:eastAsia="zh-CN"/>
        </w:rPr>
        <w:t>6</w:t>
      </w:r>
      <w:r>
        <w:rPr>
          <w:rFonts w:hint="eastAsia" w:ascii="仿宋" w:hAnsi="仿宋" w:eastAsia="仿宋" w:cs="仿宋"/>
          <w:i w:val="0"/>
          <w:iCs w:val="0"/>
          <w:caps w:val="0"/>
          <w:color w:val="auto"/>
          <w:spacing w:val="0"/>
          <w:sz w:val="28"/>
          <w:szCs w:val="28"/>
          <w:highlight w:val="none"/>
          <w:shd w:val="clear" w:fill="FFFFFF"/>
        </w:rPr>
        <w:t>）参加政府采购活动前3年内，在经营活动中没有重大违法记录的书面声明；（</w:t>
      </w:r>
      <w:r>
        <w:rPr>
          <w:rFonts w:hint="eastAsia" w:ascii="仿宋" w:hAnsi="仿宋" w:eastAsia="仿宋" w:cs="仿宋"/>
          <w:i w:val="0"/>
          <w:iCs w:val="0"/>
          <w:caps w:val="0"/>
          <w:color w:val="auto"/>
          <w:spacing w:val="0"/>
          <w:sz w:val="28"/>
          <w:szCs w:val="28"/>
          <w:highlight w:val="none"/>
          <w:shd w:val="clear" w:fill="FFFFFF"/>
          <w:lang w:val="en-US" w:eastAsia="zh-CN"/>
        </w:rPr>
        <w:t>7</w:t>
      </w:r>
      <w:r>
        <w:rPr>
          <w:rFonts w:hint="eastAsia" w:ascii="仿宋" w:hAnsi="仿宋" w:eastAsia="仿宋" w:cs="仿宋"/>
          <w:i w:val="0"/>
          <w:iCs w:val="0"/>
          <w:caps w:val="0"/>
          <w:color w:val="auto"/>
          <w:spacing w:val="0"/>
          <w:sz w:val="28"/>
          <w:szCs w:val="28"/>
          <w:highlight w:val="none"/>
          <w:shd w:val="clear" w:fill="FFFFFF"/>
        </w:rPr>
        <w:t>）供应商不得为“中国执行信息公开网”列入失信被执行人名单的供应商，不得为“信用中国”网列入重大税收违法失信主体名单的供应商，不得为中国政府采购网政府采购严重违法失信行为记录名单中被财政部门禁止参加政府采购活动的供应商（以上内容资格审查时现场核查）。</w:t>
      </w:r>
    </w:p>
    <w:p w14:paraId="6CEBA646">
      <w:pPr>
        <w:pageBreakBefore w:val="0"/>
        <w:bidi w:val="0"/>
        <w:spacing w:line="360" w:lineRule="auto"/>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2、投标文件的组成：</w:t>
      </w:r>
    </w:p>
    <w:p w14:paraId="4281DF3D">
      <w:pPr>
        <w:pageBreakBefore w:val="0"/>
        <w:bidi w:val="0"/>
        <w:spacing w:line="360" w:lineRule="auto"/>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2-1、各供应商应根据招标文件要求编制投标文件。</w:t>
      </w:r>
    </w:p>
    <w:p w14:paraId="73DC44A5">
      <w:pPr>
        <w:pageBreakBefore w:val="0"/>
        <w:bidi w:val="0"/>
        <w:spacing w:line="360" w:lineRule="auto"/>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2-2、投标文件包括：投标文件应由投标函、投标报价一览表、资格证明文件、技术文件等投标文件部分组成。</w:t>
      </w:r>
    </w:p>
    <w:p w14:paraId="1A2F65B9">
      <w:pPr>
        <w:pageBreakBefore w:val="0"/>
        <w:bidi w:val="0"/>
        <w:spacing w:line="360" w:lineRule="auto"/>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3、各供应商须对以下内容做出承诺：</w:t>
      </w:r>
    </w:p>
    <w:p w14:paraId="6EB1D382">
      <w:pPr>
        <w:pageBreakBefore w:val="0"/>
        <w:bidi w:val="0"/>
        <w:spacing w:line="360" w:lineRule="auto"/>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（1）必须根据招标文件要求进行设备的供货；</w:t>
      </w:r>
    </w:p>
    <w:p w14:paraId="10CAD396">
      <w:pPr>
        <w:pageBreakBefore w:val="0"/>
        <w:bidi w:val="0"/>
        <w:spacing w:line="360" w:lineRule="auto"/>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2）非经采购人同意，不得将本项目内容进行转包实施，一经发现，立即取消其中标资格，并承担由此引起的一切经济损失；经采购人同意，中标人可以依法采取分包方式履行合同。分包部分为中标项目的部分非主体、非关键性工作；</w:t>
      </w:r>
    </w:p>
    <w:p w14:paraId="33A9B925">
      <w:pPr>
        <w:pageBreakBefore w:val="0"/>
        <w:bidi w:val="0"/>
        <w:spacing w:line="360" w:lineRule="auto"/>
        <w:ind w:firstLine="548" w:firstLineChars="196"/>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（3）接受采购人委托的相关单位对</w:t>
      </w:r>
      <w:r>
        <w:rPr>
          <w:rFonts w:hint="eastAsia" w:ascii="仿宋" w:hAnsi="仿宋" w:eastAsia="仿宋" w:cs="仿宋"/>
          <w:color w:val="auto"/>
          <w:sz w:val="28"/>
          <w:szCs w:val="28"/>
          <w:highlight w:val="none"/>
          <w:lang w:val="en-US" w:eastAsia="zh-CN"/>
        </w:rPr>
        <w:t>货物</w:t>
      </w:r>
      <w:r>
        <w:rPr>
          <w:rFonts w:hint="eastAsia" w:ascii="仿宋" w:hAnsi="仿宋" w:eastAsia="仿宋" w:cs="仿宋"/>
          <w:color w:val="auto"/>
          <w:sz w:val="28"/>
          <w:szCs w:val="28"/>
          <w:highlight w:val="none"/>
        </w:rPr>
        <w:t>的质量、</w:t>
      </w:r>
      <w:r>
        <w:rPr>
          <w:rFonts w:hint="eastAsia" w:ascii="仿宋" w:hAnsi="仿宋" w:eastAsia="仿宋" w:cs="仿宋"/>
          <w:color w:val="auto"/>
          <w:sz w:val="28"/>
          <w:szCs w:val="28"/>
          <w:highlight w:val="none"/>
          <w:lang w:val="en-US" w:eastAsia="zh-CN"/>
        </w:rPr>
        <w:t>采购的</w:t>
      </w:r>
      <w:r>
        <w:rPr>
          <w:rFonts w:hint="eastAsia" w:ascii="仿宋" w:hAnsi="仿宋" w:eastAsia="仿宋" w:cs="仿宋"/>
          <w:color w:val="auto"/>
          <w:sz w:val="28"/>
          <w:szCs w:val="28"/>
          <w:highlight w:val="none"/>
        </w:rPr>
        <w:t>进度及方案、实施方案、价款支付与结算审核等的监督和管理；</w:t>
      </w:r>
    </w:p>
    <w:p w14:paraId="62BAA9E3">
      <w:pPr>
        <w:pageBreakBefore w:val="0"/>
        <w:bidi w:val="0"/>
        <w:spacing w:line="360" w:lineRule="auto"/>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4）供应商应保证在本项目中使用的产品、材料和服务的任何一部分，不会产生因第三方提出的侵犯其专利权、商标权、著作权或其它知识产权而引起的法律和经济纠纷，由此引起的纠纷，由供应商承担所有相关责任；</w:t>
      </w:r>
    </w:p>
    <w:p w14:paraId="71BD7E99">
      <w:pPr>
        <w:pageBreakBefore w:val="0"/>
        <w:bidi w:val="0"/>
        <w:spacing w:line="360" w:lineRule="auto"/>
        <w:ind w:firstLine="548" w:firstLineChars="196"/>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采购人享有在本项目实施过程中产生的知识成果及知识产权。供应商如欲在项目实施过程中采用自有知识成果，需在投标文件中声明，并提供相关知识产权证明文件。使用该知识成果后，供应商须提供开发接口和开发手册等技术文档，并承诺提供无限期技术支持，采购人享有永久使用权。如采用供应商所不拥有的知识产权，则在投标报价中必须包含合法获得该知识产权的相关费用。</w:t>
      </w:r>
    </w:p>
    <w:p w14:paraId="14F57F5D">
      <w:pPr>
        <w:pageBreakBefore w:val="0"/>
        <w:bidi w:val="0"/>
        <w:spacing w:line="360" w:lineRule="auto"/>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4、供应商不得以他人名义投标和串通投标。</w:t>
      </w:r>
    </w:p>
    <w:p w14:paraId="4E060629">
      <w:pPr>
        <w:pageBreakBefore w:val="0"/>
        <w:bidi w:val="0"/>
        <w:spacing w:line="360" w:lineRule="auto"/>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bCs/>
          <w:color w:val="auto"/>
          <w:sz w:val="28"/>
          <w:szCs w:val="28"/>
          <w:highlight w:val="none"/>
        </w:rPr>
        <w:t>5、</w:t>
      </w:r>
      <w:r>
        <w:rPr>
          <w:rFonts w:hint="eastAsia" w:ascii="仿宋" w:hAnsi="仿宋" w:eastAsia="仿宋" w:cs="仿宋"/>
          <w:color w:val="auto"/>
          <w:sz w:val="28"/>
          <w:szCs w:val="28"/>
          <w:highlight w:val="none"/>
        </w:rPr>
        <w:t>投标文件填写说明</w:t>
      </w:r>
    </w:p>
    <w:p w14:paraId="6CDAC117">
      <w:pPr>
        <w:pageBreakBefore w:val="0"/>
        <w:bidi w:val="0"/>
        <w:spacing w:line="360" w:lineRule="auto"/>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5-1、投标文件格式：供应商提交的投标文件应当使用招标文件规定的全部格式（表格可以按同样格式扩展）编写，装订成册。</w:t>
      </w:r>
    </w:p>
    <w:p w14:paraId="0EA12588">
      <w:pPr>
        <w:pageBreakBefore w:val="0"/>
        <w:bidi w:val="0"/>
        <w:spacing w:line="360" w:lineRule="auto"/>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5-2、</w:t>
      </w:r>
      <w:r>
        <w:rPr>
          <w:rFonts w:hint="eastAsia" w:ascii="仿宋" w:hAnsi="仿宋" w:eastAsia="仿宋" w:cs="仿宋"/>
          <w:color w:val="auto"/>
          <w:spacing w:val="-4"/>
          <w:sz w:val="28"/>
          <w:szCs w:val="28"/>
          <w:highlight w:val="none"/>
        </w:rPr>
        <w:t>投标报价一览表为在开标会议上唱标的内容，要求按格式填写。若供应商填写有误，采购代理机构将默认为招标文件要求格式。</w:t>
      </w:r>
    </w:p>
    <w:p w14:paraId="141A58FC">
      <w:pPr>
        <w:pageBreakBefore w:val="0"/>
        <w:bidi w:val="0"/>
        <w:spacing w:line="360" w:lineRule="auto"/>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6、投标文件的计量单位</w:t>
      </w:r>
    </w:p>
    <w:p w14:paraId="37FD5C08">
      <w:pPr>
        <w:pageBreakBefore w:val="0"/>
        <w:bidi w:val="0"/>
        <w:spacing w:line="360" w:lineRule="auto"/>
        <w:ind w:left="-158" w:leftChars="-75" w:firstLine="728" w:firstLineChars="260"/>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投标文件中所使用的计量单位，除有特殊要求外，均采用国家法定计量单位。</w:t>
      </w:r>
    </w:p>
    <w:p w14:paraId="102D43F1">
      <w:pPr>
        <w:pageBreakBefore w:val="0"/>
        <w:bidi w:val="0"/>
        <w:spacing w:line="360" w:lineRule="auto"/>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bCs/>
          <w:color w:val="auto"/>
          <w:sz w:val="28"/>
          <w:szCs w:val="28"/>
          <w:highlight w:val="none"/>
        </w:rPr>
        <w:t>7、投标报价</w:t>
      </w:r>
    </w:p>
    <w:p w14:paraId="7109C811">
      <w:pPr>
        <w:pageBreakBefore w:val="0"/>
        <w:bidi w:val="0"/>
        <w:spacing w:line="460" w:lineRule="exact"/>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7-1、投标货币：人民币      单位:元。</w:t>
      </w:r>
    </w:p>
    <w:p w14:paraId="1CBDA117">
      <w:pPr>
        <w:pageBreakBefore w:val="0"/>
        <w:bidi w:val="0"/>
        <w:spacing w:line="460" w:lineRule="exact"/>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7-2、供应商要按所报产品分项报价表内容填写货物品名、单价及总价、制造厂家等内容。</w:t>
      </w:r>
    </w:p>
    <w:p w14:paraId="26EC46C3">
      <w:pPr>
        <w:pageBreakBefore w:val="0"/>
        <w:bidi w:val="0"/>
        <w:spacing w:line="460" w:lineRule="exact"/>
        <w:ind w:firstLine="551" w:firstLineChars="196"/>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7-3、投标报价是完成本项目的全部费用，后期不再增加任何费用</w:t>
      </w:r>
      <w:r>
        <w:rPr>
          <w:rFonts w:hint="eastAsia" w:ascii="仿宋" w:hAnsi="仿宋" w:eastAsia="仿宋" w:cs="仿宋"/>
          <w:b/>
          <w:color w:val="auto"/>
          <w:sz w:val="28"/>
          <w:szCs w:val="28"/>
          <w:highlight w:val="none"/>
          <w:lang w:eastAsia="zh-CN"/>
        </w:rPr>
        <w:t>，</w:t>
      </w:r>
      <w:r>
        <w:rPr>
          <w:rFonts w:hint="eastAsia" w:ascii="仿宋" w:hAnsi="仿宋" w:eastAsia="仿宋" w:cs="仿宋"/>
          <w:b/>
          <w:color w:val="auto"/>
          <w:sz w:val="28"/>
          <w:szCs w:val="28"/>
          <w:highlight w:val="none"/>
        </w:rPr>
        <w:t>采购单位不再单独支付其他任何费用。</w:t>
      </w:r>
    </w:p>
    <w:p w14:paraId="41356905">
      <w:pPr>
        <w:pStyle w:val="7"/>
        <w:pageBreakBefore w:val="0"/>
        <w:bidi w:val="0"/>
        <w:ind w:firstLine="480"/>
        <w:outlineLvl w:val="9"/>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val="zh-CN"/>
        </w:rPr>
        <w:t xml:space="preserve"> 投标报价表中标明的价格，在合同执行过程中，不得以任何理由变更。</w:t>
      </w:r>
    </w:p>
    <w:p w14:paraId="77725C67">
      <w:pPr>
        <w:pageBreakBefore w:val="0"/>
        <w:bidi w:val="0"/>
        <w:spacing w:line="460" w:lineRule="exact"/>
        <w:ind w:firstLine="551" w:firstLineChars="196"/>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b/>
          <w:color w:val="auto"/>
          <w:sz w:val="28"/>
          <w:szCs w:val="28"/>
          <w:highlight w:val="none"/>
        </w:rPr>
        <w:t>注：本项目采购预算：</w:t>
      </w:r>
      <w:r>
        <w:rPr>
          <w:rFonts w:hint="eastAsia" w:ascii="仿宋" w:hAnsi="仿宋" w:eastAsia="仿宋" w:cs="仿宋"/>
          <w:color w:val="auto"/>
          <w:kern w:val="2"/>
          <w:sz w:val="28"/>
          <w:szCs w:val="28"/>
          <w:highlight w:val="none"/>
          <w:lang w:val="en-US" w:eastAsia="zh-CN" w:bidi="ar-SA"/>
        </w:rPr>
        <w:t>3222900.00</w:t>
      </w:r>
      <w:r>
        <w:rPr>
          <w:rFonts w:hint="eastAsia" w:ascii="仿宋" w:hAnsi="仿宋" w:eastAsia="仿宋" w:cs="仿宋"/>
          <w:color w:val="auto"/>
          <w:kern w:val="2"/>
          <w:sz w:val="28"/>
          <w:szCs w:val="28"/>
          <w:highlight w:val="none"/>
          <w:lang w:val="zh-CN" w:eastAsia="zh-CN" w:bidi="ar-SA"/>
        </w:rPr>
        <w:t>元</w:t>
      </w:r>
    </w:p>
    <w:p w14:paraId="24D3972F">
      <w:pPr>
        <w:pageBreakBefore w:val="0"/>
        <w:bidi w:val="0"/>
        <w:spacing w:line="460" w:lineRule="exact"/>
        <w:ind w:firstLine="548" w:firstLineChars="196"/>
        <w:outlineLvl w:val="9"/>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7-5、供应商须对《采购内容及技术要求》中任何货物需求、服务要求进行完整报价，采购代理机构拒绝只对部分服务进行报价的投标。供应商应在投标文件中的投标报价表上标明对本次招标拟提供货物、材料的单价和总价。任何有选择的报价将不予接受，每项</w:t>
      </w:r>
      <w:r>
        <w:rPr>
          <w:rFonts w:hint="eastAsia" w:ascii="仿宋" w:hAnsi="仿宋" w:eastAsia="仿宋" w:cs="仿宋"/>
          <w:color w:val="auto"/>
          <w:sz w:val="28"/>
          <w:szCs w:val="28"/>
          <w:highlight w:val="none"/>
          <w:lang w:val="en-US" w:eastAsia="zh-CN"/>
        </w:rPr>
        <w:t>内容</w:t>
      </w:r>
      <w:r>
        <w:rPr>
          <w:rFonts w:hint="eastAsia" w:ascii="仿宋" w:hAnsi="仿宋" w:eastAsia="仿宋" w:cs="仿宋"/>
          <w:color w:val="auto"/>
          <w:sz w:val="28"/>
          <w:szCs w:val="28"/>
          <w:highlight w:val="none"/>
        </w:rPr>
        <w:t>只允许有一个报价。</w:t>
      </w:r>
    </w:p>
    <w:p w14:paraId="28220767">
      <w:pPr>
        <w:pageBreakBefore w:val="0"/>
        <w:bidi w:val="0"/>
        <w:spacing w:line="46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、供应商所报的投标价在合同执行过程中是固定不变的，不得以任何理由予以变更。任何包含价格调整要求的投标，将被认为是非响应性投标而予以拒绝。</w:t>
      </w:r>
    </w:p>
    <w:p w14:paraId="06F8167A">
      <w:pPr>
        <w:pageBreakBefore w:val="0"/>
        <w:widowControl/>
        <w:bidi w:val="0"/>
        <w:spacing w:line="460" w:lineRule="exact"/>
        <w:ind w:firstLine="551" w:firstLineChars="197"/>
        <w:jc w:val="lef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、采购代理机构不接受供应商对任何未办理正常进口手续的货物的投标报价。</w:t>
      </w:r>
    </w:p>
    <w:p w14:paraId="4FB64A0D">
      <w:pPr>
        <w:pageBreakBefore w:val="0"/>
        <w:bidi w:val="0"/>
        <w:spacing w:line="460" w:lineRule="exact"/>
        <w:ind w:firstLine="560" w:firstLineChars="200"/>
        <w:outlineLvl w:val="9"/>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w:t>
      </w:r>
      <w:r>
        <w:rPr>
          <w:rFonts w:hint="eastAsia" w:ascii="仿宋" w:hAnsi="仿宋" w:eastAsia="仿宋" w:cs="仿宋"/>
          <w:b/>
          <w:color w:val="auto"/>
          <w:sz w:val="28"/>
          <w:szCs w:val="28"/>
          <w:highlight w:val="none"/>
        </w:rPr>
        <w:t>最低报价不是中标的唯一依据。</w:t>
      </w:r>
    </w:p>
    <w:p w14:paraId="55F28E54">
      <w:pPr>
        <w:pageBreakBefore w:val="0"/>
        <w:bidi w:val="0"/>
        <w:spacing w:line="46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供应商不得以低于成本的报价参加投标。当评标委员会认为某个供应商的投标价或者某些分项报价明显不合理或者低于成本，有可能影响设备质量和不能诚信履约的，可要求该供应商在规定的期限内提供书面文件予以解释说明，并提交相关证明材料；否则，评标委员会认定该供应商以低于成本报价竞标，其投标应作废标处理。</w:t>
      </w:r>
    </w:p>
    <w:p w14:paraId="313FA846">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8、投标期间一切费用自理。</w:t>
      </w:r>
    </w:p>
    <w:p w14:paraId="2CA169FA">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9、投标文件的制作</w:t>
      </w:r>
    </w:p>
    <w:p w14:paraId="27C43FED">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9-1、投标文件的签署及规定</w:t>
      </w:r>
    </w:p>
    <w:p w14:paraId="20DCA4C7">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（1）投标文件的各项资料均应遵守本条规定。</w:t>
      </w:r>
    </w:p>
    <w:p w14:paraId="37D15913">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（2）供应商应填写全称，同时加盖供应商公章。</w:t>
      </w:r>
    </w:p>
    <w:p w14:paraId="4C6E5D4F">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）除供应商对错误处需修改外，全套投标文件应无涂改或行间插字或增删。如有修改，修改处应加盖供应商公章及法人代表或委托人签字或盖章确认。</w:t>
      </w:r>
    </w:p>
    <w:p w14:paraId="7C6908EA">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）因字迹潦草或表达不清所引起的后果由供应商自行负责。</w:t>
      </w:r>
    </w:p>
    <w:p w14:paraId="6934B008">
      <w:pPr>
        <w:pageBreakBefore w:val="0"/>
        <w:bidi w:val="0"/>
        <w:spacing w:line="360" w:lineRule="auto"/>
        <w:ind w:firstLine="562" w:firstLineChars="200"/>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10、技术部分</w:t>
      </w:r>
    </w:p>
    <w:p w14:paraId="4C21C244">
      <w:pPr>
        <w:pageBreakBefore w:val="0"/>
        <w:numPr>
          <w:ilvl w:val="0"/>
          <w:numId w:val="0"/>
        </w:numPr>
        <w:bidi w:val="0"/>
        <w:spacing w:line="360" w:lineRule="auto"/>
        <w:ind w:left="560" w:leftChars="0"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供应商按照招标文件要求，针对本项目的技术指标和要求作出实质性响应，不得出现重大负偏离。</w:t>
      </w:r>
    </w:p>
    <w:p w14:paraId="2C07D718">
      <w:pPr>
        <w:pageBreakBefore w:val="0"/>
        <w:bidi w:val="0"/>
        <w:spacing w:line="360" w:lineRule="auto"/>
        <w:ind w:left="560"/>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11、商务部分</w:t>
      </w:r>
    </w:p>
    <w:p w14:paraId="05F5188C">
      <w:pPr>
        <w:pageBreakBefore w:val="0"/>
        <w:numPr>
          <w:ilvl w:val="0"/>
          <w:numId w:val="0"/>
        </w:numPr>
        <w:bidi w:val="0"/>
        <w:spacing w:line="360" w:lineRule="auto"/>
        <w:ind w:firstLine="560" w:firstLineChars="200"/>
        <w:outlineLvl w:val="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供应商按照招标文件要求，针对本项目的商务要求作出实质性响应，不得出现重大负偏离</w:t>
      </w:r>
      <w:r>
        <w:rPr>
          <w:rFonts w:hint="eastAsia" w:ascii="仿宋" w:hAnsi="仿宋" w:eastAsia="仿宋" w:cs="仿宋"/>
          <w:color w:val="auto"/>
          <w:sz w:val="28"/>
          <w:szCs w:val="28"/>
          <w:highlight w:val="none"/>
          <w:lang w:eastAsia="zh-CN"/>
        </w:rPr>
        <w:t>。</w:t>
      </w:r>
    </w:p>
    <w:p w14:paraId="2987A877">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四</w:t>
      </w:r>
      <w:r>
        <w:rPr>
          <w:rFonts w:hint="eastAsia" w:ascii="仿宋" w:hAnsi="仿宋" w:eastAsia="仿宋" w:cs="仿宋"/>
          <w:b/>
          <w:color w:val="auto"/>
          <w:sz w:val="28"/>
          <w:szCs w:val="28"/>
          <w:highlight w:val="none"/>
        </w:rPr>
        <w:t>、投标</w:t>
      </w:r>
    </w:p>
    <w:p w14:paraId="44A79E94">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1、投标文件的装订和递交</w:t>
      </w:r>
      <w:r>
        <w:rPr>
          <w:rFonts w:hint="eastAsia" w:ascii="仿宋" w:hAnsi="仿宋" w:eastAsia="仿宋" w:cs="仿宋"/>
          <w:color w:val="auto"/>
          <w:sz w:val="28"/>
          <w:szCs w:val="28"/>
          <w:highlight w:val="none"/>
        </w:rPr>
        <w:tab/>
      </w:r>
    </w:p>
    <w:p w14:paraId="023FE731">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1-1、投标文件的装订：</w:t>
      </w:r>
    </w:p>
    <w:p w14:paraId="330CCAE3">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（1）投标时，供应商应自行将投标文件密封完好。标袋上应写明项目名称、编号、供应商名称及“正本”、“副本”字样，并在密封条接缝处加盖单位公章（鲜章）和法定代表人或被授权人印章(或签字）；</w:t>
      </w:r>
    </w:p>
    <w:p w14:paraId="233D3C8D">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（2）投标文件一律采用书籍（胶装）方式装订。投标文件正本一份，副本二份，</w:t>
      </w:r>
      <w:r>
        <w:rPr>
          <w:rFonts w:hint="eastAsia" w:ascii="仿宋" w:hAnsi="仿宋" w:eastAsia="仿宋" w:cs="仿宋"/>
          <w:color w:val="auto"/>
          <w:sz w:val="28"/>
          <w:szCs w:val="28"/>
          <w:highlight w:val="none"/>
          <w:lang w:eastAsia="zh-CN"/>
        </w:rPr>
        <w:t>建议双面打印，</w:t>
      </w:r>
      <w:r>
        <w:rPr>
          <w:rFonts w:hint="eastAsia" w:ascii="仿宋" w:hAnsi="仿宋" w:eastAsia="仿宋" w:cs="仿宋"/>
          <w:color w:val="auto"/>
          <w:sz w:val="28"/>
          <w:szCs w:val="28"/>
          <w:highlight w:val="none"/>
        </w:rPr>
        <w:t>电子文件（U盘）</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份，投标报价一览表一份。投标文件的正本和副本均须A4纸打印，并编制目录和页码。正、副本分别各自装订成册，单独密封，电子文件和投标报价一览表密封在同一标袋内。各标袋上注明“开标时启封”字样。如果正本与副本不符，以正本为准。</w:t>
      </w:r>
    </w:p>
    <w:p w14:paraId="0EA5C813">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1-2、投标文件的递交：</w:t>
      </w:r>
    </w:p>
    <w:p w14:paraId="102A6849">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（1）供应商应按规定的时间、地点，于投标截止时间前递交</w:t>
      </w:r>
      <w:r>
        <w:rPr>
          <w:rFonts w:hint="eastAsia" w:ascii="仿宋" w:hAnsi="仿宋" w:eastAsia="仿宋" w:cs="仿宋"/>
          <w:color w:val="auto"/>
          <w:sz w:val="28"/>
          <w:szCs w:val="28"/>
          <w:highlight w:val="none"/>
          <w:lang w:eastAsia="zh-CN"/>
        </w:rPr>
        <w:t>并上传</w:t>
      </w:r>
      <w:r>
        <w:rPr>
          <w:rFonts w:hint="eastAsia" w:ascii="仿宋" w:hAnsi="仿宋" w:eastAsia="仿宋" w:cs="仿宋"/>
          <w:color w:val="auto"/>
          <w:sz w:val="28"/>
          <w:szCs w:val="28"/>
          <w:highlight w:val="none"/>
        </w:rPr>
        <w:t>投标文件；</w:t>
      </w:r>
    </w:p>
    <w:p w14:paraId="4F527CCC">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（2）采购代理机构推迟递交</w:t>
      </w:r>
      <w:r>
        <w:rPr>
          <w:rFonts w:hint="eastAsia" w:ascii="仿宋" w:hAnsi="仿宋" w:eastAsia="仿宋" w:cs="仿宋"/>
          <w:bCs/>
          <w:color w:val="auto"/>
          <w:sz w:val="28"/>
          <w:szCs w:val="28"/>
          <w:highlight w:val="none"/>
        </w:rPr>
        <w:t>投标</w:t>
      </w:r>
      <w:r>
        <w:rPr>
          <w:rFonts w:hint="eastAsia" w:ascii="仿宋" w:hAnsi="仿宋" w:eastAsia="仿宋" w:cs="仿宋"/>
          <w:color w:val="auto"/>
          <w:sz w:val="28"/>
          <w:szCs w:val="28"/>
          <w:highlight w:val="none"/>
        </w:rPr>
        <w:t>文件截止时间时，应在投标文件截止时间3日前</w:t>
      </w:r>
      <w:r>
        <w:rPr>
          <w:rFonts w:hint="eastAsia" w:ascii="仿宋" w:hAnsi="仿宋" w:eastAsia="仿宋" w:cs="仿宋"/>
          <w:color w:val="auto"/>
          <w:sz w:val="28"/>
          <w:szCs w:val="28"/>
          <w:highlight w:val="none"/>
          <w:lang w:val="en-US" w:eastAsia="zh-CN"/>
        </w:rPr>
        <w:t>通过相应网站变更开标时间</w:t>
      </w:r>
      <w:r>
        <w:rPr>
          <w:rFonts w:hint="eastAsia" w:ascii="仿宋" w:hAnsi="仿宋" w:eastAsia="仿宋" w:cs="仿宋"/>
          <w:color w:val="auto"/>
          <w:sz w:val="28"/>
          <w:szCs w:val="28"/>
          <w:highlight w:val="none"/>
        </w:rPr>
        <w:t>。采购代理机构和供应商的权利和义务将受到新的截止期的约束。</w:t>
      </w:r>
    </w:p>
    <w:p w14:paraId="4EF7EE67">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（3）供应商在规定的投标截止时间后递交投标文件，将被拒收。</w:t>
      </w:r>
    </w:p>
    <w:p w14:paraId="3699E45F">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1-3、投标文件的补充、修改与撤回：</w:t>
      </w:r>
    </w:p>
    <w:p w14:paraId="50928ED7">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（1）供应商在递交投标文件以后，在规定的投标截止时间之前,可以</w:t>
      </w:r>
      <w:r>
        <w:rPr>
          <w:rFonts w:hint="eastAsia" w:ascii="仿宋" w:hAnsi="仿宋" w:eastAsia="仿宋" w:cs="仿宋"/>
          <w:color w:val="auto"/>
          <w:sz w:val="28"/>
          <w:szCs w:val="28"/>
          <w:highlight w:val="none"/>
          <w:lang w:val="en-US" w:eastAsia="zh-CN"/>
        </w:rPr>
        <w:t>通过全国公共资源交易平台（陕西省·延安市）</w:t>
      </w:r>
      <w:r>
        <w:rPr>
          <w:rFonts w:hint="eastAsia" w:ascii="仿宋" w:hAnsi="仿宋" w:eastAsia="仿宋" w:cs="仿宋"/>
          <w:color w:val="auto"/>
          <w:sz w:val="28"/>
          <w:szCs w:val="28"/>
          <w:highlight w:val="none"/>
        </w:rPr>
        <w:t>补充、修改或撤回已递交的投标文件，并以书面形式通知采购代理机构。补充、修改的内容应当按招标文件要求密封、签署、盖章，并作为投标文件的组成部分；补充、修改的内容与相应文件不一致的，以补充、修改的内容为准；</w:t>
      </w:r>
    </w:p>
    <w:p w14:paraId="4A7F637B">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（2）供应商提出修改和撤标要求的，须在投标截止时间前密封送到采购代理机构，并在封面上加注“修改”或“撤回”字样。采购代理机构摄像留存后，将投标文件（包含纸质及电子版）退还供应商。</w:t>
      </w:r>
    </w:p>
    <w:p w14:paraId="11938FD5">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（3）撤回投标文件应</w:t>
      </w:r>
      <w:r>
        <w:rPr>
          <w:rFonts w:hint="eastAsia" w:ascii="仿宋" w:hAnsi="仿宋" w:eastAsia="仿宋" w:cs="仿宋"/>
          <w:color w:val="auto"/>
          <w:sz w:val="28"/>
          <w:szCs w:val="28"/>
          <w:highlight w:val="none"/>
          <w:lang w:val="en-US" w:eastAsia="zh-CN"/>
        </w:rPr>
        <w:t>通过全国公共资源交易平台（陕西省·延安市），并以</w:t>
      </w:r>
      <w:r>
        <w:rPr>
          <w:rFonts w:hint="eastAsia" w:ascii="仿宋" w:hAnsi="仿宋" w:eastAsia="仿宋" w:cs="仿宋"/>
          <w:color w:val="auto"/>
          <w:sz w:val="28"/>
          <w:szCs w:val="28"/>
          <w:highlight w:val="none"/>
        </w:rPr>
        <w:t>书面形式由有权人（法人代表或授权代表）通知采购代理机构。如采取传真形式撤回投标，随后必须补充有法人代表或授权代表签署的要求撤回投标的正式文件。以在招标开始前</w:t>
      </w:r>
      <w:r>
        <w:rPr>
          <w:rFonts w:hint="eastAsia" w:ascii="仿宋" w:hAnsi="仿宋" w:eastAsia="仿宋" w:cs="仿宋"/>
          <w:color w:val="auto"/>
          <w:sz w:val="28"/>
          <w:szCs w:val="28"/>
          <w:highlight w:val="none"/>
          <w:lang w:val="en-US" w:eastAsia="zh-CN"/>
        </w:rPr>
        <w:t>上传及</w:t>
      </w:r>
      <w:r>
        <w:rPr>
          <w:rFonts w:hint="eastAsia" w:ascii="仿宋" w:hAnsi="仿宋" w:eastAsia="仿宋" w:cs="仿宋"/>
          <w:color w:val="auto"/>
          <w:sz w:val="28"/>
          <w:szCs w:val="28"/>
          <w:highlight w:val="none"/>
        </w:rPr>
        <w:t>送达为准。</w:t>
      </w:r>
    </w:p>
    <w:p w14:paraId="4604C476">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（4）投标截止时间之后，供应商不得补充、修改投标文件；</w:t>
      </w:r>
    </w:p>
    <w:p w14:paraId="03C5A9AA">
      <w:pPr>
        <w:pageBreakBefore w:val="0"/>
        <w:tabs>
          <w:tab w:val="left" w:pos="2700"/>
        </w:tabs>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（5）在投标截止时间至投标有效期满之前，供应商不得撤回其投标文件，否则其投标保证金将不予退还，提供投标担保的供应商将由专业担保机构先行偿付采购人损失。</w:t>
      </w:r>
    </w:p>
    <w:p w14:paraId="3E965587">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1-4、投标文件的审查标准：</w:t>
      </w:r>
    </w:p>
    <w:p w14:paraId="29B934F5">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（1）投标文件图表与文字不符时，以文字为准；</w:t>
      </w:r>
    </w:p>
    <w:p w14:paraId="16E78656">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（2）投标文件正本与副本不符时，以正本为准；</w:t>
      </w:r>
    </w:p>
    <w:p w14:paraId="63439006">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（3）投标文件大写与小写不符时，以大写为准；</w:t>
      </w:r>
    </w:p>
    <w:p w14:paraId="21431BDE">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（4）单价乘以数量不等于总价时，以单价乘以数量为准；</w:t>
      </w:r>
    </w:p>
    <w:p w14:paraId="7E6B2E0A">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（5）投标文件有关内容与“一览表”不一致的，以“一览表”为准。</w:t>
      </w:r>
    </w:p>
    <w:p w14:paraId="52AE3A77">
      <w:pPr>
        <w:pageBreakBefore w:val="0"/>
        <w:bidi w:val="0"/>
        <w:spacing w:line="360" w:lineRule="auto"/>
        <w:ind w:firstLine="562" w:firstLineChars="200"/>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注：按上述修正方法调整的内容对供应商具有约束力，如果供应商不接受修正后的内容，其投标将被拒绝。</w:t>
      </w:r>
    </w:p>
    <w:p w14:paraId="06EE062C">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1-5、投标文件的有效性：</w:t>
      </w:r>
    </w:p>
    <w:p w14:paraId="646EC686">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（1）开标时，投标文件出现下列情形之一的，应当作为无效投标文件，不得进入评标：</w:t>
      </w:r>
    </w:p>
    <w:p w14:paraId="3BD6A304">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a、供应商未经过正常渠道</w:t>
      </w:r>
      <w:r>
        <w:rPr>
          <w:rFonts w:hint="eastAsia" w:ascii="仿宋" w:hAnsi="仿宋" w:eastAsia="仿宋" w:cs="仿宋"/>
          <w:color w:val="auto"/>
          <w:sz w:val="28"/>
          <w:szCs w:val="28"/>
          <w:highlight w:val="none"/>
          <w:lang w:val="en-US" w:eastAsia="zh-CN"/>
        </w:rPr>
        <w:t>下载</w:t>
      </w:r>
      <w:r>
        <w:rPr>
          <w:rFonts w:hint="eastAsia" w:ascii="仿宋" w:hAnsi="仿宋" w:eastAsia="仿宋" w:cs="仿宋"/>
          <w:color w:val="auto"/>
          <w:sz w:val="28"/>
          <w:szCs w:val="28"/>
          <w:highlight w:val="none"/>
        </w:rPr>
        <w:t>招标文件的；</w:t>
      </w:r>
    </w:p>
    <w:p w14:paraId="486C5653">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b</w:t>
      </w:r>
      <w:r>
        <w:rPr>
          <w:rFonts w:hint="eastAsia" w:ascii="仿宋" w:hAnsi="仿宋" w:eastAsia="仿宋" w:cs="仿宋"/>
          <w:color w:val="auto"/>
          <w:sz w:val="28"/>
          <w:szCs w:val="28"/>
          <w:highlight w:val="none"/>
        </w:rPr>
        <w:t>、供应商未按招标文件的要求提供投标担保或所提供的投标担保有瑕疵的；</w:t>
      </w:r>
    </w:p>
    <w:p w14:paraId="071DF059">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c</w:t>
      </w:r>
      <w:r>
        <w:rPr>
          <w:rFonts w:hint="eastAsia" w:ascii="仿宋" w:hAnsi="仿宋" w:eastAsia="仿宋" w:cs="仿宋"/>
          <w:color w:val="auto"/>
          <w:sz w:val="28"/>
          <w:szCs w:val="28"/>
          <w:highlight w:val="none"/>
        </w:rPr>
        <w:t>、投标文件的关键内容字迹模糊、无法辨认的；</w:t>
      </w:r>
    </w:p>
    <w:p w14:paraId="735A2490">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d</w:t>
      </w:r>
      <w:r>
        <w:rPr>
          <w:rFonts w:hint="eastAsia" w:ascii="仿宋" w:hAnsi="仿宋" w:eastAsia="仿宋" w:cs="仿宋"/>
          <w:color w:val="auto"/>
          <w:sz w:val="28"/>
          <w:szCs w:val="28"/>
          <w:highlight w:val="none"/>
        </w:rPr>
        <w:t>、供应商名称与</w:t>
      </w:r>
      <w:r>
        <w:rPr>
          <w:rFonts w:hint="eastAsia" w:ascii="仿宋" w:hAnsi="仿宋" w:eastAsia="仿宋" w:cs="仿宋"/>
          <w:color w:val="auto"/>
          <w:sz w:val="28"/>
          <w:szCs w:val="28"/>
          <w:highlight w:val="none"/>
          <w:lang w:val="en-US" w:eastAsia="zh-CN"/>
        </w:rPr>
        <w:t>营业执照</w:t>
      </w:r>
      <w:r>
        <w:rPr>
          <w:rFonts w:hint="eastAsia" w:ascii="仿宋" w:hAnsi="仿宋" w:eastAsia="仿宋" w:cs="仿宋"/>
          <w:color w:val="auto"/>
          <w:sz w:val="28"/>
          <w:szCs w:val="28"/>
          <w:highlight w:val="none"/>
        </w:rPr>
        <w:t>不一致的；</w:t>
      </w:r>
    </w:p>
    <w:p w14:paraId="523D695B">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e</w:t>
      </w:r>
      <w:r>
        <w:rPr>
          <w:rFonts w:hint="eastAsia" w:ascii="仿宋" w:hAnsi="仿宋" w:eastAsia="仿宋" w:cs="仿宋"/>
          <w:color w:val="auto"/>
          <w:sz w:val="28"/>
          <w:szCs w:val="28"/>
          <w:highlight w:val="none"/>
        </w:rPr>
        <w:t xml:space="preserve">、不符合技术规格、技术标准要求的； </w:t>
      </w:r>
    </w:p>
    <w:p w14:paraId="3709264E">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f</w:t>
      </w:r>
      <w:r>
        <w:rPr>
          <w:rFonts w:hint="eastAsia" w:ascii="仿宋" w:hAnsi="仿宋" w:eastAsia="仿宋" w:cs="仿宋"/>
          <w:color w:val="auto"/>
          <w:sz w:val="28"/>
          <w:szCs w:val="28"/>
          <w:highlight w:val="none"/>
        </w:rPr>
        <w:t xml:space="preserve">、投标文件载明的货物包装方式、检验标准和方法等不符合招标文件要求的； </w:t>
      </w:r>
    </w:p>
    <w:p w14:paraId="176D0AA6">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g</w:t>
      </w:r>
      <w:r>
        <w:rPr>
          <w:rFonts w:hint="eastAsia" w:ascii="仿宋" w:hAnsi="仿宋" w:eastAsia="仿宋" w:cs="仿宋"/>
          <w:color w:val="auto"/>
          <w:sz w:val="28"/>
          <w:szCs w:val="28"/>
          <w:highlight w:val="none"/>
        </w:rPr>
        <w:t>、投标文件附有采购人不能接受的条件的；</w:t>
      </w:r>
    </w:p>
    <w:p w14:paraId="51094F5F">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h</w:t>
      </w:r>
      <w:r>
        <w:rPr>
          <w:rFonts w:hint="eastAsia" w:ascii="仿宋" w:hAnsi="仿宋" w:eastAsia="仿宋" w:cs="仿宋"/>
          <w:color w:val="auto"/>
          <w:sz w:val="28"/>
          <w:szCs w:val="28"/>
          <w:highlight w:val="none"/>
        </w:rPr>
        <w:t>、不符合招标文件规定的其他实质性要求的。</w:t>
      </w:r>
    </w:p>
    <w:p w14:paraId="148CCD37">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pacing w:val="-4"/>
          <w:sz w:val="28"/>
          <w:szCs w:val="28"/>
          <w:highlight w:val="none"/>
        </w:rPr>
        <w:t>投标文件的有效期：自</w:t>
      </w:r>
      <w:r>
        <w:rPr>
          <w:rFonts w:hint="eastAsia" w:ascii="仿宋" w:hAnsi="仿宋" w:eastAsia="仿宋" w:cs="仿宋"/>
          <w:color w:val="auto"/>
          <w:spacing w:val="-4"/>
          <w:sz w:val="28"/>
          <w:szCs w:val="28"/>
          <w:highlight w:val="none"/>
          <w:lang w:eastAsia="zh-CN"/>
        </w:rPr>
        <w:t>递交投标文件截止</w:t>
      </w:r>
      <w:r>
        <w:rPr>
          <w:rFonts w:hint="eastAsia" w:ascii="仿宋" w:hAnsi="仿宋" w:eastAsia="仿宋" w:cs="仿宋"/>
          <w:color w:val="auto"/>
          <w:spacing w:val="-4"/>
          <w:sz w:val="28"/>
          <w:szCs w:val="28"/>
          <w:highlight w:val="none"/>
        </w:rPr>
        <w:t>之日起90个日历天。</w:t>
      </w:r>
    </w:p>
    <w:p w14:paraId="1F2AB157">
      <w:pPr>
        <w:pageBreakBefore w:val="0"/>
        <w:bidi w:val="0"/>
        <w:spacing w:line="360" w:lineRule="auto"/>
        <w:ind w:firstLine="562" w:firstLineChars="200"/>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五</w:t>
      </w:r>
      <w:r>
        <w:rPr>
          <w:rFonts w:hint="eastAsia" w:ascii="仿宋" w:hAnsi="仿宋" w:eastAsia="仿宋" w:cs="仿宋"/>
          <w:b/>
          <w:color w:val="auto"/>
          <w:sz w:val="28"/>
          <w:szCs w:val="28"/>
          <w:highlight w:val="none"/>
        </w:rPr>
        <w:t>、开标、评标和定标</w:t>
      </w:r>
    </w:p>
    <w:p w14:paraId="0EB4F258">
      <w:pPr>
        <w:pageBreakBefore w:val="0"/>
        <w:bidi w:val="0"/>
        <w:spacing w:line="360" w:lineRule="auto"/>
        <w:ind w:firstLine="560" w:firstLineChars="200"/>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1、开标</w:t>
      </w:r>
    </w:p>
    <w:p w14:paraId="2BD79309">
      <w:pPr>
        <w:pageBreakBefore w:val="0"/>
        <w:bidi w:val="0"/>
        <w:spacing w:line="360" w:lineRule="auto"/>
        <w:ind w:firstLine="560" w:firstLineChars="200"/>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本项目采购不见面开标。供应商</w:t>
      </w:r>
      <w:r>
        <w:rPr>
          <w:rFonts w:hint="eastAsia" w:ascii="仿宋" w:hAnsi="仿宋" w:eastAsia="仿宋" w:cs="仿宋"/>
          <w:color w:val="auto"/>
          <w:sz w:val="28"/>
          <w:szCs w:val="28"/>
          <w:highlight w:val="none"/>
        </w:rPr>
        <w:t>应在系统发出解密指令后规定时间内对投标文件完成解密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供应商未按规定下载、上传或对投标文件进行解密造成废标的，后果由供应商自行承担。</w:t>
      </w:r>
    </w:p>
    <w:p w14:paraId="24F916C3">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2、评标</w:t>
      </w:r>
    </w:p>
    <w:p w14:paraId="51A22C72">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w:t>
      </w:r>
      <w:r>
        <w:rPr>
          <w:rFonts w:hint="eastAsia" w:ascii="仿宋" w:hAnsi="仿宋" w:eastAsia="仿宋" w:cs="仿宋"/>
          <w:bCs/>
          <w:color w:val="auto"/>
          <w:sz w:val="28"/>
          <w:szCs w:val="28"/>
          <w:highlight w:val="none"/>
        </w:rPr>
        <w:t>评标委员会</w:t>
      </w:r>
    </w:p>
    <w:p w14:paraId="4C51A289">
      <w:pPr>
        <w:pageBreakBefore w:val="0"/>
        <w:bidi w:val="0"/>
        <w:spacing w:line="360" w:lineRule="auto"/>
        <w:ind w:firstLine="560" w:firstLineChars="200"/>
        <w:outlineLvl w:val="9"/>
        <w:rPr>
          <w:rFonts w:hint="eastAsia" w:ascii="仿宋" w:hAnsi="仿宋" w:eastAsia="仿宋" w:cs="仿宋"/>
          <w:b w:val="0"/>
          <w:bCs w:val="0"/>
          <w:color w:val="auto"/>
          <w:sz w:val="28"/>
          <w:szCs w:val="28"/>
          <w:highlight w:val="none"/>
        </w:rPr>
      </w:pPr>
      <w:r>
        <w:rPr>
          <w:rFonts w:hint="eastAsia" w:ascii="仿宋" w:hAnsi="仿宋" w:eastAsia="仿宋" w:cs="仿宋"/>
          <w:color w:val="auto"/>
          <w:sz w:val="28"/>
          <w:szCs w:val="28"/>
          <w:highlight w:val="none"/>
        </w:rPr>
        <w:t>（1）采购代理机构根据《中华人民共和国政府采购法》、《中华人民共和国政府采购法实施条例》和“财政部第18号部长令”的规定，依法组建评标委员会。</w:t>
      </w:r>
      <w:r>
        <w:rPr>
          <w:rFonts w:hint="eastAsia" w:ascii="仿宋" w:hAnsi="仿宋" w:eastAsia="仿宋" w:cs="仿宋"/>
          <w:b w:val="0"/>
          <w:bCs w:val="0"/>
          <w:color w:val="auto"/>
          <w:sz w:val="28"/>
          <w:szCs w:val="28"/>
          <w:highlight w:val="none"/>
        </w:rPr>
        <w:t>评标委员会由采购人代表和评标专家共</w:t>
      </w:r>
      <w:r>
        <w:rPr>
          <w:rFonts w:hint="eastAsia" w:ascii="仿宋" w:hAnsi="仿宋" w:eastAsia="仿宋" w:cs="仿宋"/>
          <w:b w:val="0"/>
          <w:bCs w:val="0"/>
          <w:color w:val="auto"/>
          <w:sz w:val="28"/>
          <w:szCs w:val="28"/>
          <w:highlight w:val="none"/>
          <w:lang w:val="en-US" w:eastAsia="zh-CN"/>
        </w:rPr>
        <w:t>5</w:t>
      </w:r>
      <w:r>
        <w:rPr>
          <w:rFonts w:hint="eastAsia" w:ascii="仿宋" w:hAnsi="仿宋" w:eastAsia="仿宋" w:cs="仿宋"/>
          <w:b w:val="0"/>
          <w:bCs w:val="0"/>
          <w:color w:val="auto"/>
          <w:sz w:val="28"/>
          <w:szCs w:val="28"/>
          <w:highlight w:val="none"/>
        </w:rPr>
        <w:t>人组成。评标委员会负责对具备实质性响应的投标文件进行评估和比较。</w:t>
      </w:r>
    </w:p>
    <w:p w14:paraId="167E030F">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（2）评标委员会成员应当遵守并履行下列职责义务：</w:t>
      </w:r>
    </w:p>
    <w:p w14:paraId="10786016">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a、遵纪守法，客观、公正、认真负责地履行职责，根据招标文件规定的评标程序、评标方法和评标标准审查投标文件是否符合招标文件的要求，并做出评价；</w:t>
      </w:r>
    </w:p>
    <w:p w14:paraId="7407086F">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b、认定供应商必备资质；</w:t>
      </w:r>
    </w:p>
    <w:p w14:paraId="119B4BFE">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c、评标委员会可要求供应商就投标文件中含义不明确的内容进行书面说明并提供相关材料。</w:t>
      </w:r>
    </w:p>
    <w:p w14:paraId="50BE6808">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d、依据招标文件的要求和评审标准进行评审，推荐中标候选单位名单，对评标意见承担个人责任；</w:t>
      </w:r>
    </w:p>
    <w:p w14:paraId="4BD122D2">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e、对评标过程及各供应商的商业机密予以保密；</w:t>
      </w:r>
    </w:p>
    <w:p w14:paraId="58EBD19F">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f、拟定评标结果；</w:t>
      </w:r>
    </w:p>
    <w:p w14:paraId="24400F4D">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g、告知采购人、采购代理机构在评标过程中发现的供应商的违法违规行为；</w:t>
      </w:r>
    </w:p>
    <w:p w14:paraId="68880C6D">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h、配合采购人、采购代理机构答复各供应商提出的质疑；</w:t>
      </w:r>
    </w:p>
    <w:p w14:paraId="17D9D8C9">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i、配合各部门的投诉处理和监督检查工作。</w:t>
      </w:r>
    </w:p>
    <w:p w14:paraId="3C292123">
      <w:pPr>
        <w:pageBreakBefore w:val="0"/>
        <w:bidi w:val="0"/>
        <w:spacing w:line="360" w:lineRule="auto"/>
        <w:ind w:firstLine="562" w:firstLineChars="200"/>
        <w:outlineLvl w:val="9"/>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2-2、评标原则</w:t>
      </w:r>
    </w:p>
    <w:p w14:paraId="3FB95A96">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坚持公平、公正、科学、择优，合理低价，禁止不正当竞争。</w:t>
      </w:r>
    </w:p>
    <w:p w14:paraId="1ABBDCD4">
      <w:pPr>
        <w:pageBreakBefore w:val="0"/>
        <w:bidi w:val="0"/>
        <w:spacing w:line="360" w:lineRule="auto"/>
        <w:ind w:firstLine="562" w:firstLineChars="200"/>
        <w:outlineLvl w:val="9"/>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2-3、评标办法</w:t>
      </w:r>
    </w:p>
    <w:p w14:paraId="2F6F5392">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本次招标采用综合评分法（详见本节评分标准）。</w:t>
      </w:r>
    </w:p>
    <w:p w14:paraId="386F34D2">
      <w:pPr>
        <w:pageBreakBefore w:val="0"/>
        <w:bidi w:val="0"/>
        <w:spacing w:line="360" w:lineRule="auto"/>
        <w:ind w:firstLine="562" w:firstLineChars="200"/>
        <w:outlineLvl w:val="9"/>
        <w:rPr>
          <w:rFonts w:hint="eastAsia" w:ascii="仿宋" w:hAnsi="仿宋" w:eastAsia="仿宋" w:cs="仿宋"/>
          <w:b/>
          <w:color w:val="auto"/>
          <w:sz w:val="28"/>
          <w:szCs w:val="28"/>
          <w:highlight w:val="none"/>
        </w:rPr>
      </w:pPr>
      <w:r>
        <w:rPr>
          <w:rFonts w:hint="eastAsia" w:ascii="仿宋" w:hAnsi="仿宋" w:eastAsia="仿宋" w:cs="仿宋"/>
          <w:b/>
          <w:bCs/>
          <w:color w:val="auto"/>
          <w:sz w:val="28"/>
          <w:szCs w:val="28"/>
          <w:highlight w:val="none"/>
        </w:rPr>
        <w:t>2-4、</w:t>
      </w:r>
      <w:r>
        <w:rPr>
          <w:rFonts w:hint="eastAsia" w:ascii="仿宋" w:hAnsi="仿宋" w:eastAsia="仿宋" w:cs="仿宋"/>
          <w:b/>
          <w:color w:val="auto"/>
          <w:sz w:val="28"/>
          <w:szCs w:val="28"/>
          <w:highlight w:val="none"/>
        </w:rPr>
        <w:t>评标工作程序</w:t>
      </w:r>
    </w:p>
    <w:p w14:paraId="5CA98666">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（1）投标文件资格性评审：采购人对供应商</w:t>
      </w:r>
      <w:r>
        <w:rPr>
          <w:rFonts w:hint="eastAsia" w:ascii="仿宋" w:hAnsi="仿宋" w:eastAsia="仿宋" w:cs="仿宋"/>
          <w:color w:val="auto"/>
          <w:sz w:val="28"/>
          <w:szCs w:val="28"/>
          <w:highlight w:val="none"/>
          <w:lang w:eastAsia="zh-CN"/>
        </w:rPr>
        <w:t>资格</w:t>
      </w:r>
      <w:r>
        <w:rPr>
          <w:rFonts w:hint="eastAsia" w:ascii="仿宋" w:hAnsi="仿宋" w:eastAsia="仿宋" w:cs="仿宋"/>
          <w:color w:val="auto"/>
          <w:sz w:val="28"/>
          <w:szCs w:val="28"/>
          <w:highlight w:val="none"/>
        </w:rPr>
        <w:t>进行审查，不符合招标文件要求的按无效投标处理，不得进入后续评标工作。</w:t>
      </w:r>
    </w:p>
    <w:p w14:paraId="427ACCA4">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（2）投标文件符合性审查：对投标文件的有效性，完整性和对招标文件的响应程度进行审查。投标文件满足招标文件的实质性要求，无显著的差异或保留。</w:t>
      </w:r>
    </w:p>
    <w:p w14:paraId="4D0608A6">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（3）通过</w:t>
      </w:r>
      <w:r>
        <w:rPr>
          <w:rFonts w:hint="eastAsia" w:ascii="仿宋" w:hAnsi="仿宋" w:eastAsia="仿宋" w:cs="仿宋"/>
          <w:color w:val="auto"/>
          <w:sz w:val="28"/>
          <w:szCs w:val="28"/>
          <w:highlight w:val="none"/>
          <w:lang w:val="en-US" w:eastAsia="zh-CN"/>
        </w:rPr>
        <w:t>资格</w:t>
      </w:r>
      <w:r>
        <w:rPr>
          <w:rFonts w:hint="eastAsia" w:ascii="仿宋" w:hAnsi="仿宋" w:eastAsia="仿宋" w:cs="仿宋"/>
          <w:color w:val="auto"/>
          <w:sz w:val="28"/>
          <w:szCs w:val="28"/>
          <w:highlight w:val="none"/>
        </w:rPr>
        <w:t>审查和符合性评审合格的，评标委员会才进行综合评审并排序。凡未通过资格性和符合性评审的投标文件即作为废标处理，不得进入后续评审工作，内容如下：</w:t>
      </w:r>
    </w:p>
    <w:p w14:paraId="662826B5">
      <w:pPr>
        <w:pageBreakBefore w:val="0"/>
        <w:bidi w:val="0"/>
        <w:spacing w:line="460" w:lineRule="exact"/>
        <w:ind w:firstLine="562" w:firstLineChars="200"/>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资格评审和符合性评审</w:t>
      </w:r>
    </w:p>
    <w:tbl>
      <w:tblPr>
        <w:tblStyle w:val="24"/>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592"/>
        <w:gridCol w:w="8"/>
        <w:gridCol w:w="8155"/>
      </w:tblGrid>
      <w:tr w14:paraId="7D534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blHeader/>
        </w:trPr>
        <w:tc>
          <w:tcPr>
            <w:tcW w:w="1364" w:type="dxa"/>
            <w:gridSpan w:val="3"/>
            <w:vAlign w:val="center"/>
          </w:tcPr>
          <w:p w14:paraId="28EC1DDE">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条款号</w:t>
            </w:r>
          </w:p>
        </w:tc>
        <w:tc>
          <w:tcPr>
            <w:tcW w:w="8155" w:type="dxa"/>
            <w:vAlign w:val="center"/>
          </w:tcPr>
          <w:p w14:paraId="5637DCAB">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评审标准</w:t>
            </w:r>
          </w:p>
        </w:tc>
      </w:tr>
      <w:tr w14:paraId="28F29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restart"/>
            <w:vAlign w:val="center"/>
          </w:tcPr>
          <w:p w14:paraId="7EC7B195">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2.1.1</w:t>
            </w:r>
          </w:p>
        </w:tc>
        <w:tc>
          <w:tcPr>
            <w:tcW w:w="600" w:type="dxa"/>
            <w:gridSpan w:val="2"/>
            <w:vMerge w:val="restart"/>
            <w:vAlign w:val="center"/>
          </w:tcPr>
          <w:p w14:paraId="3BBBFAC6">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资格评审</w:t>
            </w:r>
          </w:p>
          <w:p w14:paraId="64AE348A">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标准</w:t>
            </w:r>
          </w:p>
        </w:tc>
        <w:tc>
          <w:tcPr>
            <w:tcW w:w="8155" w:type="dxa"/>
            <w:vAlign w:val="center"/>
          </w:tcPr>
          <w:p w14:paraId="356FD34A">
            <w:pPr>
              <w:pageBreakBefore w:val="0"/>
              <w:tabs>
                <w:tab w:val="left" w:pos="0"/>
              </w:tabs>
              <w:bidi w:val="0"/>
              <w:adjustRightInd w:val="0"/>
              <w:snapToGrid w:val="0"/>
              <w:jc w:val="left"/>
              <w:outlineLvl w:val="9"/>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fill="FFFFFF"/>
              </w:rPr>
              <w:t>供应商须为独立承担民事责任能力的法人或其他组织，并提供有效的营业执照等国家规定的相关主体资格证明资料及开户许可证（或基本存款账户信息）</w:t>
            </w:r>
          </w:p>
        </w:tc>
      </w:tr>
      <w:tr w14:paraId="2C8E0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5FEF70F2">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p>
        </w:tc>
        <w:tc>
          <w:tcPr>
            <w:tcW w:w="600" w:type="dxa"/>
            <w:gridSpan w:val="2"/>
            <w:vMerge w:val="continue"/>
            <w:vAlign w:val="center"/>
          </w:tcPr>
          <w:p w14:paraId="508DFDD3">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p>
        </w:tc>
        <w:tc>
          <w:tcPr>
            <w:tcW w:w="8155" w:type="dxa"/>
            <w:vAlign w:val="center"/>
          </w:tcPr>
          <w:p w14:paraId="5E1EDF0A">
            <w:pPr>
              <w:pageBreakBefore w:val="0"/>
              <w:tabs>
                <w:tab w:val="left" w:pos="0"/>
              </w:tabs>
              <w:bidi w:val="0"/>
              <w:adjustRightInd w:val="0"/>
              <w:snapToGrid w:val="0"/>
              <w:jc w:val="left"/>
              <w:outlineLvl w:val="9"/>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fill="FFFFFF"/>
              </w:rPr>
              <w:t>提供2025年经会计师事务所审计的财务审计报告或近三个月内银行出具的资信证明</w:t>
            </w:r>
          </w:p>
        </w:tc>
      </w:tr>
      <w:tr w14:paraId="1151E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5B26B102">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p>
        </w:tc>
        <w:tc>
          <w:tcPr>
            <w:tcW w:w="600" w:type="dxa"/>
            <w:gridSpan w:val="2"/>
            <w:vMerge w:val="continue"/>
            <w:vAlign w:val="center"/>
          </w:tcPr>
          <w:p w14:paraId="4FA8E5C7">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p>
        </w:tc>
        <w:tc>
          <w:tcPr>
            <w:tcW w:w="8155" w:type="dxa"/>
            <w:vAlign w:val="center"/>
          </w:tcPr>
          <w:p w14:paraId="406F0BE4">
            <w:pPr>
              <w:pageBreakBefore w:val="0"/>
              <w:tabs>
                <w:tab w:val="left" w:pos="0"/>
              </w:tabs>
              <w:bidi w:val="0"/>
              <w:adjustRightInd w:val="0"/>
              <w:snapToGrid w:val="0"/>
              <w:jc w:val="left"/>
              <w:outlineLvl w:val="9"/>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fill="FFFFFF"/>
              </w:rPr>
              <w:t>提供2026年1月1日至今已缴纳的至少一个月的纳税证明，依法免税的供应商应提供相关文件证明</w:t>
            </w:r>
          </w:p>
        </w:tc>
      </w:tr>
      <w:tr w14:paraId="0715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418F1D0E">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p>
        </w:tc>
        <w:tc>
          <w:tcPr>
            <w:tcW w:w="600" w:type="dxa"/>
            <w:gridSpan w:val="2"/>
            <w:vMerge w:val="continue"/>
            <w:vAlign w:val="center"/>
          </w:tcPr>
          <w:p w14:paraId="07D4BF97">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p>
        </w:tc>
        <w:tc>
          <w:tcPr>
            <w:tcW w:w="8155" w:type="dxa"/>
            <w:vAlign w:val="center"/>
          </w:tcPr>
          <w:p w14:paraId="4AD9139B">
            <w:pPr>
              <w:pageBreakBefore w:val="0"/>
              <w:tabs>
                <w:tab w:val="left" w:pos="0"/>
              </w:tabs>
              <w:bidi w:val="0"/>
              <w:adjustRightInd w:val="0"/>
              <w:snapToGrid w:val="0"/>
              <w:jc w:val="left"/>
              <w:outlineLvl w:val="9"/>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fill="FFFFFF"/>
              </w:rPr>
              <w:t>提供2026年1月1日至今已缴纳的至少一个月社会保障资金缴存单据或社保机构出具的社会保险参保缴费情况证明，依法不需要缴纳社保的供应商应提供相关文件证明</w:t>
            </w:r>
          </w:p>
        </w:tc>
      </w:tr>
      <w:tr w14:paraId="329E2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60935B24">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p>
        </w:tc>
        <w:tc>
          <w:tcPr>
            <w:tcW w:w="600" w:type="dxa"/>
            <w:gridSpan w:val="2"/>
            <w:vMerge w:val="continue"/>
            <w:vAlign w:val="center"/>
          </w:tcPr>
          <w:p w14:paraId="79057DE7">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p>
        </w:tc>
        <w:tc>
          <w:tcPr>
            <w:tcW w:w="8155" w:type="dxa"/>
            <w:vAlign w:val="center"/>
          </w:tcPr>
          <w:p w14:paraId="39E21BD4">
            <w:pPr>
              <w:pageBreakBefore w:val="0"/>
              <w:tabs>
                <w:tab w:val="left" w:pos="0"/>
              </w:tabs>
              <w:bidi w:val="0"/>
              <w:adjustRightInd w:val="0"/>
              <w:snapToGrid w:val="0"/>
              <w:jc w:val="left"/>
              <w:outlineLvl w:val="9"/>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fill="FFFFFF"/>
              </w:rPr>
              <w:t>法定代表人授权书及被授权人身份证（法定代表人直接投标只需提供本人身份证）</w:t>
            </w:r>
          </w:p>
        </w:tc>
      </w:tr>
      <w:tr w14:paraId="630C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64" w:type="dxa"/>
            <w:vMerge w:val="continue"/>
            <w:vAlign w:val="center"/>
          </w:tcPr>
          <w:p w14:paraId="4D87769A">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p>
        </w:tc>
        <w:tc>
          <w:tcPr>
            <w:tcW w:w="600" w:type="dxa"/>
            <w:gridSpan w:val="2"/>
            <w:vMerge w:val="continue"/>
            <w:vAlign w:val="center"/>
          </w:tcPr>
          <w:p w14:paraId="78EE8BB5">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p>
        </w:tc>
        <w:tc>
          <w:tcPr>
            <w:tcW w:w="8155" w:type="dxa"/>
            <w:vAlign w:val="center"/>
          </w:tcPr>
          <w:p w14:paraId="07A62FC8">
            <w:pPr>
              <w:pageBreakBefore w:val="0"/>
              <w:tabs>
                <w:tab w:val="left" w:pos="0"/>
              </w:tabs>
              <w:bidi w:val="0"/>
              <w:adjustRightInd w:val="0"/>
              <w:snapToGrid w:val="0"/>
              <w:jc w:val="left"/>
              <w:outlineLvl w:val="9"/>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fill="FFFFFF"/>
              </w:rPr>
              <w:t>参加政府采购活动前3年内，在经营活动中没有重大违法记录的书面声明</w:t>
            </w:r>
          </w:p>
        </w:tc>
      </w:tr>
      <w:tr w14:paraId="79FF1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2F8828D4">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p>
        </w:tc>
        <w:tc>
          <w:tcPr>
            <w:tcW w:w="600" w:type="dxa"/>
            <w:gridSpan w:val="2"/>
            <w:vMerge w:val="continue"/>
            <w:vAlign w:val="center"/>
          </w:tcPr>
          <w:p w14:paraId="7A7C13E9">
            <w:pPr>
              <w:pageBreakBefore w:val="0"/>
              <w:tabs>
                <w:tab w:val="left" w:pos="0"/>
              </w:tabs>
              <w:bidi w:val="0"/>
              <w:adjustRightInd w:val="0"/>
              <w:snapToGrid w:val="0"/>
              <w:jc w:val="center"/>
              <w:outlineLvl w:val="9"/>
              <w:rPr>
                <w:rFonts w:hint="eastAsia" w:ascii="仿宋" w:hAnsi="仿宋" w:eastAsia="仿宋" w:cs="仿宋"/>
                <w:b/>
                <w:color w:val="auto"/>
                <w:sz w:val="28"/>
                <w:szCs w:val="28"/>
                <w:highlight w:val="none"/>
              </w:rPr>
            </w:pPr>
          </w:p>
        </w:tc>
        <w:tc>
          <w:tcPr>
            <w:tcW w:w="8155" w:type="dxa"/>
            <w:vAlign w:val="center"/>
          </w:tcPr>
          <w:p w14:paraId="6037836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fill="FFFFFF"/>
              </w:rPr>
              <w:t>供应商不得为“中国执行信息公开网”列入失信被执行人名单的供应商，不得为“信用中国”网列入重大税收违法失信主体名单的供应商，不得为中国政府采购网政府采购严重违法失信行为记录名单中被财政部门禁止参加政府采购活动的供应商（以上内容资格审查时现场核查）</w:t>
            </w:r>
          </w:p>
        </w:tc>
      </w:tr>
      <w:tr w14:paraId="23E1D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19" w:type="dxa"/>
            <w:gridSpan w:val="4"/>
            <w:vAlign w:val="center"/>
          </w:tcPr>
          <w:p w14:paraId="146C834B">
            <w:pPr>
              <w:pageBreakBefore w:val="0"/>
              <w:tabs>
                <w:tab w:val="left" w:pos="0"/>
              </w:tabs>
              <w:bidi w:val="0"/>
              <w:adjustRightInd w:val="0"/>
              <w:snapToGrid w:val="0"/>
              <w:jc w:val="left"/>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注：以上为必备资质，缺一项或某项达不到要求，按无效投标处理。</w:t>
            </w:r>
          </w:p>
        </w:tc>
      </w:tr>
      <w:tr w14:paraId="54FD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restart"/>
            <w:vAlign w:val="center"/>
          </w:tcPr>
          <w:p w14:paraId="64933C9B">
            <w:pPr>
              <w:pageBreakBefore w:val="0"/>
              <w:tabs>
                <w:tab w:val="left" w:pos="0"/>
              </w:tabs>
              <w:bidi w:val="0"/>
              <w:adjustRightInd w:val="0"/>
              <w:snapToGrid w:val="0"/>
              <w:spacing w:line="360" w:lineRule="auto"/>
              <w:jc w:val="center"/>
              <w:outlineLvl w:val="9"/>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2.1.2</w:t>
            </w:r>
          </w:p>
        </w:tc>
        <w:tc>
          <w:tcPr>
            <w:tcW w:w="592" w:type="dxa"/>
            <w:vMerge w:val="restart"/>
            <w:vAlign w:val="center"/>
          </w:tcPr>
          <w:p w14:paraId="1C334926">
            <w:pPr>
              <w:pageBreakBefore w:val="0"/>
              <w:tabs>
                <w:tab w:val="left" w:pos="0"/>
              </w:tabs>
              <w:bidi w:val="0"/>
              <w:adjustRightInd w:val="0"/>
              <w:snapToGrid w:val="0"/>
              <w:jc w:val="center"/>
              <w:outlineLvl w:val="9"/>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符合性评</w:t>
            </w:r>
          </w:p>
          <w:p w14:paraId="7214A6D6">
            <w:pPr>
              <w:pageBreakBefore w:val="0"/>
              <w:tabs>
                <w:tab w:val="left" w:pos="0"/>
              </w:tabs>
              <w:bidi w:val="0"/>
              <w:adjustRightInd w:val="0"/>
              <w:snapToGrid w:val="0"/>
              <w:jc w:val="center"/>
              <w:outlineLvl w:val="9"/>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审标准</w:t>
            </w:r>
          </w:p>
          <w:p w14:paraId="42096A25">
            <w:pPr>
              <w:pageBreakBefore w:val="0"/>
              <w:tabs>
                <w:tab w:val="left" w:pos="0"/>
              </w:tabs>
              <w:bidi w:val="0"/>
              <w:adjustRightInd w:val="0"/>
              <w:snapToGrid w:val="0"/>
              <w:jc w:val="center"/>
              <w:outlineLvl w:val="9"/>
              <w:rPr>
                <w:rFonts w:hint="eastAsia" w:ascii="仿宋" w:hAnsi="仿宋" w:eastAsia="仿宋" w:cs="仿宋"/>
                <w:b/>
                <w:bCs/>
                <w:color w:val="auto"/>
                <w:sz w:val="28"/>
                <w:szCs w:val="28"/>
                <w:highlight w:val="none"/>
              </w:rPr>
            </w:pPr>
          </w:p>
        </w:tc>
        <w:tc>
          <w:tcPr>
            <w:tcW w:w="8163" w:type="dxa"/>
            <w:gridSpan w:val="2"/>
            <w:vAlign w:val="center"/>
          </w:tcPr>
          <w:p w14:paraId="30AD8F1E">
            <w:pPr>
              <w:pageBreakBefore w:val="0"/>
              <w:tabs>
                <w:tab w:val="left" w:pos="0"/>
              </w:tabs>
              <w:bidi w:val="0"/>
              <w:adjustRightInd w:val="0"/>
              <w:snapToGrid w:val="0"/>
              <w:jc w:val="left"/>
              <w:outlineLvl w:val="9"/>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投标文件的签字、盖章符合招标文件的规定。</w:t>
            </w:r>
          </w:p>
        </w:tc>
      </w:tr>
      <w:tr w14:paraId="262FA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64" w:type="dxa"/>
            <w:vMerge w:val="continue"/>
          </w:tcPr>
          <w:p w14:paraId="61F67EBC">
            <w:pPr>
              <w:pageBreakBefore w:val="0"/>
              <w:tabs>
                <w:tab w:val="left" w:pos="0"/>
              </w:tabs>
              <w:bidi w:val="0"/>
              <w:adjustRightInd w:val="0"/>
              <w:snapToGrid w:val="0"/>
              <w:spacing w:line="360" w:lineRule="auto"/>
              <w:outlineLvl w:val="9"/>
              <w:rPr>
                <w:rFonts w:hint="eastAsia" w:ascii="仿宋" w:hAnsi="仿宋" w:eastAsia="仿宋" w:cs="仿宋"/>
                <w:b/>
                <w:bCs/>
                <w:color w:val="auto"/>
                <w:sz w:val="28"/>
                <w:szCs w:val="28"/>
                <w:highlight w:val="none"/>
              </w:rPr>
            </w:pPr>
          </w:p>
        </w:tc>
        <w:tc>
          <w:tcPr>
            <w:tcW w:w="592" w:type="dxa"/>
            <w:vMerge w:val="continue"/>
          </w:tcPr>
          <w:p w14:paraId="7132D90A">
            <w:pPr>
              <w:pageBreakBefore w:val="0"/>
              <w:tabs>
                <w:tab w:val="left" w:pos="0"/>
              </w:tabs>
              <w:bidi w:val="0"/>
              <w:adjustRightInd w:val="0"/>
              <w:snapToGrid w:val="0"/>
              <w:jc w:val="center"/>
              <w:outlineLvl w:val="9"/>
              <w:rPr>
                <w:rFonts w:hint="eastAsia" w:ascii="仿宋" w:hAnsi="仿宋" w:eastAsia="仿宋" w:cs="仿宋"/>
                <w:b/>
                <w:bCs/>
                <w:color w:val="auto"/>
                <w:sz w:val="28"/>
                <w:szCs w:val="28"/>
                <w:highlight w:val="none"/>
              </w:rPr>
            </w:pPr>
          </w:p>
        </w:tc>
        <w:tc>
          <w:tcPr>
            <w:tcW w:w="8163" w:type="dxa"/>
            <w:gridSpan w:val="2"/>
            <w:vAlign w:val="center"/>
          </w:tcPr>
          <w:p w14:paraId="0030BD38">
            <w:pPr>
              <w:pageBreakBefore w:val="0"/>
              <w:tabs>
                <w:tab w:val="left" w:pos="0"/>
              </w:tabs>
              <w:bidi w:val="0"/>
              <w:adjustRightInd w:val="0"/>
              <w:snapToGrid w:val="0"/>
              <w:jc w:val="left"/>
              <w:outlineLvl w:val="9"/>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投标文件格式符合招标文件中“投标文件格式”的要求</w:t>
            </w:r>
          </w:p>
        </w:tc>
      </w:tr>
      <w:tr w14:paraId="5DC6C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C2F84D4">
            <w:pPr>
              <w:pageBreakBefore w:val="0"/>
              <w:tabs>
                <w:tab w:val="left" w:pos="0"/>
              </w:tabs>
              <w:bidi w:val="0"/>
              <w:adjustRightInd w:val="0"/>
              <w:snapToGrid w:val="0"/>
              <w:spacing w:line="360" w:lineRule="auto"/>
              <w:outlineLvl w:val="9"/>
              <w:rPr>
                <w:rFonts w:hint="eastAsia" w:ascii="仿宋" w:hAnsi="仿宋" w:eastAsia="仿宋" w:cs="仿宋"/>
                <w:b/>
                <w:bCs/>
                <w:color w:val="auto"/>
                <w:sz w:val="28"/>
                <w:szCs w:val="28"/>
                <w:highlight w:val="none"/>
              </w:rPr>
            </w:pPr>
          </w:p>
        </w:tc>
        <w:tc>
          <w:tcPr>
            <w:tcW w:w="592" w:type="dxa"/>
            <w:vMerge w:val="continue"/>
          </w:tcPr>
          <w:p w14:paraId="6B024FCF">
            <w:pPr>
              <w:pageBreakBefore w:val="0"/>
              <w:tabs>
                <w:tab w:val="left" w:pos="0"/>
              </w:tabs>
              <w:bidi w:val="0"/>
              <w:adjustRightInd w:val="0"/>
              <w:snapToGrid w:val="0"/>
              <w:jc w:val="center"/>
              <w:outlineLvl w:val="9"/>
              <w:rPr>
                <w:rFonts w:hint="eastAsia" w:ascii="仿宋" w:hAnsi="仿宋" w:eastAsia="仿宋" w:cs="仿宋"/>
                <w:b/>
                <w:bCs/>
                <w:color w:val="auto"/>
                <w:sz w:val="28"/>
                <w:szCs w:val="28"/>
                <w:highlight w:val="none"/>
              </w:rPr>
            </w:pPr>
          </w:p>
        </w:tc>
        <w:tc>
          <w:tcPr>
            <w:tcW w:w="8163" w:type="dxa"/>
            <w:gridSpan w:val="2"/>
            <w:vAlign w:val="center"/>
          </w:tcPr>
          <w:p w14:paraId="3D4A2858">
            <w:pPr>
              <w:pageBreakBefore w:val="0"/>
              <w:tabs>
                <w:tab w:val="left" w:pos="0"/>
              </w:tabs>
              <w:bidi w:val="0"/>
              <w:adjustRightInd w:val="0"/>
              <w:snapToGrid w:val="0"/>
              <w:jc w:val="left"/>
              <w:outlineLvl w:val="9"/>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只能有一个有效报价，不得提交选择性报价，且报价不超过最高限价。</w:t>
            </w:r>
          </w:p>
        </w:tc>
      </w:tr>
      <w:tr w14:paraId="6C117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7674395A">
            <w:pPr>
              <w:pageBreakBefore w:val="0"/>
              <w:tabs>
                <w:tab w:val="left" w:pos="0"/>
              </w:tabs>
              <w:bidi w:val="0"/>
              <w:adjustRightInd w:val="0"/>
              <w:snapToGrid w:val="0"/>
              <w:spacing w:line="360" w:lineRule="auto"/>
              <w:outlineLvl w:val="9"/>
              <w:rPr>
                <w:rFonts w:hint="eastAsia" w:ascii="仿宋" w:hAnsi="仿宋" w:eastAsia="仿宋" w:cs="仿宋"/>
                <w:b/>
                <w:bCs/>
                <w:color w:val="auto"/>
                <w:sz w:val="28"/>
                <w:szCs w:val="28"/>
                <w:highlight w:val="none"/>
              </w:rPr>
            </w:pPr>
          </w:p>
        </w:tc>
        <w:tc>
          <w:tcPr>
            <w:tcW w:w="592" w:type="dxa"/>
            <w:vMerge w:val="continue"/>
          </w:tcPr>
          <w:p w14:paraId="6E09ED0F">
            <w:pPr>
              <w:pageBreakBefore w:val="0"/>
              <w:tabs>
                <w:tab w:val="left" w:pos="0"/>
              </w:tabs>
              <w:bidi w:val="0"/>
              <w:adjustRightInd w:val="0"/>
              <w:snapToGrid w:val="0"/>
              <w:jc w:val="center"/>
              <w:outlineLvl w:val="9"/>
              <w:rPr>
                <w:rFonts w:hint="eastAsia" w:ascii="仿宋" w:hAnsi="仿宋" w:eastAsia="仿宋" w:cs="仿宋"/>
                <w:b/>
                <w:bCs/>
                <w:color w:val="auto"/>
                <w:sz w:val="28"/>
                <w:szCs w:val="28"/>
                <w:highlight w:val="none"/>
              </w:rPr>
            </w:pPr>
          </w:p>
        </w:tc>
        <w:tc>
          <w:tcPr>
            <w:tcW w:w="8163" w:type="dxa"/>
            <w:gridSpan w:val="2"/>
            <w:vAlign w:val="center"/>
          </w:tcPr>
          <w:p w14:paraId="1BE1A4F8">
            <w:pPr>
              <w:pageBreakBefore w:val="0"/>
              <w:tabs>
                <w:tab w:val="left" w:pos="0"/>
              </w:tabs>
              <w:bidi w:val="0"/>
              <w:adjustRightInd w:val="0"/>
              <w:snapToGrid w:val="0"/>
              <w:jc w:val="left"/>
              <w:outlineLvl w:val="9"/>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投标保证金满足招标文件中的规定</w:t>
            </w:r>
          </w:p>
        </w:tc>
      </w:tr>
      <w:tr w14:paraId="46E7D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15A27478">
            <w:pPr>
              <w:pageBreakBefore w:val="0"/>
              <w:tabs>
                <w:tab w:val="left" w:pos="0"/>
              </w:tabs>
              <w:bidi w:val="0"/>
              <w:adjustRightInd w:val="0"/>
              <w:snapToGrid w:val="0"/>
              <w:spacing w:line="360" w:lineRule="auto"/>
              <w:jc w:val="center"/>
              <w:outlineLvl w:val="9"/>
              <w:rPr>
                <w:rFonts w:hint="eastAsia" w:ascii="仿宋" w:hAnsi="仿宋" w:eastAsia="仿宋" w:cs="仿宋"/>
                <w:b/>
                <w:bCs/>
                <w:color w:val="auto"/>
                <w:sz w:val="28"/>
                <w:szCs w:val="28"/>
                <w:highlight w:val="none"/>
              </w:rPr>
            </w:pPr>
          </w:p>
        </w:tc>
        <w:tc>
          <w:tcPr>
            <w:tcW w:w="592" w:type="dxa"/>
            <w:vMerge w:val="continue"/>
            <w:vAlign w:val="center"/>
          </w:tcPr>
          <w:p w14:paraId="0066FB01">
            <w:pPr>
              <w:pageBreakBefore w:val="0"/>
              <w:tabs>
                <w:tab w:val="left" w:pos="0"/>
              </w:tabs>
              <w:bidi w:val="0"/>
              <w:adjustRightInd w:val="0"/>
              <w:snapToGrid w:val="0"/>
              <w:jc w:val="center"/>
              <w:outlineLvl w:val="9"/>
              <w:rPr>
                <w:rFonts w:hint="eastAsia" w:ascii="仿宋" w:hAnsi="仿宋" w:eastAsia="仿宋" w:cs="仿宋"/>
                <w:b/>
                <w:bCs/>
                <w:color w:val="auto"/>
                <w:sz w:val="28"/>
                <w:szCs w:val="28"/>
                <w:highlight w:val="none"/>
              </w:rPr>
            </w:pPr>
          </w:p>
        </w:tc>
        <w:tc>
          <w:tcPr>
            <w:tcW w:w="8163" w:type="dxa"/>
            <w:gridSpan w:val="2"/>
            <w:vAlign w:val="center"/>
          </w:tcPr>
          <w:p w14:paraId="00511639">
            <w:pPr>
              <w:pageBreakBefore w:val="0"/>
              <w:tabs>
                <w:tab w:val="left" w:pos="0"/>
              </w:tabs>
              <w:bidi w:val="0"/>
              <w:adjustRightInd w:val="0"/>
              <w:snapToGrid w:val="0"/>
              <w:jc w:val="left"/>
              <w:outlineLvl w:val="9"/>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交货期满足招标文件中的规定</w:t>
            </w:r>
          </w:p>
        </w:tc>
      </w:tr>
      <w:tr w14:paraId="139BC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4C53F5FA">
            <w:pPr>
              <w:pageBreakBefore w:val="0"/>
              <w:tabs>
                <w:tab w:val="left" w:pos="0"/>
              </w:tabs>
              <w:bidi w:val="0"/>
              <w:adjustRightInd w:val="0"/>
              <w:snapToGrid w:val="0"/>
              <w:spacing w:line="360" w:lineRule="auto"/>
              <w:outlineLvl w:val="9"/>
              <w:rPr>
                <w:rFonts w:hint="eastAsia" w:ascii="仿宋" w:hAnsi="仿宋" w:eastAsia="仿宋" w:cs="仿宋"/>
                <w:b/>
                <w:bCs/>
                <w:color w:val="auto"/>
                <w:sz w:val="28"/>
                <w:szCs w:val="28"/>
                <w:highlight w:val="none"/>
              </w:rPr>
            </w:pPr>
          </w:p>
        </w:tc>
        <w:tc>
          <w:tcPr>
            <w:tcW w:w="592" w:type="dxa"/>
            <w:vMerge w:val="continue"/>
          </w:tcPr>
          <w:p w14:paraId="23E594E9">
            <w:pPr>
              <w:pageBreakBefore w:val="0"/>
              <w:tabs>
                <w:tab w:val="left" w:pos="0"/>
              </w:tabs>
              <w:bidi w:val="0"/>
              <w:adjustRightInd w:val="0"/>
              <w:snapToGrid w:val="0"/>
              <w:spacing w:line="360" w:lineRule="auto"/>
              <w:outlineLvl w:val="9"/>
              <w:rPr>
                <w:rFonts w:hint="eastAsia" w:ascii="仿宋" w:hAnsi="仿宋" w:eastAsia="仿宋" w:cs="仿宋"/>
                <w:b/>
                <w:bCs/>
                <w:color w:val="auto"/>
                <w:sz w:val="28"/>
                <w:szCs w:val="28"/>
                <w:highlight w:val="none"/>
              </w:rPr>
            </w:pPr>
          </w:p>
        </w:tc>
        <w:tc>
          <w:tcPr>
            <w:tcW w:w="8163" w:type="dxa"/>
            <w:gridSpan w:val="2"/>
            <w:vAlign w:val="center"/>
          </w:tcPr>
          <w:p w14:paraId="41A90A0C">
            <w:pPr>
              <w:pageBreakBefore w:val="0"/>
              <w:tabs>
                <w:tab w:val="left" w:pos="0"/>
              </w:tabs>
              <w:bidi w:val="0"/>
              <w:adjustRightInd w:val="0"/>
              <w:snapToGrid w:val="0"/>
              <w:jc w:val="left"/>
              <w:outlineLvl w:val="9"/>
              <w:rPr>
                <w:rFonts w:hint="eastAsia" w:ascii="仿宋" w:hAnsi="仿宋" w:eastAsia="仿宋" w:cs="仿宋"/>
                <w:i w:val="0"/>
                <w:iCs w:val="0"/>
                <w:caps w:val="0"/>
                <w:color w:val="auto"/>
                <w:spacing w:val="0"/>
                <w:sz w:val="28"/>
                <w:szCs w:val="28"/>
                <w:highlight w:val="none"/>
                <w:shd w:val="clear" w:fill="FFFFFF"/>
              </w:rPr>
            </w:pPr>
            <w:r>
              <w:rPr>
                <w:rFonts w:hint="eastAsia" w:ascii="仿宋" w:hAnsi="仿宋" w:eastAsia="仿宋" w:cs="仿宋"/>
                <w:i w:val="0"/>
                <w:iCs w:val="0"/>
                <w:caps w:val="0"/>
                <w:color w:val="auto"/>
                <w:spacing w:val="0"/>
                <w:sz w:val="28"/>
                <w:szCs w:val="28"/>
                <w:highlight w:val="none"/>
                <w:shd w:val="clear" w:fill="FFFFFF"/>
                <w:lang w:val="en-US" w:eastAsia="zh-CN"/>
              </w:rPr>
              <w:t>投标有效期满足招标文件中的规定</w:t>
            </w:r>
          </w:p>
        </w:tc>
      </w:tr>
      <w:tr w14:paraId="3AE9D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BEC5909">
            <w:pPr>
              <w:pageBreakBefore w:val="0"/>
              <w:tabs>
                <w:tab w:val="left" w:pos="0"/>
              </w:tabs>
              <w:bidi w:val="0"/>
              <w:adjustRightInd w:val="0"/>
              <w:snapToGrid w:val="0"/>
              <w:spacing w:line="360" w:lineRule="auto"/>
              <w:outlineLvl w:val="9"/>
              <w:rPr>
                <w:rFonts w:hint="eastAsia" w:ascii="仿宋" w:hAnsi="仿宋" w:eastAsia="仿宋" w:cs="仿宋"/>
                <w:b/>
                <w:bCs/>
                <w:color w:val="auto"/>
                <w:sz w:val="28"/>
                <w:szCs w:val="28"/>
                <w:highlight w:val="none"/>
              </w:rPr>
            </w:pPr>
          </w:p>
        </w:tc>
        <w:tc>
          <w:tcPr>
            <w:tcW w:w="592" w:type="dxa"/>
            <w:vMerge w:val="continue"/>
          </w:tcPr>
          <w:p w14:paraId="74788D10">
            <w:pPr>
              <w:pageBreakBefore w:val="0"/>
              <w:tabs>
                <w:tab w:val="left" w:pos="0"/>
              </w:tabs>
              <w:bidi w:val="0"/>
              <w:adjustRightInd w:val="0"/>
              <w:snapToGrid w:val="0"/>
              <w:spacing w:line="360" w:lineRule="auto"/>
              <w:outlineLvl w:val="9"/>
              <w:rPr>
                <w:rFonts w:hint="eastAsia" w:ascii="仿宋" w:hAnsi="仿宋" w:eastAsia="仿宋" w:cs="仿宋"/>
                <w:b/>
                <w:bCs/>
                <w:color w:val="auto"/>
                <w:sz w:val="28"/>
                <w:szCs w:val="28"/>
                <w:highlight w:val="none"/>
              </w:rPr>
            </w:pPr>
          </w:p>
        </w:tc>
        <w:tc>
          <w:tcPr>
            <w:tcW w:w="8163" w:type="dxa"/>
            <w:gridSpan w:val="2"/>
            <w:vAlign w:val="center"/>
          </w:tcPr>
          <w:p w14:paraId="74478DFD">
            <w:pPr>
              <w:pageBreakBefore w:val="0"/>
              <w:tabs>
                <w:tab w:val="left" w:pos="0"/>
              </w:tabs>
              <w:bidi w:val="0"/>
              <w:adjustRightInd w:val="0"/>
              <w:snapToGrid w:val="0"/>
              <w:jc w:val="left"/>
              <w:outlineLvl w:val="9"/>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技术参数满足招标文件要求</w:t>
            </w:r>
          </w:p>
        </w:tc>
      </w:tr>
    </w:tbl>
    <w:p w14:paraId="1B566827">
      <w:pPr>
        <w:pageBreakBefore w:val="0"/>
        <w:bidi w:val="0"/>
        <w:spacing w:line="46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（4）在投标文件的评审和比较、中标单位的确定过程中，供应商向评标委员会施加压力的任何行为，都将会导致其投标被拒绝。</w:t>
      </w:r>
    </w:p>
    <w:p w14:paraId="78473244">
      <w:pPr>
        <w:pageBreakBefore w:val="0"/>
        <w:bidi w:val="0"/>
        <w:spacing w:line="46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评标委员会对投标文件的有效性、完整性和响应程度或其他内容有疑问的，评标委员会可要求供应商对投标文件含义不明确、同类问题表述不一致、有明显文字和计算错误其他内容作必要的澄清、说明或者更正。供应商应采用书面形式进行澄清、说明或者更正，并由法定代表人或授权代表签字或盖章。澄清、说明或者更正的内容不得超出投标文件的范围或改变投标文件的实质性内容。评标委员会不得寻求或建议对投标件的实质进行变更。</w:t>
      </w:r>
    </w:p>
    <w:p w14:paraId="6D05BEAB">
      <w:pPr>
        <w:pageBreakBefore w:val="0"/>
        <w:bidi w:val="0"/>
        <w:spacing w:line="46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质询工作应当由全体评标委员会成员参加。对于实质性不符合招标文件的，评标委员会有权予以拒绝。质询工作应做书面记录，采购人代表、评标委员会成员及供应商应在记录上签字确认。</w:t>
      </w:r>
    </w:p>
    <w:p w14:paraId="56864E0F">
      <w:pPr>
        <w:pageBreakBefore w:val="0"/>
        <w:bidi w:val="0"/>
        <w:spacing w:line="460" w:lineRule="exact"/>
        <w:ind w:firstLine="551" w:firstLineChars="196"/>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w:t>
      </w:r>
      <w:r>
        <w:rPr>
          <w:rFonts w:hint="eastAsia" w:ascii="仿宋" w:hAnsi="仿宋" w:eastAsia="仿宋" w:cs="仿宋"/>
          <w:b/>
          <w:color w:val="auto"/>
          <w:sz w:val="28"/>
          <w:szCs w:val="28"/>
          <w:highlight w:val="none"/>
          <w:lang w:val="en-US" w:eastAsia="zh-CN"/>
        </w:rPr>
        <w:t>5</w:t>
      </w:r>
      <w:r>
        <w:rPr>
          <w:rFonts w:hint="eastAsia" w:ascii="仿宋" w:hAnsi="仿宋" w:eastAsia="仿宋" w:cs="仿宋"/>
          <w:b/>
          <w:color w:val="auto"/>
          <w:sz w:val="28"/>
          <w:szCs w:val="28"/>
          <w:highlight w:val="none"/>
        </w:rPr>
        <w:t>、评分标准</w:t>
      </w:r>
    </w:p>
    <w:tbl>
      <w:tblPr>
        <w:tblStyle w:val="24"/>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7"/>
        <w:gridCol w:w="1605"/>
        <w:gridCol w:w="6966"/>
      </w:tblGrid>
      <w:tr w14:paraId="5FB44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387" w:type="dxa"/>
            <w:noWrap w:val="0"/>
            <w:vAlign w:val="center"/>
          </w:tcPr>
          <w:p w14:paraId="330EE2C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分值</w:t>
            </w:r>
          </w:p>
          <w:p w14:paraId="090E4C1E">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构成</w:t>
            </w:r>
          </w:p>
        </w:tc>
        <w:tc>
          <w:tcPr>
            <w:tcW w:w="1605" w:type="dxa"/>
            <w:tcBorders>
              <w:left w:val="nil"/>
            </w:tcBorders>
            <w:noWrap w:val="0"/>
            <w:vAlign w:val="center"/>
          </w:tcPr>
          <w:p w14:paraId="0574F618">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分值</w:t>
            </w:r>
          </w:p>
          <w:p w14:paraId="65E52915">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100分</w:t>
            </w:r>
          </w:p>
        </w:tc>
        <w:tc>
          <w:tcPr>
            <w:tcW w:w="6966" w:type="dxa"/>
            <w:tcBorders>
              <w:left w:val="nil"/>
            </w:tcBorders>
            <w:noWrap w:val="0"/>
            <w:vAlign w:val="center"/>
          </w:tcPr>
          <w:p w14:paraId="7E08E7B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评审内容</w:t>
            </w:r>
          </w:p>
        </w:tc>
      </w:tr>
      <w:tr w14:paraId="0BFA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1387" w:type="dxa"/>
            <w:noWrap w:val="0"/>
            <w:vAlign w:val="center"/>
          </w:tcPr>
          <w:p w14:paraId="61C7649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报价</w:t>
            </w:r>
          </w:p>
        </w:tc>
        <w:tc>
          <w:tcPr>
            <w:tcW w:w="1605" w:type="dxa"/>
            <w:tcBorders>
              <w:left w:val="nil"/>
            </w:tcBorders>
            <w:noWrap w:val="0"/>
            <w:vAlign w:val="center"/>
          </w:tcPr>
          <w:p w14:paraId="459AB23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30分</w:t>
            </w:r>
          </w:p>
        </w:tc>
        <w:tc>
          <w:tcPr>
            <w:tcW w:w="6966" w:type="dxa"/>
            <w:tcBorders>
              <w:left w:val="nil"/>
            </w:tcBorders>
            <w:noWrap w:val="0"/>
            <w:vAlign w:val="center"/>
          </w:tcPr>
          <w:p w14:paraId="5982F1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color w:val="auto"/>
                <w:spacing w:val="0"/>
                <w:sz w:val="28"/>
                <w:szCs w:val="28"/>
                <w:highlight w:val="none"/>
                <w:lang w:val="en-US" w:eastAsia="zh-CN"/>
              </w:rPr>
            </w:pPr>
            <w:r>
              <w:rPr>
                <w:rFonts w:hint="eastAsia" w:ascii="仿宋" w:hAnsi="仿宋" w:eastAsia="仿宋" w:cs="仿宋"/>
                <w:color w:val="auto"/>
                <w:spacing w:val="0"/>
                <w:sz w:val="28"/>
                <w:szCs w:val="28"/>
                <w:highlight w:val="none"/>
                <w:lang w:val="en-US" w:eastAsia="zh-CN"/>
              </w:rPr>
              <w:t>满足招标文件要求且投标价格最低的投标价为评标基准价，其价格分为满分。</w:t>
            </w:r>
          </w:p>
          <w:p w14:paraId="4E1D25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color w:val="auto"/>
                <w:spacing w:val="0"/>
                <w:sz w:val="28"/>
                <w:szCs w:val="28"/>
                <w:highlight w:val="none"/>
                <w:lang w:val="en-US" w:eastAsia="zh-CN"/>
              </w:rPr>
            </w:pPr>
            <w:r>
              <w:rPr>
                <w:rFonts w:hint="eastAsia" w:ascii="仿宋" w:hAnsi="仿宋" w:eastAsia="仿宋" w:cs="仿宋"/>
                <w:color w:val="auto"/>
                <w:spacing w:val="0"/>
                <w:sz w:val="28"/>
                <w:szCs w:val="28"/>
                <w:highlight w:val="none"/>
                <w:lang w:val="en-US" w:eastAsia="zh-CN"/>
              </w:rPr>
              <w:t>投标报价得分=（评审基准价／投标报价）×价格权值×100。</w:t>
            </w:r>
          </w:p>
        </w:tc>
      </w:tr>
      <w:tr w14:paraId="1BD3D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1387" w:type="dxa"/>
            <w:vMerge w:val="restart"/>
            <w:noWrap w:val="0"/>
            <w:vAlign w:val="center"/>
          </w:tcPr>
          <w:p w14:paraId="496C505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pacing w:val="0"/>
                <w:sz w:val="28"/>
                <w:szCs w:val="28"/>
                <w:highlight w:val="none"/>
                <w:lang w:val="en-US" w:eastAsia="zh-CN"/>
              </w:rPr>
            </w:pPr>
            <w:r>
              <w:rPr>
                <w:rFonts w:hint="eastAsia" w:ascii="仿宋" w:hAnsi="仿宋" w:eastAsia="仿宋" w:cs="仿宋"/>
                <w:color w:val="auto"/>
                <w:spacing w:val="0"/>
                <w:sz w:val="28"/>
                <w:szCs w:val="28"/>
                <w:highlight w:val="none"/>
                <w:lang w:val="en-US" w:eastAsia="zh-CN"/>
              </w:rPr>
              <w:t>技术方案（19.5分）</w:t>
            </w:r>
          </w:p>
          <w:p w14:paraId="352F756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pacing w:val="0"/>
                <w:sz w:val="28"/>
                <w:szCs w:val="28"/>
                <w:highlight w:val="none"/>
              </w:rPr>
            </w:pPr>
          </w:p>
        </w:tc>
        <w:tc>
          <w:tcPr>
            <w:tcW w:w="1605" w:type="dxa"/>
            <w:tcBorders>
              <w:left w:val="nil"/>
            </w:tcBorders>
            <w:noWrap w:val="0"/>
            <w:vAlign w:val="center"/>
          </w:tcPr>
          <w:p w14:paraId="74B961F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pacing w:val="0"/>
                <w:sz w:val="28"/>
                <w:szCs w:val="28"/>
                <w:highlight w:val="none"/>
              </w:rPr>
            </w:pPr>
            <w:r>
              <w:rPr>
                <w:rFonts w:hint="eastAsia" w:ascii="仿宋" w:hAnsi="仿宋" w:eastAsia="仿宋" w:cs="仿宋"/>
                <w:b w:val="0"/>
                <w:bCs w:val="0"/>
                <w:color w:val="auto"/>
                <w:sz w:val="28"/>
                <w:szCs w:val="28"/>
                <w:highlight w:val="none"/>
              </w:rPr>
              <w:t>供货方案</w:t>
            </w:r>
            <w:r>
              <w:rPr>
                <w:rFonts w:hint="eastAsia" w:ascii="仿宋" w:hAnsi="仿宋" w:eastAsia="仿宋" w:cs="仿宋"/>
                <w:color w:val="auto"/>
                <w:spacing w:val="0"/>
                <w:sz w:val="28"/>
                <w:szCs w:val="28"/>
                <w:highlight w:val="none"/>
                <w:lang w:val="en-US" w:eastAsia="zh-CN"/>
              </w:rPr>
              <w:t>（4.5</w:t>
            </w:r>
            <w:r>
              <w:rPr>
                <w:rFonts w:hint="eastAsia" w:ascii="仿宋" w:hAnsi="仿宋" w:eastAsia="仿宋" w:cs="仿宋"/>
                <w:color w:val="auto"/>
                <w:spacing w:val="0"/>
                <w:sz w:val="28"/>
                <w:szCs w:val="28"/>
                <w:highlight w:val="none"/>
              </w:rPr>
              <w:t>分</w:t>
            </w:r>
            <w:r>
              <w:rPr>
                <w:rFonts w:hint="eastAsia" w:ascii="仿宋" w:hAnsi="仿宋" w:eastAsia="仿宋" w:cs="仿宋"/>
                <w:color w:val="auto"/>
                <w:spacing w:val="0"/>
                <w:sz w:val="28"/>
                <w:szCs w:val="28"/>
                <w:highlight w:val="none"/>
                <w:lang w:val="en-US" w:eastAsia="zh-CN"/>
              </w:rPr>
              <w:t>）</w:t>
            </w:r>
          </w:p>
        </w:tc>
        <w:tc>
          <w:tcPr>
            <w:tcW w:w="6966" w:type="dxa"/>
            <w:tcBorders>
              <w:left w:val="nil"/>
            </w:tcBorders>
            <w:noWrap w:val="0"/>
            <w:vAlign w:val="center"/>
          </w:tcPr>
          <w:p w14:paraId="7D6D2B6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bidi="ar-SA"/>
              </w:rPr>
              <w:t>一、</w:t>
            </w:r>
            <w:r>
              <w:rPr>
                <w:rFonts w:hint="eastAsia" w:ascii="仿宋" w:hAnsi="仿宋" w:eastAsia="仿宋" w:cs="仿宋"/>
                <w:b w:val="0"/>
                <w:bCs w:val="0"/>
                <w:color w:val="auto"/>
                <w:sz w:val="28"/>
                <w:szCs w:val="28"/>
                <w:highlight w:val="none"/>
                <w:lang w:val="en-US" w:eastAsia="zh-CN"/>
              </w:rPr>
              <w:t>评审内容：</w:t>
            </w:r>
          </w:p>
          <w:p w14:paraId="3DE65E6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根据本项目实际需求及特点，制定供货方案。内容包含：1、供货承诺及方案；2、缺送漏送的解决方案；</w:t>
            </w: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rPr>
              <w:t>突发事件的应急预案或处理方案</w:t>
            </w:r>
            <w:r>
              <w:rPr>
                <w:rFonts w:hint="eastAsia" w:ascii="仿宋" w:hAnsi="仿宋" w:eastAsia="仿宋" w:cs="仿宋"/>
                <w:b w:val="0"/>
                <w:bCs w:val="0"/>
                <w:color w:val="auto"/>
                <w:sz w:val="28"/>
                <w:szCs w:val="28"/>
                <w:highlight w:val="none"/>
                <w:lang w:eastAsia="zh-CN"/>
              </w:rPr>
              <w:t>。</w:t>
            </w:r>
          </w:p>
          <w:p w14:paraId="6B7297B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kern w:val="2"/>
                <w:sz w:val="28"/>
                <w:szCs w:val="28"/>
                <w:highlight w:val="none"/>
                <w:lang w:val="en-US" w:eastAsia="zh-CN" w:bidi="ar-SA"/>
              </w:rPr>
              <w:t>二、</w:t>
            </w:r>
            <w:r>
              <w:rPr>
                <w:rFonts w:hint="eastAsia" w:ascii="仿宋" w:hAnsi="仿宋" w:eastAsia="仿宋" w:cs="仿宋"/>
                <w:b w:val="0"/>
                <w:bCs w:val="0"/>
                <w:color w:val="auto"/>
                <w:sz w:val="28"/>
                <w:szCs w:val="28"/>
                <w:highlight w:val="none"/>
              </w:rPr>
              <w:t xml:space="preserve">评审标准 </w:t>
            </w:r>
          </w:p>
          <w:p w14:paraId="11B3C04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1、</w:t>
            </w:r>
            <w:r>
              <w:rPr>
                <w:rFonts w:hint="eastAsia" w:ascii="仿宋" w:hAnsi="仿宋" w:eastAsia="仿宋" w:cs="仿宋"/>
                <w:b w:val="0"/>
                <w:bCs w:val="0"/>
                <w:color w:val="auto"/>
                <w:sz w:val="28"/>
                <w:szCs w:val="28"/>
                <w:highlight w:val="none"/>
              </w:rPr>
              <w:t xml:space="preserve">完整性：切合本项目实际情况，方案内容齐全，对各项要求有详细描述； </w:t>
            </w:r>
          </w:p>
          <w:p w14:paraId="2EA5F4D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2、</w:t>
            </w:r>
            <w:r>
              <w:rPr>
                <w:rFonts w:hint="eastAsia" w:ascii="仿宋" w:hAnsi="仿宋" w:eastAsia="仿宋" w:cs="仿宋"/>
                <w:b w:val="0"/>
                <w:bCs w:val="0"/>
                <w:color w:val="auto"/>
                <w:sz w:val="28"/>
                <w:szCs w:val="28"/>
                <w:highlight w:val="none"/>
              </w:rPr>
              <w:t xml:space="preserve">合理性：方案内容符合项目实际特点，合理、恰当； </w:t>
            </w:r>
          </w:p>
          <w:p w14:paraId="27FB6FD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rPr>
              <w:t xml:space="preserve">针对性：切合本项目实际情况，根据招标文件要求提出针对本项目实际操作性强的方案。 </w:t>
            </w:r>
          </w:p>
          <w:p w14:paraId="3BED99A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仿宋" w:hAnsi="仿宋" w:eastAsia="仿宋" w:cs="仿宋"/>
                <w:color w:val="auto"/>
                <w:spacing w:val="0"/>
                <w:sz w:val="28"/>
                <w:szCs w:val="28"/>
                <w:highlight w:val="none"/>
                <w:lang w:val="en-US" w:eastAsia="zh-CN"/>
              </w:rPr>
            </w:pPr>
            <w:r>
              <w:rPr>
                <w:rFonts w:hint="eastAsia" w:ascii="仿宋" w:hAnsi="仿宋" w:eastAsia="仿宋" w:cs="仿宋"/>
                <w:b w:val="0"/>
                <w:bCs w:val="0"/>
                <w:color w:val="auto"/>
                <w:sz w:val="28"/>
                <w:szCs w:val="28"/>
                <w:highlight w:val="none"/>
              </w:rPr>
              <w:t>上述</w:t>
            </w: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rPr>
              <w:t>项评审内容</w:t>
            </w:r>
            <w:r>
              <w:rPr>
                <w:rFonts w:hint="eastAsia" w:ascii="仿宋" w:hAnsi="仿宋" w:eastAsia="仿宋" w:cs="仿宋"/>
                <w:b w:val="0"/>
                <w:bCs w:val="0"/>
                <w:color w:val="auto"/>
                <w:sz w:val="28"/>
                <w:szCs w:val="28"/>
                <w:highlight w:val="none"/>
                <w:lang w:val="en-US" w:eastAsia="zh-CN"/>
              </w:rPr>
              <w:t>每</w:t>
            </w:r>
            <w:r>
              <w:rPr>
                <w:rFonts w:hint="eastAsia" w:ascii="仿宋" w:hAnsi="仿宋" w:eastAsia="仿宋" w:cs="仿宋"/>
                <w:b w:val="0"/>
                <w:bCs w:val="0"/>
                <w:color w:val="auto"/>
                <w:sz w:val="28"/>
                <w:szCs w:val="28"/>
                <w:highlight w:val="none"/>
              </w:rPr>
              <w:t>满足</w:t>
            </w:r>
            <w:r>
              <w:rPr>
                <w:rFonts w:hint="eastAsia" w:ascii="仿宋" w:hAnsi="仿宋" w:eastAsia="仿宋" w:cs="仿宋"/>
                <w:b w:val="0"/>
                <w:bCs w:val="0"/>
                <w:color w:val="auto"/>
                <w:sz w:val="28"/>
                <w:szCs w:val="28"/>
                <w:highlight w:val="none"/>
                <w:lang w:val="en-US" w:eastAsia="zh-CN"/>
              </w:rPr>
              <w:t>1项</w:t>
            </w:r>
            <w:r>
              <w:rPr>
                <w:rFonts w:hint="eastAsia" w:ascii="仿宋" w:hAnsi="仿宋" w:eastAsia="仿宋" w:cs="仿宋"/>
                <w:b w:val="0"/>
                <w:bCs w:val="0"/>
                <w:color w:val="auto"/>
                <w:sz w:val="28"/>
                <w:szCs w:val="28"/>
                <w:highlight w:val="none"/>
              </w:rPr>
              <w:t>评审标准</w:t>
            </w:r>
            <w:r>
              <w:rPr>
                <w:rFonts w:hint="eastAsia" w:ascii="仿宋" w:hAnsi="仿宋" w:eastAsia="仿宋" w:cs="仿宋"/>
                <w:b w:val="0"/>
                <w:bCs w:val="0"/>
                <w:color w:val="auto"/>
                <w:sz w:val="28"/>
                <w:szCs w:val="28"/>
                <w:highlight w:val="none"/>
                <w:lang w:val="en-US" w:eastAsia="zh-CN"/>
              </w:rPr>
              <w:t>得0.5分，最高得4.5分</w:t>
            </w:r>
            <w:r>
              <w:rPr>
                <w:rFonts w:hint="eastAsia" w:ascii="仿宋" w:hAnsi="仿宋" w:eastAsia="仿宋" w:cs="仿宋"/>
                <w:b w:val="0"/>
                <w:bCs w:val="0"/>
                <w:color w:val="auto"/>
                <w:sz w:val="28"/>
                <w:szCs w:val="28"/>
                <w:highlight w:val="none"/>
                <w:lang w:eastAsia="zh-CN"/>
              </w:rPr>
              <w:t>。</w:t>
            </w:r>
          </w:p>
        </w:tc>
      </w:tr>
      <w:tr w14:paraId="07307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1387" w:type="dxa"/>
            <w:vMerge w:val="continue"/>
            <w:noWrap w:val="0"/>
            <w:vAlign w:val="center"/>
          </w:tcPr>
          <w:p w14:paraId="2F94147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8"/>
                <w:szCs w:val="28"/>
                <w:highlight w:val="none"/>
              </w:rPr>
            </w:pPr>
          </w:p>
        </w:tc>
        <w:tc>
          <w:tcPr>
            <w:tcW w:w="1605" w:type="dxa"/>
            <w:tcBorders>
              <w:left w:val="nil"/>
            </w:tcBorders>
            <w:noWrap w:val="0"/>
            <w:vAlign w:val="center"/>
          </w:tcPr>
          <w:p w14:paraId="615478B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rPr>
              <w:t>实施方案（9分）</w:t>
            </w:r>
          </w:p>
        </w:tc>
        <w:tc>
          <w:tcPr>
            <w:tcW w:w="6966" w:type="dxa"/>
            <w:tcBorders>
              <w:left w:val="nil"/>
            </w:tcBorders>
            <w:noWrap w:val="0"/>
            <w:vAlign w:val="center"/>
          </w:tcPr>
          <w:p w14:paraId="29EAD6F4">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评审内容：</w:t>
            </w:r>
          </w:p>
          <w:p w14:paraId="34811E0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针对项目提出合理、可行的实施方案，合理安排工程任务分解以及实施计划</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rPr>
              <w:t>内容包含</w:t>
            </w:r>
            <w:r>
              <w:rPr>
                <w:rFonts w:hint="eastAsia" w:ascii="仿宋" w:hAnsi="仿宋" w:eastAsia="仿宋" w:cs="仿宋"/>
                <w:b w:val="0"/>
                <w:bCs w:val="0"/>
                <w:color w:val="auto"/>
                <w:sz w:val="28"/>
                <w:szCs w:val="28"/>
                <w:highlight w:val="none"/>
                <w:lang w:val="en-US" w:eastAsia="zh-CN"/>
              </w:rPr>
              <w:t>:1.施工方案；2.设备安装布线图、LED显示屏安装尺寸图、强弱电改造施工图；3.拆除恢复施工</w:t>
            </w:r>
            <w:r>
              <w:rPr>
                <w:rFonts w:hint="eastAsia" w:ascii="仿宋" w:hAnsi="仿宋" w:eastAsia="仿宋" w:cs="仿宋"/>
                <w:b w:val="0"/>
                <w:bCs w:val="0"/>
                <w:color w:val="auto"/>
                <w:sz w:val="28"/>
                <w:szCs w:val="28"/>
                <w:highlight w:val="none"/>
              </w:rPr>
              <w:t>方案</w:t>
            </w:r>
            <w:r>
              <w:rPr>
                <w:rFonts w:hint="eastAsia" w:ascii="仿宋" w:hAnsi="仿宋" w:eastAsia="仿宋" w:cs="仿宋"/>
                <w:b w:val="0"/>
                <w:bCs w:val="0"/>
                <w:color w:val="auto"/>
                <w:sz w:val="28"/>
                <w:szCs w:val="28"/>
                <w:highlight w:val="none"/>
                <w:lang w:val="en-US" w:eastAsia="zh-CN"/>
              </w:rPr>
              <w:t>，同时需根据施工现场工作时间做出合理施工时间段安排</w:t>
            </w:r>
            <w:r>
              <w:rPr>
                <w:rFonts w:hint="eastAsia" w:ascii="仿宋" w:hAnsi="仿宋" w:eastAsia="仿宋" w:cs="仿宋"/>
                <w:b w:val="0"/>
                <w:bCs w:val="0"/>
                <w:color w:val="auto"/>
                <w:sz w:val="28"/>
                <w:szCs w:val="28"/>
                <w:highlight w:val="none"/>
                <w:lang w:eastAsia="zh-CN"/>
              </w:rPr>
              <w:t>。</w:t>
            </w:r>
          </w:p>
          <w:p w14:paraId="7BC088B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kern w:val="2"/>
                <w:sz w:val="28"/>
                <w:szCs w:val="28"/>
                <w:highlight w:val="none"/>
                <w:lang w:val="en-US" w:eastAsia="zh-CN" w:bidi="ar-SA"/>
              </w:rPr>
              <w:t>二、</w:t>
            </w:r>
            <w:r>
              <w:rPr>
                <w:rFonts w:hint="eastAsia" w:ascii="仿宋" w:hAnsi="仿宋" w:eastAsia="仿宋" w:cs="仿宋"/>
                <w:b w:val="0"/>
                <w:bCs w:val="0"/>
                <w:color w:val="auto"/>
                <w:sz w:val="28"/>
                <w:szCs w:val="28"/>
                <w:highlight w:val="none"/>
              </w:rPr>
              <w:t xml:space="preserve">评审标准 </w:t>
            </w:r>
          </w:p>
          <w:p w14:paraId="528B615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1、</w:t>
            </w:r>
            <w:r>
              <w:rPr>
                <w:rFonts w:hint="eastAsia" w:ascii="仿宋" w:hAnsi="仿宋" w:eastAsia="仿宋" w:cs="仿宋"/>
                <w:b w:val="0"/>
                <w:bCs w:val="0"/>
                <w:color w:val="auto"/>
                <w:sz w:val="28"/>
                <w:szCs w:val="28"/>
                <w:highlight w:val="none"/>
              </w:rPr>
              <w:t xml:space="preserve">完整性：切合本项目实际情况，方案内容齐全，对各项要求有详细描述； </w:t>
            </w:r>
          </w:p>
          <w:p w14:paraId="0C63964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2、</w:t>
            </w:r>
            <w:r>
              <w:rPr>
                <w:rFonts w:hint="eastAsia" w:ascii="仿宋" w:hAnsi="仿宋" w:eastAsia="仿宋" w:cs="仿宋"/>
                <w:b w:val="0"/>
                <w:bCs w:val="0"/>
                <w:color w:val="auto"/>
                <w:sz w:val="28"/>
                <w:szCs w:val="28"/>
                <w:highlight w:val="none"/>
              </w:rPr>
              <w:t xml:space="preserve">合理性：方案内容符合项目实际特点，合理、恰当； </w:t>
            </w:r>
          </w:p>
          <w:p w14:paraId="613A0B2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rPr>
              <w:t>针对性：切合本项目实际情况，根据</w:t>
            </w:r>
            <w:r>
              <w:rPr>
                <w:rFonts w:hint="eastAsia" w:ascii="仿宋" w:hAnsi="仿宋" w:eastAsia="仿宋" w:cs="仿宋"/>
                <w:b w:val="0"/>
                <w:bCs w:val="0"/>
                <w:color w:val="auto"/>
                <w:sz w:val="28"/>
                <w:szCs w:val="28"/>
                <w:highlight w:val="none"/>
                <w:lang w:eastAsia="zh-CN"/>
              </w:rPr>
              <w:t>项目情况</w:t>
            </w:r>
            <w:r>
              <w:rPr>
                <w:rFonts w:hint="eastAsia" w:ascii="仿宋" w:hAnsi="仿宋" w:eastAsia="仿宋" w:cs="仿宋"/>
                <w:b w:val="0"/>
                <w:bCs w:val="0"/>
                <w:color w:val="auto"/>
                <w:sz w:val="28"/>
                <w:szCs w:val="28"/>
                <w:highlight w:val="none"/>
              </w:rPr>
              <w:t xml:space="preserve">提出针对本项目实际操作性强的方案。 </w:t>
            </w:r>
          </w:p>
          <w:p w14:paraId="1641191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sz w:val="28"/>
                <w:szCs w:val="28"/>
                <w:highlight w:val="none"/>
              </w:rPr>
              <w:t>上述</w:t>
            </w: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rPr>
              <w:t>项评审内容</w:t>
            </w:r>
            <w:r>
              <w:rPr>
                <w:rFonts w:hint="eastAsia" w:ascii="仿宋" w:hAnsi="仿宋" w:eastAsia="仿宋" w:cs="仿宋"/>
                <w:b w:val="0"/>
                <w:bCs w:val="0"/>
                <w:color w:val="auto"/>
                <w:sz w:val="28"/>
                <w:szCs w:val="28"/>
                <w:highlight w:val="none"/>
                <w:lang w:val="en-US" w:eastAsia="zh-CN"/>
              </w:rPr>
              <w:t>每</w:t>
            </w:r>
            <w:r>
              <w:rPr>
                <w:rFonts w:hint="eastAsia" w:ascii="仿宋" w:hAnsi="仿宋" w:eastAsia="仿宋" w:cs="仿宋"/>
                <w:b w:val="0"/>
                <w:bCs w:val="0"/>
                <w:color w:val="auto"/>
                <w:sz w:val="28"/>
                <w:szCs w:val="28"/>
                <w:highlight w:val="none"/>
              </w:rPr>
              <w:t>满足</w:t>
            </w:r>
            <w:r>
              <w:rPr>
                <w:rFonts w:hint="eastAsia" w:ascii="仿宋" w:hAnsi="仿宋" w:eastAsia="仿宋" w:cs="仿宋"/>
                <w:b w:val="0"/>
                <w:bCs w:val="0"/>
                <w:color w:val="auto"/>
                <w:sz w:val="28"/>
                <w:szCs w:val="28"/>
                <w:highlight w:val="none"/>
                <w:lang w:val="en-US" w:eastAsia="zh-CN"/>
              </w:rPr>
              <w:t>1项</w:t>
            </w:r>
            <w:r>
              <w:rPr>
                <w:rFonts w:hint="eastAsia" w:ascii="仿宋" w:hAnsi="仿宋" w:eastAsia="仿宋" w:cs="仿宋"/>
                <w:b w:val="0"/>
                <w:bCs w:val="0"/>
                <w:color w:val="auto"/>
                <w:sz w:val="28"/>
                <w:szCs w:val="28"/>
                <w:highlight w:val="none"/>
              </w:rPr>
              <w:t>评审标准</w:t>
            </w:r>
            <w:r>
              <w:rPr>
                <w:rFonts w:hint="eastAsia" w:ascii="仿宋" w:hAnsi="仿宋" w:eastAsia="仿宋" w:cs="仿宋"/>
                <w:b w:val="0"/>
                <w:bCs w:val="0"/>
                <w:color w:val="auto"/>
                <w:sz w:val="28"/>
                <w:szCs w:val="28"/>
                <w:highlight w:val="none"/>
                <w:lang w:val="en-US" w:eastAsia="zh-CN"/>
              </w:rPr>
              <w:t>得1分，最高得9分。</w:t>
            </w:r>
          </w:p>
        </w:tc>
      </w:tr>
      <w:tr w14:paraId="55721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1387" w:type="dxa"/>
            <w:vMerge w:val="continue"/>
            <w:noWrap w:val="0"/>
            <w:vAlign w:val="center"/>
          </w:tcPr>
          <w:p w14:paraId="43C5E67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8"/>
                <w:szCs w:val="28"/>
                <w:highlight w:val="none"/>
              </w:rPr>
            </w:pPr>
          </w:p>
        </w:tc>
        <w:tc>
          <w:tcPr>
            <w:tcW w:w="1605" w:type="dxa"/>
            <w:tcBorders>
              <w:left w:val="nil"/>
            </w:tcBorders>
            <w:noWrap w:val="0"/>
            <w:vAlign w:val="center"/>
          </w:tcPr>
          <w:p w14:paraId="41AF2E8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pacing w:val="0"/>
                <w:kern w:val="2"/>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rPr>
              <w:t>产品</w:t>
            </w:r>
            <w:r>
              <w:rPr>
                <w:rFonts w:hint="eastAsia" w:ascii="仿宋" w:hAnsi="仿宋" w:eastAsia="仿宋" w:cs="仿宋"/>
                <w:b w:val="0"/>
                <w:bCs w:val="0"/>
                <w:color w:val="auto"/>
                <w:sz w:val="28"/>
                <w:szCs w:val="28"/>
                <w:highlight w:val="none"/>
                <w:lang w:eastAsia="zh-CN"/>
              </w:rPr>
              <w:t>质量</w:t>
            </w:r>
            <w:r>
              <w:rPr>
                <w:rFonts w:hint="eastAsia" w:ascii="仿宋" w:hAnsi="仿宋" w:eastAsia="仿宋" w:cs="仿宋"/>
                <w:b w:val="0"/>
                <w:bCs w:val="0"/>
                <w:color w:val="auto"/>
                <w:sz w:val="28"/>
                <w:szCs w:val="28"/>
                <w:highlight w:val="none"/>
                <w:lang w:val="en-US" w:eastAsia="zh-CN"/>
              </w:rPr>
              <w:t>保证</w:t>
            </w:r>
            <w:r>
              <w:rPr>
                <w:rFonts w:hint="eastAsia" w:ascii="仿宋" w:hAnsi="仿宋" w:eastAsia="仿宋" w:cs="仿宋"/>
                <w:b w:val="0"/>
                <w:bCs w:val="0"/>
                <w:color w:val="auto"/>
                <w:sz w:val="28"/>
                <w:szCs w:val="28"/>
                <w:highlight w:val="none"/>
                <w:lang w:eastAsia="zh-CN"/>
              </w:rPr>
              <w:t>措施（</w:t>
            </w:r>
            <w:r>
              <w:rPr>
                <w:rFonts w:hint="eastAsia" w:ascii="仿宋" w:hAnsi="仿宋" w:eastAsia="仿宋" w:cs="仿宋"/>
                <w:color w:val="auto"/>
                <w:spacing w:val="0"/>
                <w:sz w:val="28"/>
                <w:szCs w:val="28"/>
                <w:highlight w:val="none"/>
                <w:lang w:val="en-US" w:eastAsia="zh-CN"/>
              </w:rPr>
              <w:t>1.5</w:t>
            </w:r>
            <w:r>
              <w:rPr>
                <w:rFonts w:hint="eastAsia" w:ascii="仿宋" w:hAnsi="仿宋" w:eastAsia="仿宋" w:cs="仿宋"/>
                <w:b w:val="0"/>
                <w:bCs w:val="0"/>
                <w:color w:val="auto"/>
                <w:sz w:val="28"/>
                <w:szCs w:val="28"/>
                <w:highlight w:val="none"/>
                <w:lang w:eastAsia="zh-CN"/>
              </w:rPr>
              <w:t>）</w:t>
            </w:r>
          </w:p>
        </w:tc>
        <w:tc>
          <w:tcPr>
            <w:tcW w:w="6966" w:type="dxa"/>
            <w:tcBorders>
              <w:left w:val="nil"/>
            </w:tcBorders>
            <w:noWrap w:val="0"/>
            <w:vAlign w:val="center"/>
          </w:tcPr>
          <w:p w14:paraId="0D59702B">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Chars="0"/>
              <w:jc w:val="left"/>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color w:val="auto"/>
                <w:spacing w:val="0"/>
                <w:sz w:val="28"/>
                <w:szCs w:val="28"/>
                <w:highlight w:val="none"/>
                <w:lang w:val="en-US" w:eastAsia="zh-CN"/>
              </w:rPr>
              <w:t>评审内容：根据项目情况，提供了有针对性的</w:t>
            </w:r>
            <w:r>
              <w:rPr>
                <w:rFonts w:hint="eastAsia" w:ascii="仿宋" w:hAnsi="仿宋" w:eastAsia="仿宋" w:cs="仿宋"/>
                <w:b w:val="0"/>
                <w:bCs w:val="0"/>
                <w:color w:val="auto"/>
                <w:sz w:val="28"/>
                <w:szCs w:val="28"/>
                <w:highlight w:val="none"/>
                <w:lang w:val="en-US" w:eastAsia="zh-CN"/>
              </w:rPr>
              <w:t>产品</w:t>
            </w:r>
            <w:r>
              <w:rPr>
                <w:rFonts w:hint="eastAsia" w:ascii="仿宋" w:hAnsi="仿宋" w:eastAsia="仿宋" w:cs="仿宋"/>
                <w:b w:val="0"/>
                <w:bCs w:val="0"/>
                <w:color w:val="auto"/>
                <w:sz w:val="28"/>
                <w:szCs w:val="28"/>
                <w:highlight w:val="none"/>
                <w:lang w:eastAsia="zh-CN"/>
              </w:rPr>
              <w:t>质量</w:t>
            </w:r>
            <w:r>
              <w:rPr>
                <w:rFonts w:hint="eastAsia" w:ascii="仿宋" w:hAnsi="仿宋" w:eastAsia="仿宋" w:cs="仿宋"/>
                <w:b w:val="0"/>
                <w:bCs w:val="0"/>
                <w:color w:val="auto"/>
                <w:sz w:val="28"/>
                <w:szCs w:val="28"/>
                <w:highlight w:val="none"/>
                <w:lang w:val="en-US" w:eastAsia="zh-CN"/>
              </w:rPr>
              <w:t>保证</w:t>
            </w:r>
            <w:r>
              <w:rPr>
                <w:rFonts w:hint="eastAsia" w:ascii="仿宋" w:hAnsi="仿宋" w:eastAsia="仿宋" w:cs="仿宋"/>
                <w:b w:val="0"/>
                <w:bCs w:val="0"/>
                <w:color w:val="auto"/>
                <w:sz w:val="28"/>
                <w:szCs w:val="28"/>
                <w:highlight w:val="none"/>
                <w:lang w:eastAsia="zh-CN"/>
              </w:rPr>
              <w:t>措施</w:t>
            </w:r>
          </w:p>
          <w:p w14:paraId="410B7A3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二、</w:t>
            </w:r>
            <w:r>
              <w:rPr>
                <w:rFonts w:hint="eastAsia" w:ascii="仿宋" w:hAnsi="仿宋" w:eastAsia="仿宋" w:cs="仿宋"/>
                <w:b w:val="0"/>
                <w:bCs w:val="0"/>
                <w:color w:val="auto"/>
                <w:sz w:val="28"/>
                <w:szCs w:val="28"/>
                <w:highlight w:val="none"/>
              </w:rPr>
              <w:t xml:space="preserve">评审标准 </w:t>
            </w:r>
          </w:p>
          <w:p w14:paraId="4498537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1</w:t>
            </w:r>
            <w:r>
              <w:rPr>
                <w:rFonts w:hint="eastAsia" w:ascii="仿宋" w:hAnsi="仿宋" w:eastAsia="仿宋" w:cs="仿宋"/>
                <w:b w:val="0"/>
                <w:bCs w:val="0"/>
                <w:color w:val="auto"/>
                <w:sz w:val="28"/>
                <w:szCs w:val="28"/>
                <w:highlight w:val="none"/>
                <w:lang w:val="en-US" w:eastAsia="zh-CN"/>
              </w:rPr>
              <w:t xml:space="preserve">.完整性：措施内容全面，对评审内容中的要求有详细描述；     </w:t>
            </w:r>
          </w:p>
          <w:p w14:paraId="2CA58F7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2.可实施性：切合本项目实际情况，提出步骤清晰、合理的措施；</w:t>
            </w:r>
          </w:p>
          <w:p w14:paraId="360ABF2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3.针对性：措施能够紧扣项目实际情况，内容科学合理。</w:t>
            </w:r>
          </w:p>
          <w:p w14:paraId="3419334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仿宋" w:hAnsi="仿宋" w:eastAsia="仿宋" w:cs="仿宋"/>
                <w:color w:val="auto"/>
                <w:spacing w:val="0"/>
                <w:kern w:val="2"/>
                <w:sz w:val="28"/>
                <w:szCs w:val="28"/>
                <w:highlight w:val="none"/>
                <w:lang w:val="en-US" w:eastAsia="zh-CN" w:bidi="ar-SA"/>
              </w:rPr>
            </w:pPr>
            <w:r>
              <w:rPr>
                <w:rFonts w:hint="eastAsia" w:ascii="仿宋" w:hAnsi="仿宋" w:eastAsia="仿宋" w:cs="仿宋"/>
                <w:b w:val="0"/>
                <w:bCs w:val="0"/>
                <w:color w:val="auto"/>
                <w:sz w:val="28"/>
                <w:szCs w:val="28"/>
                <w:highlight w:val="none"/>
              </w:rPr>
              <w:t>上述</w:t>
            </w: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rPr>
              <w:t>项评审内容</w:t>
            </w:r>
            <w:r>
              <w:rPr>
                <w:rFonts w:hint="eastAsia" w:ascii="仿宋" w:hAnsi="仿宋" w:eastAsia="仿宋" w:cs="仿宋"/>
                <w:b w:val="0"/>
                <w:bCs w:val="0"/>
                <w:color w:val="auto"/>
                <w:sz w:val="28"/>
                <w:szCs w:val="28"/>
                <w:highlight w:val="none"/>
                <w:lang w:val="en-US" w:eastAsia="zh-CN"/>
              </w:rPr>
              <w:t>每</w:t>
            </w:r>
            <w:r>
              <w:rPr>
                <w:rFonts w:hint="eastAsia" w:ascii="仿宋" w:hAnsi="仿宋" w:eastAsia="仿宋" w:cs="仿宋"/>
                <w:b w:val="0"/>
                <w:bCs w:val="0"/>
                <w:color w:val="auto"/>
                <w:sz w:val="28"/>
                <w:szCs w:val="28"/>
                <w:highlight w:val="none"/>
              </w:rPr>
              <w:t>满足</w:t>
            </w:r>
            <w:r>
              <w:rPr>
                <w:rFonts w:hint="eastAsia" w:ascii="仿宋" w:hAnsi="仿宋" w:eastAsia="仿宋" w:cs="仿宋"/>
                <w:b w:val="0"/>
                <w:bCs w:val="0"/>
                <w:color w:val="auto"/>
                <w:sz w:val="28"/>
                <w:szCs w:val="28"/>
                <w:highlight w:val="none"/>
                <w:lang w:val="en-US" w:eastAsia="zh-CN"/>
              </w:rPr>
              <w:t>1项</w:t>
            </w:r>
            <w:r>
              <w:rPr>
                <w:rFonts w:hint="eastAsia" w:ascii="仿宋" w:hAnsi="仿宋" w:eastAsia="仿宋" w:cs="仿宋"/>
                <w:b w:val="0"/>
                <w:bCs w:val="0"/>
                <w:color w:val="auto"/>
                <w:sz w:val="28"/>
                <w:szCs w:val="28"/>
                <w:highlight w:val="none"/>
              </w:rPr>
              <w:t>评审标准</w:t>
            </w:r>
            <w:r>
              <w:rPr>
                <w:rFonts w:hint="eastAsia" w:ascii="仿宋" w:hAnsi="仿宋" w:eastAsia="仿宋" w:cs="仿宋"/>
                <w:b w:val="0"/>
                <w:bCs w:val="0"/>
                <w:color w:val="auto"/>
                <w:sz w:val="28"/>
                <w:szCs w:val="28"/>
                <w:highlight w:val="none"/>
                <w:lang w:val="en-US" w:eastAsia="zh-CN"/>
              </w:rPr>
              <w:t>得0.5分，最高得1.5分</w:t>
            </w:r>
            <w:r>
              <w:rPr>
                <w:rFonts w:hint="eastAsia" w:ascii="仿宋" w:hAnsi="仿宋" w:eastAsia="仿宋" w:cs="仿宋"/>
                <w:b w:val="0"/>
                <w:bCs w:val="0"/>
                <w:color w:val="auto"/>
                <w:sz w:val="28"/>
                <w:szCs w:val="28"/>
                <w:highlight w:val="none"/>
                <w:lang w:eastAsia="zh-CN"/>
              </w:rPr>
              <w:t>。</w:t>
            </w:r>
          </w:p>
        </w:tc>
      </w:tr>
      <w:tr w14:paraId="73A53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387" w:type="dxa"/>
            <w:vMerge w:val="continue"/>
            <w:noWrap w:val="0"/>
            <w:vAlign w:val="center"/>
          </w:tcPr>
          <w:p w14:paraId="6CEFC3A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pacing w:val="0"/>
                <w:sz w:val="28"/>
                <w:szCs w:val="28"/>
                <w:highlight w:val="none"/>
                <w:lang w:eastAsia="zh-CN"/>
              </w:rPr>
            </w:pPr>
          </w:p>
        </w:tc>
        <w:tc>
          <w:tcPr>
            <w:tcW w:w="1605" w:type="dxa"/>
            <w:tcBorders>
              <w:left w:val="nil"/>
            </w:tcBorders>
            <w:noWrap w:val="0"/>
            <w:vAlign w:val="center"/>
          </w:tcPr>
          <w:p w14:paraId="13EF3CF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lang w:val="en-US" w:eastAsia="zh-CN"/>
              </w:rPr>
              <w:t>网络安全保障方案（1.5</w:t>
            </w:r>
            <w:r>
              <w:rPr>
                <w:rFonts w:hint="eastAsia" w:ascii="仿宋" w:hAnsi="仿宋" w:eastAsia="仿宋" w:cs="仿宋"/>
                <w:color w:val="auto"/>
                <w:spacing w:val="0"/>
                <w:sz w:val="28"/>
                <w:szCs w:val="28"/>
                <w:highlight w:val="none"/>
              </w:rPr>
              <w:t>分</w:t>
            </w:r>
            <w:r>
              <w:rPr>
                <w:rFonts w:hint="eastAsia" w:ascii="仿宋" w:hAnsi="仿宋" w:eastAsia="仿宋" w:cs="仿宋"/>
                <w:color w:val="auto"/>
                <w:spacing w:val="0"/>
                <w:sz w:val="28"/>
                <w:szCs w:val="28"/>
                <w:highlight w:val="none"/>
                <w:lang w:val="en-US" w:eastAsia="zh-CN"/>
              </w:rPr>
              <w:t>）</w:t>
            </w:r>
          </w:p>
        </w:tc>
        <w:tc>
          <w:tcPr>
            <w:tcW w:w="6966" w:type="dxa"/>
            <w:tcBorders>
              <w:left w:val="nil"/>
            </w:tcBorders>
            <w:noWrap w:val="0"/>
            <w:vAlign w:val="center"/>
          </w:tcPr>
          <w:p w14:paraId="3AA0689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pacing w:val="0"/>
                <w:sz w:val="28"/>
                <w:szCs w:val="28"/>
                <w:highlight w:val="none"/>
                <w:lang w:val="en-US" w:eastAsia="zh-CN"/>
              </w:rPr>
            </w:pPr>
            <w:r>
              <w:rPr>
                <w:rFonts w:hint="eastAsia" w:ascii="仿宋" w:hAnsi="仿宋" w:eastAsia="仿宋" w:cs="仿宋"/>
                <w:color w:val="auto"/>
                <w:spacing w:val="0"/>
                <w:sz w:val="28"/>
                <w:szCs w:val="28"/>
                <w:highlight w:val="none"/>
                <w:lang w:val="en-US" w:eastAsia="zh-CN"/>
              </w:rPr>
              <w:t>一、评审内容：根据项目情况，提供了有针对性的网络安全保障方案</w:t>
            </w:r>
          </w:p>
          <w:p w14:paraId="0BF7701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二、</w:t>
            </w:r>
            <w:r>
              <w:rPr>
                <w:rFonts w:hint="eastAsia" w:ascii="仿宋" w:hAnsi="仿宋" w:eastAsia="仿宋" w:cs="仿宋"/>
                <w:b w:val="0"/>
                <w:bCs w:val="0"/>
                <w:color w:val="auto"/>
                <w:sz w:val="28"/>
                <w:szCs w:val="28"/>
                <w:highlight w:val="none"/>
              </w:rPr>
              <w:t xml:space="preserve">评审标准 </w:t>
            </w:r>
          </w:p>
          <w:p w14:paraId="5069AED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1、</w:t>
            </w:r>
            <w:r>
              <w:rPr>
                <w:rFonts w:hint="eastAsia" w:ascii="仿宋" w:hAnsi="仿宋" w:eastAsia="仿宋" w:cs="仿宋"/>
                <w:b w:val="0"/>
                <w:bCs w:val="0"/>
                <w:color w:val="auto"/>
                <w:sz w:val="28"/>
                <w:szCs w:val="28"/>
                <w:highlight w:val="none"/>
              </w:rPr>
              <w:t>完整性：切合本项目实际情况，方案内容齐全，对</w:t>
            </w:r>
            <w:r>
              <w:rPr>
                <w:rFonts w:hint="eastAsia" w:ascii="仿宋" w:hAnsi="仿宋" w:eastAsia="仿宋" w:cs="仿宋"/>
                <w:b w:val="0"/>
                <w:bCs w:val="0"/>
                <w:color w:val="auto"/>
                <w:sz w:val="28"/>
                <w:szCs w:val="28"/>
                <w:highlight w:val="none"/>
                <w:lang w:eastAsia="zh-CN"/>
              </w:rPr>
              <w:t>评审内容</w:t>
            </w:r>
            <w:r>
              <w:rPr>
                <w:rFonts w:hint="eastAsia" w:ascii="仿宋" w:hAnsi="仿宋" w:eastAsia="仿宋" w:cs="仿宋"/>
                <w:b w:val="0"/>
                <w:bCs w:val="0"/>
                <w:color w:val="auto"/>
                <w:sz w:val="28"/>
                <w:szCs w:val="28"/>
                <w:highlight w:val="none"/>
                <w:lang w:val="en-US" w:eastAsia="zh-CN"/>
              </w:rPr>
              <w:t>的</w:t>
            </w:r>
            <w:r>
              <w:rPr>
                <w:rFonts w:hint="eastAsia" w:ascii="仿宋" w:hAnsi="仿宋" w:eastAsia="仿宋" w:cs="仿宋"/>
                <w:b w:val="0"/>
                <w:bCs w:val="0"/>
                <w:color w:val="auto"/>
                <w:sz w:val="28"/>
                <w:szCs w:val="28"/>
                <w:highlight w:val="none"/>
              </w:rPr>
              <w:t xml:space="preserve">要求有详细描述； </w:t>
            </w:r>
          </w:p>
          <w:p w14:paraId="3B38EB5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2、</w:t>
            </w:r>
            <w:r>
              <w:rPr>
                <w:rFonts w:hint="eastAsia" w:ascii="仿宋" w:hAnsi="仿宋" w:eastAsia="仿宋" w:cs="仿宋"/>
                <w:b w:val="0"/>
                <w:bCs w:val="0"/>
                <w:color w:val="auto"/>
                <w:sz w:val="28"/>
                <w:szCs w:val="28"/>
                <w:highlight w:val="none"/>
              </w:rPr>
              <w:t xml:space="preserve">合理性：方案内容符合项目实际特点，合理、恰当； </w:t>
            </w:r>
          </w:p>
          <w:p w14:paraId="59729E6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rPr>
              <w:t>针对性：切合本项目实际情况，根据招标文件要求提出针对本项目实际操作性强的</w:t>
            </w:r>
            <w:r>
              <w:rPr>
                <w:rFonts w:hint="eastAsia" w:ascii="仿宋" w:hAnsi="仿宋" w:eastAsia="仿宋" w:cs="仿宋"/>
                <w:b w:val="0"/>
                <w:bCs w:val="0"/>
                <w:color w:val="auto"/>
                <w:sz w:val="28"/>
                <w:szCs w:val="28"/>
                <w:highlight w:val="none"/>
                <w:lang w:val="en-US" w:eastAsia="zh-CN"/>
              </w:rPr>
              <w:t>实施</w:t>
            </w:r>
            <w:r>
              <w:rPr>
                <w:rFonts w:hint="eastAsia" w:ascii="仿宋" w:hAnsi="仿宋" w:eastAsia="仿宋" w:cs="仿宋"/>
                <w:b w:val="0"/>
                <w:bCs w:val="0"/>
                <w:color w:val="auto"/>
                <w:sz w:val="28"/>
                <w:szCs w:val="28"/>
                <w:highlight w:val="none"/>
              </w:rPr>
              <w:t xml:space="preserve">方案。 </w:t>
            </w:r>
          </w:p>
          <w:p w14:paraId="097F60A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仿宋" w:hAnsi="仿宋" w:eastAsia="仿宋" w:cs="仿宋"/>
                <w:color w:val="auto"/>
                <w:spacing w:val="0"/>
                <w:sz w:val="28"/>
                <w:szCs w:val="28"/>
                <w:highlight w:val="none"/>
                <w:lang w:val="en-US" w:eastAsia="zh-CN"/>
              </w:rPr>
            </w:pPr>
            <w:r>
              <w:rPr>
                <w:rFonts w:hint="eastAsia" w:ascii="仿宋" w:hAnsi="仿宋" w:eastAsia="仿宋" w:cs="仿宋"/>
                <w:b w:val="0"/>
                <w:bCs w:val="0"/>
                <w:color w:val="auto"/>
                <w:sz w:val="28"/>
                <w:szCs w:val="28"/>
                <w:highlight w:val="none"/>
              </w:rPr>
              <w:t>上述</w:t>
            </w: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rPr>
              <w:t>项评审内容</w:t>
            </w:r>
            <w:r>
              <w:rPr>
                <w:rFonts w:hint="eastAsia" w:ascii="仿宋" w:hAnsi="仿宋" w:eastAsia="仿宋" w:cs="仿宋"/>
                <w:b w:val="0"/>
                <w:bCs w:val="0"/>
                <w:color w:val="auto"/>
                <w:sz w:val="28"/>
                <w:szCs w:val="28"/>
                <w:highlight w:val="none"/>
                <w:lang w:val="en-US" w:eastAsia="zh-CN"/>
              </w:rPr>
              <w:t>每</w:t>
            </w:r>
            <w:r>
              <w:rPr>
                <w:rFonts w:hint="eastAsia" w:ascii="仿宋" w:hAnsi="仿宋" w:eastAsia="仿宋" w:cs="仿宋"/>
                <w:b w:val="0"/>
                <w:bCs w:val="0"/>
                <w:color w:val="auto"/>
                <w:sz w:val="28"/>
                <w:szCs w:val="28"/>
                <w:highlight w:val="none"/>
              </w:rPr>
              <w:t>满足</w:t>
            </w:r>
            <w:r>
              <w:rPr>
                <w:rFonts w:hint="eastAsia" w:ascii="仿宋" w:hAnsi="仿宋" w:eastAsia="仿宋" w:cs="仿宋"/>
                <w:b w:val="0"/>
                <w:bCs w:val="0"/>
                <w:color w:val="auto"/>
                <w:sz w:val="28"/>
                <w:szCs w:val="28"/>
                <w:highlight w:val="none"/>
                <w:lang w:val="en-US" w:eastAsia="zh-CN"/>
              </w:rPr>
              <w:t>1项评审标准得0.5分，最高得1.5分</w:t>
            </w:r>
            <w:r>
              <w:rPr>
                <w:rFonts w:hint="eastAsia" w:ascii="仿宋" w:hAnsi="仿宋" w:eastAsia="仿宋" w:cs="仿宋"/>
                <w:b w:val="0"/>
                <w:bCs w:val="0"/>
                <w:color w:val="auto"/>
                <w:sz w:val="28"/>
                <w:szCs w:val="28"/>
                <w:highlight w:val="none"/>
                <w:lang w:eastAsia="zh-CN"/>
              </w:rPr>
              <w:t>。</w:t>
            </w:r>
          </w:p>
        </w:tc>
      </w:tr>
      <w:tr w14:paraId="4D9AE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387" w:type="dxa"/>
            <w:vMerge w:val="continue"/>
            <w:noWrap w:val="0"/>
            <w:vAlign w:val="center"/>
          </w:tcPr>
          <w:p w14:paraId="0990C5A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pacing w:val="0"/>
                <w:sz w:val="28"/>
                <w:szCs w:val="28"/>
                <w:highlight w:val="none"/>
                <w:lang w:eastAsia="zh-CN"/>
              </w:rPr>
            </w:pPr>
          </w:p>
        </w:tc>
        <w:tc>
          <w:tcPr>
            <w:tcW w:w="1605" w:type="dxa"/>
            <w:tcBorders>
              <w:left w:val="nil"/>
            </w:tcBorders>
            <w:noWrap w:val="0"/>
            <w:vAlign w:val="center"/>
          </w:tcPr>
          <w:p w14:paraId="47372FC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pacing w:val="0"/>
                <w:kern w:val="2"/>
                <w:sz w:val="28"/>
                <w:szCs w:val="28"/>
                <w:highlight w:val="none"/>
                <w:lang w:val="en-US" w:eastAsia="zh-CN" w:bidi="ar-SA"/>
              </w:rPr>
            </w:pPr>
            <w:r>
              <w:rPr>
                <w:rFonts w:hint="eastAsia" w:ascii="仿宋" w:hAnsi="仿宋" w:eastAsia="仿宋" w:cs="仿宋"/>
                <w:color w:val="auto"/>
                <w:spacing w:val="0"/>
                <w:sz w:val="28"/>
                <w:szCs w:val="28"/>
                <w:highlight w:val="none"/>
                <w:lang w:val="en-US" w:eastAsia="zh-CN"/>
              </w:rPr>
              <w:t>售后服务、运维保障及应急方案（3</w:t>
            </w:r>
            <w:r>
              <w:rPr>
                <w:rFonts w:hint="eastAsia" w:ascii="仿宋" w:hAnsi="仿宋" w:eastAsia="仿宋" w:cs="仿宋"/>
                <w:color w:val="auto"/>
                <w:spacing w:val="0"/>
                <w:sz w:val="28"/>
                <w:szCs w:val="28"/>
                <w:highlight w:val="none"/>
              </w:rPr>
              <w:t>分</w:t>
            </w:r>
            <w:r>
              <w:rPr>
                <w:rFonts w:hint="eastAsia" w:ascii="仿宋" w:hAnsi="仿宋" w:eastAsia="仿宋" w:cs="仿宋"/>
                <w:color w:val="auto"/>
                <w:spacing w:val="0"/>
                <w:sz w:val="28"/>
                <w:szCs w:val="28"/>
                <w:highlight w:val="none"/>
                <w:lang w:val="en-US" w:eastAsia="zh-CN"/>
              </w:rPr>
              <w:t>）</w:t>
            </w:r>
          </w:p>
        </w:tc>
        <w:tc>
          <w:tcPr>
            <w:tcW w:w="6966" w:type="dxa"/>
            <w:tcBorders>
              <w:left w:val="nil"/>
            </w:tcBorders>
            <w:noWrap w:val="0"/>
            <w:vAlign w:val="center"/>
          </w:tcPr>
          <w:p w14:paraId="415A8D4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color w:val="auto"/>
                <w:spacing w:val="0"/>
                <w:sz w:val="28"/>
                <w:szCs w:val="28"/>
                <w:highlight w:val="none"/>
                <w:lang w:val="en-US" w:eastAsia="zh-CN"/>
              </w:rPr>
            </w:pPr>
            <w:r>
              <w:rPr>
                <w:rFonts w:hint="eastAsia" w:ascii="仿宋" w:hAnsi="仿宋" w:eastAsia="仿宋" w:cs="仿宋"/>
                <w:color w:val="auto"/>
                <w:spacing w:val="0"/>
                <w:kern w:val="2"/>
                <w:sz w:val="28"/>
                <w:szCs w:val="28"/>
                <w:highlight w:val="none"/>
                <w:lang w:val="en-US" w:eastAsia="zh-CN" w:bidi="ar-SA"/>
              </w:rPr>
              <w:t>一、</w:t>
            </w:r>
            <w:r>
              <w:rPr>
                <w:rFonts w:hint="eastAsia" w:ascii="仿宋" w:hAnsi="仿宋" w:eastAsia="仿宋" w:cs="仿宋"/>
                <w:color w:val="auto"/>
                <w:spacing w:val="0"/>
                <w:sz w:val="28"/>
                <w:szCs w:val="28"/>
                <w:highlight w:val="none"/>
                <w:lang w:val="en-US" w:eastAsia="zh-CN"/>
              </w:rPr>
              <w:t>评审内容：根据项目情况，提供了有针对性的售后服务、运维保障及应急方案</w:t>
            </w:r>
          </w:p>
          <w:p w14:paraId="79280DA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二、</w:t>
            </w:r>
            <w:r>
              <w:rPr>
                <w:rFonts w:hint="eastAsia" w:ascii="仿宋" w:hAnsi="仿宋" w:eastAsia="仿宋" w:cs="仿宋"/>
                <w:b w:val="0"/>
                <w:bCs w:val="0"/>
                <w:color w:val="auto"/>
                <w:sz w:val="28"/>
                <w:szCs w:val="28"/>
                <w:highlight w:val="none"/>
              </w:rPr>
              <w:t xml:space="preserve">评审标准 </w:t>
            </w:r>
          </w:p>
          <w:p w14:paraId="36160E7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1、</w:t>
            </w:r>
            <w:r>
              <w:rPr>
                <w:rFonts w:hint="eastAsia" w:ascii="仿宋" w:hAnsi="仿宋" w:eastAsia="仿宋" w:cs="仿宋"/>
                <w:b w:val="0"/>
                <w:bCs w:val="0"/>
                <w:color w:val="auto"/>
                <w:sz w:val="28"/>
                <w:szCs w:val="28"/>
                <w:highlight w:val="none"/>
              </w:rPr>
              <w:t>完整性：切合本项目实际情况，方案内容齐全，对</w:t>
            </w:r>
            <w:r>
              <w:rPr>
                <w:rFonts w:hint="eastAsia" w:ascii="仿宋" w:hAnsi="仿宋" w:eastAsia="仿宋" w:cs="仿宋"/>
                <w:b w:val="0"/>
                <w:bCs w:val="0"/>
                <w:color w:val="auto"/>
                <w:sz w:val="28"/>
                <w:szCs w:val="28"/>
                <w:highlight w:val="none"/>
                <w:lang w:eastAsia="zh-CN"/>
              </w:rPr>
              <w:t>评审内容</w:t>
            </w:r>
            <w:r>
              <w:rPr>
                <w:rFonts w:hint="eastAsia" w:ascii="仿宋" w:hAnsi="仿宋" w:eastAsia="仿宋" w:cs="仿宋"/>
                <w:b w:val="0"/>
                <w:bCs w:val="0"/>
                <w:color w:val="auto"/>
                <w:sz w:val="28"/>
                <w:szCs w:val="28"/>
                <w:highlight w:val="none"/>
              </w:rPr>
              <w:t>中</w:t>
            </w:r>
            <w:r>
              <w:rPr>
                <w:rFonts w:hint="eastAsia" w:ascii="仿宋" w:hAnsi="仿宋" w:eastAsia="仿宋" w:cs="仿宋"/>
                <w:b w:val="0"/>
                <w:bCs w:val="0"/>
                <w:color w:val="auto"/>
                <w:sz w:val="28"/>
                <w:szCs w:val="28"/>
                <w:highlight w:val="none"/>
                <w:lang w:val="en-US" w:eastAsia="zh-CN"/>
              </w:rPr>
              <w:t>的</w:t>
            </w:r>
            <w:r>
              <w:rPr>
                <w:rFonts w:hint="eastAsia" w:ascii="仿宋" w:hAnsi="仿宋" w:eastAsia="仿宋" w:cs="仿宋"/>
                <w:b w:val="0"/>
                <w:bCs w:val="0"/>
                <w:color w:val="auto"/>
                <w:sz w:val="28"/>
                <w:szCs w:val="28"/>
                <w:highlight w:val="none"/>
              </w:rPr>
              <w:t xml:space="preserve">要求有详细描述； </w:t>
            </w:r>
          </w:p>
          <w:p w14:paraId="4ABAB5F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2、</w:t>
            </w:r>
            <w:r>
              <w:rPr>
                <w:rFonts w:hint="eastAsia" w:ascii="仿宋" w:hAnsi="仿宋" w:eastAsia="仿宋" w:cs="仿宋"/>
                <w:b w:val="0"/>
                <w:bCs w:val="0"/>
                <w:color w:val="auto"/>
                <w:sz w:val="28"/>
                <w:szCs w:val="28"/>
                <w:highlight w:val="none"/>
              </w:rPr>
              <w:t xml:space="preserve">合理性：方案内容符合项目实际特点，合理、恰当； </w:t>
            </w:r>
          </w:p>
          <w:p w14:paraId="4636659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rPr>
              <w:t xml:space="preserve">针对性：切合本项目实际情况，根据招标文件要求提出针对本项目实际操作性强的方案。 </w:t>
            </w:r>
          </w:p>
          <w:p w14:paraId="7AE9C82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sz w:val="28"/>
                <w:szCs w:val="28"/>
                <w:highlight w:val="none"/>
              </w:rPr>
              <w:t>上述评审内容</w:t>
            </w:r>
            <w:r>
              <w:rPr>
                <w:rFonts w:hint="eastAsia" w:ascii="仿宋" w:hAnsi="仿宋" w:eastAsia="仿宋" w:cs="仿宋"/>
                <w:b w:val="0"/>
                <w:bCs w:val="0"/>
                <w:color w:val="auto"/>
                <w:sz w:val="28"/>
                <w:szCs w:val="28"/>
                <w:highlight w:val="none"/>
                <w:lang w:eastAsia="zh-CN"/>
              </w:rPr>
              <w:t>每</w:t>
            </w:r>
            <w:r>
              <w:rPr>
                <w:rFonts w:hint="eastAsia" w:ascii="仿宋" w:hAnsi="仿宋" w:eastAsia="仿宋" w:cs="仿宋"/>
                <w:b w:val="0"/>
                <w:bCs w:val="0"/>
                <w:color w:val="auto"/>
                <w:sz w:val="28"/>
                <w:szCs w:val="28"/>
                <w:highlight w:val="none"/>
              </w:rPr>
              <w:t>满足</w:t>
            </w:r>
            <w:r>
              <w:rPr>
                <w:rFonts w:hint="eastAsia" w:ascii="仿宋" w:hAnsi="仿宋" w:eastAsia="仿宋" w:cs="仿宋"/>
                <w:b w:val="0"/>
                <w:bCs w:val="0"/>
                <w:color w:val="auto"/>
                <w:sz w:val="28"/>
                <w:szCs w:val="28"/>
                <w:highlight w:val="none"/>
                <w:lang w:val="en-US" w:eastAsia="zh-CN"/>
              </w:rPr>
              <w:t>1</w:t>
            </w:r>
            <w:r>
              <w:rPr>
                <w:rFonts w:hint="eastAsia" w:ascii="仿宋" w:hAnsi="仿宋" w:eastAsia="仿宋" w:cs="仿宋"/>
                <w:b w:val="0"/>
                <w:bCs w:val="0"/>
                <w:color w:val="auto"/>
                <w:sz w:val="28"/>
                <w:szCs w:val="28"/>
                <w:highlight w:val="none"/>
                <w:lang w:eastAsia="zh-CN"/>
              </w:rPr>
              <w:t>项</w:t>
            </w:r>
            <w:r>
              <w:rPr>
                <w:rFonts w:hint="eastAsia" w:ascii="仿宋" w:hAnsi="仿宋" w:eastAsia="仿宋" w:cs="仿宋"/>
                <w:b w:val="0"/>
                <w:bCs w:val="0"/>
                <w:color w:val="auto"/>
                <w:sz w:val="28"/>
                <w:szCs w:val="28"/>
                <w:highlight w:val="none"/>
              </w:rPr>
              <w:t>评审标准得</w:t>
            </w:r>
            <w:r>
              <w:rPr>
                <w:rFonts w:hint="eastAsia" w:ascii="仿宋" w:hAnsi="仿宋" w:eastAsia="仿宋" w:cs="仿宋"/>
                <w:b w:val="0"/>
                <w:bCs w:val="0"/>
                <w:color w:val="auto"/>
                <w:sz w:val="28"/>
                <w:szCs w:val="28"/>
                <w:highlight w:val="none"/>
                <w:lang w:val="en-US" w:eastAsia="zh-CN"/>
              </w:rPr>
              <w:t>1</w:t>
            </w:r>
            <w:r>
              <w:rPr>
                <w:rFonts w:hint="eastAsia" w:ascii="仿宋" w:hAnsi="仿宋" w:eastAsia="仿宋" w:cs="仿宋"/>
                <w:b w:val="0"/>
                <w:bCs w:val="0"/>
                <w:color w:val="auto"/>
                <w:sz w:val="28"/>
                <w:szCs w:val="28"/>
                <w:highlight w:val="none"/>
              </w:rPr>
              <w:t xml:space="preserve"> 分，</w:t>
            </w:r>
            <w:r>
              <w:rPr>
                <w:rFonts w:hint="eastAsia" w:ascii="仿宋" w:hAnsi="仿宋" w:eastAsia="仿宋" w:cs="仿宋"/>
                <w:b w:val="0"/>
                <w:bCs w:val="0"/>
                <w:color w:val="auto"/>
                <w:sz w:val="28"/>
                <w:szCs w:val="28"/>
                <w:highlight w:val="none"/>
                <w:lang w:val="en-US" w:eastAsia="zh-CN"/>
              </w:rPr>
              <w:t>最高得3</w:t>
            </w:r>
            <w:r>
              <w:rPr>
                <w:rFonts w:hint="eastAsia" w:ascii="仿宋" w:hAnsi="仿宋" w:eastAsia="仿宋" w:cs="仿宋"/>
                <w:b w:val="0"/>
                <w:bCs w:val="0"/>
                <w:color w:val="auto"/>
                <w:sz w:val="28"/>
                <w:szCs w:val="28"/>
                <w:highlight w:val="none"/>
              </w:rPr>
              <w:t>分</w:t>
            </w:r>
            <w:r>
              <w:rPr>
                <w:rFonts w:hint="eastAsia" w:ascii="仿宋" w:hAnsi="仿宋" w:eastAsia="仿宋" w:cs="仿宋"/>
                <w:b w:val="0"/>
                <w:bCs w:val="0"/>
                <w:color w:val="auto"/>
                <w:sz w:val="28"/>
                <w:szCs w:val="28"/>
                <w:highlight w:val="none"/>
                <w:lang w:eastAsia="zh-CN"/>
              </w:rPr>
              <w:t>。</w:t>
            </w:r>
          </w:p>
        </w:tc>
      </w:tr>
      <w:tr w14:paraId="6765B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1387" w:type="dxa"/>
            <w:vMerge w:val="restart"/>
            <w:noWrap w:val="0"/>
            <w:vAlign w:val="center"/>
          </w:tcPr>
          <w:p w14:paraId="032E8698">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pacing w:val="0"/>
                <w:sz w:val="28"/>
                <w:szCs w:val="28"/>
                <w:highlight w:val="none"/>
                <w:lang w:val="en-US" w:eastAsia="zh-CN"/>
              </w:rPr>
            </w:pPr>
            <w:r>
              <w:rPr>
                <w:rFonts w:hint="eastAsia" w:ascii="仿宋" w:hAnsi="仿宋" w:eastAsia="仿宋" w:cs="仿宋"/>
                <w:color w:val="auto"/>
                <w:spacing w:val="0"/>
                <w:sz w:val="28"/>
                <w:szCs w:val="28"/>
                <w:highlight w:val="none"/>
                <w:lang w:val="en-US" w:eastAsia="zh-CN"/>
              </w:rPr>
              <w:t>商务部分（50.5分）</w:t>
            </w:r>
          </w:p>
        </w:tc>
        <w:tc>
          <w:tcPr>
            <w:tcW w:w="1605" w:type="dxa"/>
            <w:tcBorders>
              <w:left w:val="nil"/>
            </w:tcBorders>
            <w:noWrap w:val="0"/>
            <w:vAlign w:val="center"/>
          </w:tcPr>
          <w:p w14:paraId="5FB77AFF">
            <w:pPr>
              <w:keepNext w:val="0"/>
              <w:keepLines w:val="0"/>
              <w:pageBreakBefore w:val="0"/>
              <w:widowControl w:val="0"/>
              <w:shd w:val="clear" w:color="auto" w:fill="auto"/>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pacing w:val="0"/>
                <w:sz w:val="28"/>
                <w:szCs w:val="28"/>
                <w:highlight w:val="none"/>
                <w:lang w:val="en-US" w:eastAsia="zh-CN"/>
              </w:rPr>
            </w:pPr>
            <w:r>
              <w:rPr>
                <w:rFonts w:hint="eastAsia" w:ascii="仿宋" w:hAnsi="仿宋" w:eastAsia="仿宋" w:cs="仿宋"/>
                <w:snapToGrid/>
                <w:color w:val="auto"/>
                <w:kern w:val="2"/>
                <w:sz w:val="28"/>
                <w:szCs w:val="28"/>
                <w:highlight w:val="none"/>
                <w:lang w:val="zh-CN" w:eastAsia="zh-CN"/>
              </w:rPr>
              <w:t>类似项目业绩（</w:t>
            </w:r>
            <w:r>
              <w:rPr>
                <w:rFonts w:hint="eastAsia" w:ascii="仿宋" w:hAnsi="仿宋" w:eastAsia="仿宋" w:cs="仿宋"/>
                <w:snapToGrid/>
                <w:color w:val="auto"/>
                <w:kern w:val="2"/>
                <w:sz w:val="28"/>
                <w:szCs w:val="28"/>
                <w:highlight w:val="none"/>
                <w:lang w:val="en-US" w:eastAsia="zh-CN"/>
              </w:rPr>
              <w:t>25分</w:t>
            </w:r>
            <w:r>
              <w:rPr>
                <w:rFonts w:hint="eastAsia" w:ascii="仿宋" w:hAnsi="仿宋" w:eastAsia="仿宋" w:cs="仿宋"/>
                <w:snapToGrid/>
                <w:color w:val="auto"/>
                <w:kern w:val="2"/>
                <w:sz w:val="28"/>
                <w:szCs w:val="28"/>
                <w:highlight w:val="none"/>
                <w:lang w:val="zh-CN" w:eastAsia="zh-CN"/>
              </w:rPr>
              <w:t>）</w:t>
            </w:r>
          </w:p>
        </w:tc>
        <w:tc>
          <w:tcPr>
            <w:tcW w:w="6966" w:type="dxa"/>
            <w:tcBorders>
              <w:left w:val="nil"/>
            </w:tcBorders>
            <w:noWrap w:val="0"/>
            <w:vAlign w:val="center"/>
          </w:tcPr>
          <w:p w14:paraId="37321F52">
            <w:pPr>
              <w:widowControl/>
              <w:shd w:val="clear" w:color="auto" w:fill="auto"/>
              <w:kinsoku/>
              <w:autoSpaceDE/>
              <w:autoSpaceDN/>
              <w:adjustRightInd/>
              <w:snapToGrid/>
              <w:spacing w:line="400" w:lineRule="exact"/>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snapToGrid/>
                <w:color w:val="auto"/>
                <w:kern w:val="2"/>
                <w:sz w:val="28"/>
                <w:szCs w:val="28"/>
                <w:highlight w:val="none"/>
                <w:lang w:val="zh-CN" w:eastAsia="zh-CN"/>
              </w:rPr>
              <w:t>每提供一个2021年1月1日至今的</w:t>
            </w:r>
            <w:r>
              <w:rPr>
                <w:rFonts w:hint="eastAsia" w:ascii="仿宋" w:hAnsi="仿宋" w:eastAsia="仿宋" w:cs="仿宋"/>
                <w:snapToGrid/>
                <w:color w:val="auto"/>
                <w:kern w:val="2"/>
                <w:sz w:val="28"/>
                <w:szCs w:val="28"/>
                <w:highlight w:val="none"/>
                <w:lang w:val="en-US" w:eastAsia="zh-CN"/>
              </w:rPr>
              <w:t>类似</w:t>
            </w:r>
            <w:r>
              <w:rPr>
                <w:rFonts w:hint="eastAsia" w:ascii="仿宋" w:hAnsi="仿宋" w:eastAsia="仿宋" w:cs="仿宋"/>
                <w:snapToGrid/>
                <w:color w:val="auto"/>
                <w:kern w:val="2"/>
                <w:sz w:val="28"/>
                <w:szCs w:val="28"/>
                <w:highlight w:val="none"/>
                <w:lang w:val="zh-CN" w:eastAsia="zh-CN"/>
              </w:rPr>
              <w:t>项目业绩得</w:t>
            </w:r>
            <w:r>
              <w:rPr>
                <w:rFonts w:hint="eastAsia" w:ascii="仿宋" w:hAnsi="仿宋" w:eastAsia="仿宋" w:cs="仿宋"/>
                <w:snapToGrid/>
                <w:color w:val="auto"/>
                <w:kern w:val="2"/>
                <w:sz w:val="28"/>
                <w:szCs w:val="28"/>
                <w:highlight w:val="none"/>
                <w:lang w:val="en-US" w:eastAsia="zh-CN"/>
              </w:rPr>
              <w:t>5</w:t>
            </w:r>
            <w:r>
              <w:rPr>
                <w:rFonts w:hint="eastAsia" w:ascii="仿宋" w:hAnsi="仿宋" w:eastAsia="仿宋" w:cs="仿宋"/>
                <w:snapToGrid/>
                <w:color w:val="auto"/>
                <w:kern w:val="2"/>
                <w:sz w:val="28"/>
                <w:szCs w:val="28"/>
                <w:highlight w:val="none"/>
                <w:lang w:val="zh-CN" w:eastAsia="zh-CN"/>
              </w:rPr>
              <w:t>分（提供合同协议书，</w:t>
            </w:r>
            <w:r>
              <w:rPr>
                <w:rFonts w:hint="eastAsia" w:ascii="仿宋" w:hAnsi="仿宋" w:eastAsia="仿宋" w:cs="仿宋"/>
                <w:snapToGrid/>
                <w:color w:val="auto"/>
                <w:kern w:val="2"/>
                <w:sz w:val="28"/>
                <w:szCs w:val="28"/>
                <w:highlight w:val="none"/>
                <w:lang w:val="en-US" w:eastAsia="zh-CN"/>
              </w:rPr>
              <w:t>以合同签订日期为准</w:t>
            </w:r>
            <w:r>
              <w:rPr>
                <w:rFonts w:hint="eastAsia" w:ascii="仿宋" w:hAnsi="仿宋" w:eastAsia="仿宋" w:cs="仿宋"/>
                <w:snapToGrid/>
                <w:color w:val="auto"/>
                <w:kern w:val="2"/>
                <w:sz w:val="28"/>
                <w:szCs w:val="28"/>
                <w:highlight w:val="none"/>
                <w:lang w:val="zh-CN" w:eastAsia="zh-CN"/>
              </w:rPr>
              <w:t>），最高得</w:t>
            </w:r>
            <w:r>
              <w:rPr>
                <w:rFonts w:hint="eastAsia" w:ascii="仿宋" w:hAnsi="仿宋" w:eastAsia="仿宋" w:cs="仿宋"/>
                <w:snapToGrid/>
                <w:color w:val="auto"/>
                <w:kern w:val="2"/>
                <w:sz w:val="28"/>
                <w:szCs w:val="28"/>
                <w:highlight w:val="none"/>
                <w:lang w:val="en-US" w:eastAsia="zh-CN"/>
              </w:rPr>
              <w:t>25</w:t>
            </w:r>
            <w:r>
              <w:rPr>
                <w:rFonts w:hint="eastAsia" w:ascii="仿宋" w:hAnsi="仿宋" w:eastAsia="仿宋" w:cs="仿宋"/>
                <w:snapToGrid/>
                <w:color w:val="auto"/>
                <w:kern w:val="2"/>
                <w:sz w:val="28"/>
                <w:szCs w:val="28"/>
                <w:highlight w:val="none"/>
                <w:lang w:val="zh-CN" w:eastAsia="zh-CN"/>
              </w:rPr>
              <w:t>分。</w:t>
            </w:r>
          </w:p>
        </w:tc>
      </w:tr>
      <w:tr w14:paraId="6884E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jc w:val="center"/>
        </w:trPr>
        <w:tc>
          <w:tcPr>
            <w:tcW w:w="1387" w:type="dxa"/>
            <w:vMerge w:val="continue"/>
            <w:noWrap w:val="0"/>
            <w:vAlign w:val="center"/>
          </w:tcPr>
          <w:p w14:paraId="4E8CF73D">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pacing w:val="0"/>
                <w:sz w:val="28"/>
                <w:szCs w:val="28"/>
                <w:highlight w:val="none"/>
                <w:lang w:val="en-US" w:eastAsia="zh-CN"/>
              </w:rPr>
            </w:pPr>
          </w:p>
        </w:tc>
        <w:tc>
          <w:tcPr>
            <w:tcW w:w="1605" w:type="dxa"/>
            <w:tcBorders>
              <w:left w:val="nil"/>
            </w:tcBorders>
            <w:noWrap w:val="0"/>
            <w:vAlign w:val="center"/>
          </w:tcPr>
          <w:p w14:paraId="43BDB4B7">
            <w:pPr>
              <w:keepNext w:val="0"/>
              <w:keepLines w:val="0"/>
              <w:pageBreakBefore w:val="0"/>
              <w:widowControl w:val="0"/>
              <w:shd w:val="clear" w:color="auto" w:fill="auto"/>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pacing w:val="0"/>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综合评价（7.5分）</w:t>
            </w:r>
          </w:p>
        </w:tc>
        <w:tc>
          <w:tcPr>
            <w:tcW w:w="6966" w:type="dxa"/>
            <w:tcBorders>
              <w:left w:val="nil"/>
            </w:tcBorders>
            <w:noWrap w:val="0"/>
            <w:vAlign w:val="center"/>
          </w:tcPr>
          <w:p w14:paraId="0F845068">
            <w:pPr>
              <w:widowControl/>
              <w:shd w:val="clear" w:color="auto" w:fill="auto"/>
              <w:kinsoku/>
              <w:autoSpaceDE/>
              <w:autoSpaceDN/>
              <w:adjustRightInd/>
              <w:snapToGrid/>
              <w:spacing w:line="400" w:lineRule="exact"/>
              <w:jc w:val="left"/>
              <w:textAlignment w:val="auto"/>
              <w:rPr>
                <w:rFonts w:hint="eastAsia" w:ascii="仿宋" w:hAnsi="仿宋" w:eastAsia="仿宋" w:cs="仿宋"/>
                <w:b w:val="0"/>
                <w:bCs w:val="0"/>
                <w:color w:val="auto"/>
                <w:sz w:val="28"/>
                <w:szCs w:val="28"/>
                <w:highlight w:val="none"/>
              </w:rPr>
            </w:pPr>
            <w:r>
              <w:rPr>
                <w:rFonts w:hint="eastAsia" w:ascii="仿宋" w:hAnsi="仿宋" w:eastAsia="仿宋" w:cs="仿宋"/>
                <w:color w:val="auto"/>
                <w:kern w:val="2"/>
                <w:sz w:val="28"/>
                <w:szCs w:val="28"/>
                <w:highlight w:val="none"/>
                <w:lang w:val="en-US" w:eastAsia="zh-CN" w:bidi="ar-SA"/>
              </w:rPr>
              <w:t>供应商提供2023年1月至今完成类似项目履约良好信誉证明材料（包括但不限于甲方满意度调查表/良好信誉评价书等甲方开具的证明资料）。每出具一份得1.5分，最高7.5分，未提供不计分。</w:t>
            </w:r>
          </w:p>
        </w:tc>
      </w:tr>
      <w:tr w14:paraId="5B14E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2" w:hRule="atLeast"/>
          <w:jc w:val="center"/>
        </w:trPr>
        <w:tc>
          <w:tcPr>
            <w:tcW w:w="1387" w:type="dxa"/>
            <w:vMerge w:val="continue"/>
            <w:noWrap w:val="0"/>
            <w:vAlign w:val="center"/>
          </w:tcPr>
          <w:p w14:paraId="08DD8E42">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color w:val="auto"/>
                <w:spacing w:val="0"/>
                <w:sz w:val="28"/>
                <w:szCs w:val="28"/>
                <w:highlight w:val="none"/>
                <w:lang w:val="en-US" w:eastAsia="zh-CN"/>
              </w:rPr>
            </w:pPr>
          </w:p>
        </w:tc>
        <w:tc>
          <w:tcPr>
            <w:tcW w:w="1605" w:type="dxa"/>
            <w:tcBorders>
              <w:left w:val="nil"/>
            </w:tcBorders>
            <w:noWrap w:val="0"/>
            <w:vAlign w:val="center"/>
          </w:tcPr>
          <w:p w14:paraId="2B28F1A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 w:hAnsi="仿宋" w:eastAsia="仿宋" w:cs="仿宋"/>
                <w:color w:val="auto"/>
                <w:spacing w:val="0"/>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技术支持资料</w:t>
            </w:r>
            <w:r>
              <w:rPr>
                <w:rFonts w:hint="eastAsia" w:ascii="仿宋" w:hAnsi="仿宋" w:eastAsia="仿宋" w:cs="仿宋"/>
                <w:snapToGrid/>
                <w:color w:val="auto"/>
                <w:spacing w:val="-4"/>
                <w:kern w:val="2"/>
                <w:sz w:val="28"/>
                <w:szCs w:val="28"/>
                <w:highlight w:val="none"/>
                <w:lang w:val="en-US" w:eastAsia="zh-CN"/>
              </w:rPr>
              <w:t>（18分）</w:t>
            </w:r>
          </w:p>
        </w:tc>
        <w:tc>
          <w:tcPr>
            <w:tcW w:w="6966" w:type="dxa"/>
            <w:tcBorders>
              <w:left w:val="nil"/>
            </w:tcBorders>
            <w:noWrap w:val="0"/>
            <w:vAlign w:val="center"/>
          </w:tcPr>
          <w:p w14:paraId="1B62B9D3">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每提供一个产品的技术支持资料得1.5分，最高得18分。</w:t>
            </w:r>
          </w:p>
          <w:p w14:paraId="18CEAFB6">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注：技术支持资料提供产品的检测报告，内容须包含应所投产品的型号，复印件加盖投标人公章方为有效。</w:t>
            </w:r>
          </w:p>
        </w:tc>
      </w:tr>
    </w:tbl>
    <w:p w14:paraId="6DE6D486">
      <w:pPr>
        <w:keepNext w:val="0"/>
        <w:keepLines w:val="0"/>
        <w:pageBreakBefore w:val="0"/>
        <w:kinsoku/>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满分：100分，综合评分法。各分项分值分配如下：</w:t>
      </w:r>
    </w:p>
    <w:p w14:paraId="66BBC6EE">
      <w:pPr>
        <w:keepNext w:val="0"/>
        <w:keepLines w:val="0"/>
        <w:pageBreakBefore w:val="0"/>
        <w:kinsoku/>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注：1）评委打分超过得分界限或未按本方法赋分时，该评委的打分按废票处理。</w:t>
      </w:r>
    </w:p>
    <w:p w14:paraId="77DF9DCA">
      <w:pPr>
        <w:keepNext w:val="0"/>
        <w:keepLines w:val="0"/>
        <w:pageBreakBefore w:val="0"/>
        <w:numPr>
          <w:ilvl w:val="0"/>
          <w:numId w:val="4"/>
        </w:numPr>
        <w:kinsoku/>
        <w:overflowPunct/>
        <w:topLinePunct w:val="0"/>
        <w:autoSpaceDE/>
        <w:autoSpaceDN/>
        <w:bidi w:val="0"/>
        <w:adjustRightInd/>
        <w:snapToGrid/>
        <w:spacing w:line="480" w:lineRule="exact"/>
        <w:ind w:firstLine="560" w:firstLineChars="200"/>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各种计算数字均保留两位小数，第三位“四舍五入”。 </w:t>
      </w:r>
    </w:p>
    <w:p w14:paraId="6000C327">
      <w:pPr>
        <w:keepNext w:val="0"/>
        <w:keepLines w:val="0"/>
        <w:pageBreakBefore w:val="0"/>
        <w:kinsoku/>
        <w:overflowPunct/>
        <w:topLinePunct w:val="0"/>
        <w:autoSpaceDE/>
        <w:autoSpaceDN/>
        <w:bidi w:val="0"/>
        <w:adjustRightInd/>
        <w:snapToGrid/>
        <w:spacing w:line="480" w:lineRule="exact"/>
        <w:ind w:firstLine="560" w:firstLineChars="200"/>
        <w:textAlignment w:val="auto"/>
        <w:outlineLvl w:val="9"/>
        <w:rPr>
          <w:rFonts w:hint="eastAsia" w:ascii="仿宋" w:hAnsi="仿宋" w:eastAsia="仿宋" w:cs="仿宋"/>
          <w:color w:val="auto"/>
          <w:sz w:val="28"/>
          <w:szCs w:val="28"/>
          <w:highlight w:val="none"/>
        </w:rPr>
      </w:pPr>
      <w:r>
        <w:rPr>
          <w:rFonts w:hint="eastAsia" w:ascii="仿宋" w:hAnsi="仿宋" w:eastAsia="仿宋" w:cs="仿宋"/>
          <w:b w:val="0"/>
          <w:bCs w:val="0"/>
          <w:color w:val="auto"/>
          <w:sz w:val="28"/>
          <w:szCs w:val="28"/>
          <w:highlight w:val="none"/>
        </w:rPr>
        <w:t>3）特殊情况处理：</w:t>
      </w:r>
    </w:p>
    <w:p w14:paraId="2C23EC34">
      <w:pPr>
        <w:keepNext w:val="0"/>
        <w:keepLines w:val="0"/>
        <w:pageBreakBefore w:val="0"/>
        <w:kinsoku/>
        <w:overflowPunct/>
        <w:topLinePunct w:val="0"/>
        <w:autoSpaceDE/>
        <w:autoSpaceDN/>
        <w:bidi w:val="0"/>
        <w:adjustRightInd/>
        <w:snapToGrid/>
        <w:spacing w:line="480" w:lineRule="exact"/>
        <w:ind w:firstLine="560" w:firstLineChars="200"/>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a、若出现综合得分并列时，投标报价得分高者为第一中标候选人，若投标报价的得分相同，技术得分高者为第一中标候选人，若上述两项得分相同，则由全体评标委员会成员无记名投票，得票高者为第一中标候选人。</w:t>
      </w:r>
    </w:p>
    <w:p w14:paraId="08C7F9ED">
      <w:pPr>
        <w:keepNext w:val="0"/>
        <w:keepLines w:val="0"/>
        <w:pageBreakBefore w:val="0"/>
        <w:kinsoku/>
        <w:overflowPunct/>
        <w:topLinePunct w:val="0"/>
        <w:autoSpaceDE/>
        <w:autoSpaceDN/>
        <w:bidi w:val="0"/>
        <w:adjustRightInd/>
        <w:snapToGrid/>
        <w:spacing w:line="480" w:lineRule="exact"/>
        <w:ind w:firstLine="560" w:firstLineChars="200"/>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b、当供应商某评分项出现未报、漏报或零报价时，该分项得零分，并不参与投标报价分的计算。</w:t>
      </w:r>
    </w:p>
    <w:p w14:paraId="7703ED45">
      <w:pPr>
        <w:keepNext w:val="0"/>
        <w:keepLines w:val="0"/>
        <w:pageBreakBefore w:val="0"/>
        <w:kinsoku/>
        <w:overflowPunct/>
        <w:topLinePunct w:val="0"/>
        <w:autoSpaceDE/>
        <w:autoSpaceDN/>
        <w:bidi w:val="0"/>
        <w:adjustRightInd/>
        <w:snapToGrid/>
        <w:spacing w:line="480" w:lineRule="exact"/>
        <w:ind w:firstLine="560" w:firstLineChars="200"/>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c、评标过程中，若出现本评标方法以外的特殊情况时，将暂停评标，待评委商榷后再进行复会。</w:t>
      </w:r>
    </w:p>
    <w:p w14:paraId="55E0DD57">
      <w:pPr>
        <w:pStyle w:val="95"/>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注：1）</w:t>
      </w:r>
      <w:r>
        <w:rPr>
          <w:rFonts w:hint="eastAsia" w:ascii="仿宋" w:hAnsi="仿宋" w:eastAsia="仿宋" w:cs="仿宋"/>
          <w:color w:val="auto"/>
          <w:sz w:val="28"/>
          <w:szCs w:val="28"/>
          <w:highlight w:val="none"/>
        </w:rPr>
        <w:t>根据财政部关于推动解决政府采购异常低价问题的通知（财库〔2026〕2号）文件规定，政府采购评审中出现下列情形之一的，评审委员会应当启动异常低价投标（响应）审查程序：</w:t>
      </w:r>
    </w:p>
    <w:p w14:paraId="5DE9B9AE">
      <w:pPr>
        <w:pStyle w:val="95"/>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A、投标（响应）报价低于全部通过符合性审查供应商投标（响应）报价平均值50%的，即投标（响应）报价&lt;全部通过符合性审查供应商投标（响应）报价平均值×50%；</w:t>
      </w:r>
    </w:p>
    <w:p w14:paraId="655EAC5A">
      <w:pPr>
        <w:pStyle w:val="95"/>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B、投标（响应）报价低于通过符合性审查的次低报价供应商投标（响应）报价50%的，即投标（响应）报价&lt;通过符合性审查的次低报价供应商投标（响应）报价×50%；</w:t>
      </w:r>
    </w:p>
    <w:p w14:paraId="6317E90A">
      <w:pPr>
        <w:pStyle w:val="95"/>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C、投标（响应）报价低于采购项目最高限价45%的，即投标（响应）报价&lt;采购项目最高限价×45%；</w:t>
      </w:r>
    </w:p>
    <w:p w14:paraId="347696C3">
      <w:pPr>
        <w:pStyle w:val="95"/>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D、评审委员会基于专业判断，认为供应商报价过低，有可能影响产品质量或者不能诚信履约的其他情形。</w:t>
      </w:r>
    </w:p>
    <w:p w14:paraId="1DA083BC">
      <w:pPr>
        <w:pStyle w:val="95"/>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6B1D372">
      <w:pPr>
        <w:pStyle w:val="95"/>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C8AC186">
      <w:pPr>
        <w:keepNext w:val="0"/>
        <w:keepLines w:val="0"/>
        <w:pageBreakBefore w:val="0"/>
        <w:kinsoku/>
        <w:overflowPunct/>
        <w:topLinePunct w:val="0"/>
        <w:autoSpaceDE/>
        <w:autoSpaceDN/>
        <w:bidi w:val="0"/>
        <w:adjustRightInd/>
        <w:snapToGrid/>
        <w:spacing w:line="480" w:lineRule="exact"/>
        <w:ind w:firstLine="562" w:firstLineChars="200"/>
        <w:textAlignment w:val="auto"/>
        <w:outlineLvl w:val="9"/>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rPr>
        <w:t>2-</w:t>
      </w:r>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rPr>
        <w:t>、依据《中华人民共和国政府采购法》和《中华人民共和国政府采购实施条例》的有关规定，落实政府采购“优先购买节能环保产品、扶持小微企业、监狱企业、福利企业”等相关政策。</w:t>
      </w:r>
    </w:p>
    <w:p w14:paraId="09B6C206">
      <w:pPr>
        <w:keepNext w:val="0"/>
        <w:keepLines w:val="0"/>
        <w:pageBreakBefore w:val="0"/>
        <w:kinsoku/>
        <w:overflowPunct/>
        <w:topLinePunct w:val="0"/>
        <w:autoSpaceDE/>
        <w:autoSpaceDN/>
        <w:bidi w:val="0"/>
        <w:adjustRightInd/>
        <w:snapToGrid/>
        <w:spacing w:line="480" w:lineRule="exact"/>
        <w:ind w:firstLine="562" w:firstLineChars="200"/>
        <w:textAlignment w:val="auto"/>
        <w:outlineLvl w:val="9"/>
        <w:rPr>
          <w:rFonts w:hint="eastAsia" w:ascii="仿宋" w:hAnsi="仿宋" w:eastAsia="仿宋" w:cs="仿宋"/>
          <w:b/>
          <w:color w:val="auto"/>
          <w:sz w:val="28"/>
          <w:szCs w:val="28"/>
          <w:highlight w:val="none"/>
        </w:rPr>
      </w:pPr>
      <w:r>
        <w:rPr>
          <w:rFonts w:hint="eastAsia" w:ascii="仿宋" w:hAnsi="仿宋" w:eastAsia="仿宋" w:cs="仿宋"/>
          <w:b/>
          <w:color w:val="auto"/>
          <w:kern w:val="0"/>
          <w:sz w:val="28"/>
          <w:szCs w:val="28"/>
          <w:highlight w:val="none"/>
          <w:lang w:val="en-US" w:eastAsia="zh-CN"/>
        </w:rPr>
        <w:t>1）</w:t>
      </w:r>
      <w:r>
        <w:rPr>
          <w:rFonts w:hint="eastAsia" w:ascii="仿宋" w:hAnsi="仿宋" w:eastAsia="仿宋" w:cs="仿宋"/>
          <w:b/>
          <w:color w:val="auto"/>
          <w:kern w:val="0"/>
          <w:sz w:val="28"/>
          <w:szCs w:val="28"/>
          <w:highlight w:val="none"/>
        </w:rPr>
        <w:t>政府采购政策</w:t>
      </w:r>
    </w:p>
    <w:p w14:paraId="3ACD61A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i w:val="0"/>
          <w:iCs w:val="0"/>
          <w:caps w:val="0"/>
          <w:color w:val="auto"/>
          <w:spacing w:val="0"/>
          <w:sz w:val="28"/>
          <w:szCs w:val="28"/>
          <w:highlight w:val="none"/>
          <w:shd w:val="clear" w:fill="FFFFFF"/>
        </w:rPr>
        <w:t>本项目需要落实的政府采购政策：《政府采购促进中小企业发展管理办法》的通知（财库〔2020〕46号）；（2）财政部司法部关于政府采购支持监狱企业发展有关问题的通知--财库〔2014〕68号；（3）《国务院办公厅关于建立政府强制采购节能产品制度的通知》--国办发〔2007〕51号；（4）《关于促进残疾人就业政府采购政策的通知》财库〔2017〕141号；（5）陕西省财政厅关于印发《陕西省中小企业政府采购信用融资办法》（陕财办采〔2018〕23号）；（6）《财政部 发展改革委 生态环境部 市场监管总局关于调整优化节能产品、环境标志产品政府采购执行机制的通知》（财库〔2019〕9号）；（7）其他需要落实的政府采购政策。</w:t>
      </w:r>
    </w:p>
    <w:p w14:paraId="109313C6">
      <w:pPr>
        <w:keepNext w:val="0"/>
        <w:keepLines w:val="0"/>
        <w:pageBreakBefore w:val="0"/>
        <w:kinsoku/>
        <w:overflowPunct/>
        <w:topLinePunct w:val="0"/>
        <w:autoSpaceDE/>
        <w:autoSpaceDN/>
        <w:bidi w:val="0"/>
        <w:adjustRightInd/>
        <w:snapToGrid/>
        <w:spacing w:line="480" w:lineRule="exact"/>
        <w:ind w:firstLine="562" w:firstLineChars="200"/>
        <w:textAlignment w:val="auto"/>
        <w:outlineLvl w:val="9"/>
        <w:rPr>
          <w:rFonts w:hint="eastAsia" w:ascii="仿宋" w:hAnsi="仿宋" w:eastAsia="仿宋" w:cs="仿宋"/>
          <w:b/>
          <w:color w:val="auto"/>
          <w:sz w:val="28"/>
          <w:szCs w:val="28"/>
          <w:highlight w:val="none"/>
        </w:rPr>
      </w:pPr>
      <w:r>
        <w:rPr>
          <w:rFonts w:hint="eastAsia" w:ascii="仿宋" w:hAnsi="仿宋" w:eastAsia="仿宋" w:cs="仿宋"/>
          <w:b/>
          <w:color w:val="auto"/>
          <w:kern w:val="0"/>
          <w:sz w:val="28"/>
          <w:szCs w:val="28"/>
          <w:highlight w:val="none"/>
          <w:lang w:val="en-US" w:eastAsia="zh-CN"/>
        </w:rPr>
        <w:t>2）</w:t>
      </w:r>
      <w:r>
        <w:rPr>
          <w:rFonts w:hint="eastAsia" w:ascii="仿宋" w:hAnsi="仿宋" w:eastAsia="仿宋" w:cs="仿宋"/>
          <w:b/>
          <w:color w:val="auto"/>
          <w:kern w:val="0"/>
          <w:sz w:val="28"/>
          <w:szCs w:val="28"/>
          <w:highlight w:val="none"/>
          <w:lang w:bidi="ar"/>
        </w:rPr>
        <w:t>政策性</w:t>
      </w:r>
      <w:r>
        <w:rPr>
          <w:rFonts w:hint="eastAsia" w:ascii="仿宋" w:hAnsi="仿宋" w:eastAsia="仿宋" w:cs="仿宋"/>
          <w:b/>
          <w:color w:val="auto"/>
          <w:kern w:val="0"/>
          <w:sz w:val="28"/>
          <w:szCs w:val="28"/>
          <w:highlight w:val="none"/>
          <w:lang w:val="en-US" w:bidi="ar"/>
        </w:rPr>
        <w:t>优惠条</w:t>
      </w:r>
      <w:r>
        <w:rPr>
          <w:rFonts w:hint="eastAsia" w:ascii="仿宋" w:hAnsi="仿宋" w:eastAsia="仿宋" w:cs="仿宋"/>
          <w:b/>
          <w:color w:val="auto"/>
          <w:kern w:val="0"/>
          <w:sz w:val="28"/>
          <w:szCs w:val="28"/>
          <w:highlight w:val="none"/>
          <w:lang w:bidi="ar"/>
        </w:rPr>
        <w:t>件</w:t>
      </w:r>
    </w:p>
    <w:p w14:paraId="250C1F0A">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供应商符合小型、微型企业或监狱企业、残疾人福利性单位条件的，其报价价格评审时将按相应比例进行扣除。</w:t>
      </w:r>
    </w:p>
    <w:p w14:paraId="2E9411A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1.1</w:t>
      </w:r>
      <w:r>
        <w:rPr>
          <w:rFonts w:hint="eastAsia" w:ascii="仿宋" w:hAnsi="仿宋" w:eastAsia="仿宋" w:cs="仿宋"/>
          <w:color w:val="auto"/>
          <w:kern w:val="0"/>
          <w:sz w:val="28"/>
          <w:szCs w:val="28"/>
          <w:highlight w:val="none"/>
          <w:lang w:val="en-US" w:eastAsia="zh-CN" w:bidi="ar"/>
        </w:rPr>
        <w:t>根据</w:t>
      </w:r>
      <w:r>
        <w:rPr>
          <w:rFonts w:hint="eastAsia" w:ascii="仿宋" w:hAnsi="仿宋" w:eastAsia="仿宋" w:cs="仿宋"/>
          <w:color w:val="auto"/>
          <w:kern w:val="0"/>
          <w:sz w:val="28"/>
          <w:szCs w:val="28"/>
          <w:highlight w:val="none"/>
          <w:lang w:bidi="ar"/>
        </w:rPr>
        <w:t>&lt;关于印发《政府采购促进中小企业发展管理办法》的通知&gt;（财库〔2020〕46号）的规定，</w:t>
      </w:r>
      <w:r>
        <w:rPr>
          <w:rFonts w:hint="eastAsia" w:ascii="仿宋" w:hAnsi="仿宋" w:eastAsia="仿宋" w:cs="仿宋"/>
          <w:color w:val="auto"/>
          <w:sz w:val="28"/>
          <w:szCs w:val="28"/>
          <w:highlight w:val="none"/>
        </w:rPr>
        <w:t>在政府采购活动中，供应商提供的货物、工程或者服务符合下列情形的，享受中小企业扶持政策：</w:t>
      </w:r>
    </w:p>
    <w:p w14:paraId="7CE52AE2">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（一）在货物采购项目中，货物由中小企业制造，即货物由中小企业生产且使用该中小企业商号或者注册商标；</w:t>
      </w:r>
    </w:p>
    <w:p w14:paraId="11FAF72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（二）在工程采购项目中，工程由中小企业承建，即工程施工单位为中小企业；</w:t>
      </w:r>
    </w:p>
    <w:p w14:paraId="7FFDB057">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（三）在服务采购项目中，服务由中小企业承接，即提供服务的人员为中小企业依照《中华人民共和国劳动合同法》订立劳动合同的从业人员。</w:t>
      </w:r>
    </w:p>
    <w:p w14:paraId="76F373A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在货物采购项目中，供应商提供的货物既有中小企业制造货物，也有大型企业制造货物的，不享受中小企业扶持政策。</w:t>
      </w:r>
    </w:p>
    <w:p w14:paraId="4A81B188">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以联合体形式参加政府采购活动，联合体各方均为中小企业的，联合体视同中小企业。其中，联合体各方均为小微企业的，联合体视同小微企业。</w:t>
      </w:r>
    </w:p>
    <w:p w14:paraId="1D014189">
      <w:pPr>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中小企业划分标准详见《关于印发中小企业划型标准规定的通知》</w:t>
      </w:r>
      <w:r>
        <w:rPr>
          <w:rFonts w:hint="eastAsia" w:ascii="仿宋" w:hAnsi="仿宋" w:eastAsia="仿宋" w:cs="仿宋"/>
          <w:color w:val="auto"/>
          <w:kern w:val="0"/>
          <w:sz w:val="28"/>
          <w:szCs w:val="28"/>
          <w:highlight w:val="none"/>
          <w:lang w:eastAsia="zh-CN" w:bidi="ar"/>
        </w:rPr>
        <w:t>（</w:t>
      </w:r>
      <w:r>
        <w:rPr>
          <w:rFonts w:hint="eastAsia" w:ascii="仿宋" w:hAnsi="仿宋" w:eastAsia="仿宋" w:cs="仿宋"/>
          <w:color w:val="auto"/>
          <w:kern w:val="0"/>
          <w:sz w:val="28"/>
          <w:szCs w:val="28"/>
          <w:highlight w:val="none"/>
          <w:lang w:bidi="ar"/>
        </w:rPr>
        <w:t>工信部联企业〔2011〕300号）</w:t>
      </w:r>
      <w:r>
        <w:rPr>
          <w:rFonts w:hint="eastAsia" w:ascii="仿宋" w:hAnsi="仿宋" w:eastAsia="仿宋" w:cs="仿宋"/>
          <w:color w:val="auto"/>
          <w:kern w:val="0"/>
          <w:sz w:val="28"/>
          <w:szCs w:val="28"/>
          <w:highlight w:val="none"/>
          <w:lang w:eastAsia="zh-CN" w:bidi="ar"/>
        </w:rPr>
        <w:t>，</w:t>
      </w:r>
      <w:r>
        <w:rPr>
          <w:rFonts w:hint="eastAsia" w:ascii="仿宋" w:hAnsi="仿宋" w:eastAsia="仿宋" w:cs="仿宋"/>
          <w:color w:val="auto"/>
          <w:kern w:val="0"/>
          <w:sz w:val="28"/>
          <w:szCs w:val="28"/>
          <w:highlight w:val="none"/>
          <w:lang w:val="en-US" w:eastAsia="zh-CN" w:bidi="ar"/>
        </w:rPr>
        <w:t>但</w:t>
      </w:r>
      <w:r>
        <w:rPr>
          <w:rFonts w:hint="eastAsia" w:ascii="仿宋" w:hAnsi="仿宋" w:eastAsia="仿宋" w:cs="仿宋"/>
          <w:color w:val="auto"/>
          <w:sz w:val="28"/>
          <w:szCs w:val="28"/>
          <w:highlight w:val="none"/>
        </w:rPr>
        <w:t>与大企业的负责人为同一人，或者与大企业存在直接控股、管理关系的除外</w:t>
      </w:r>
      <w:r>
        <w:rPr>
          <w:rFonts w:hint="eastAsia" w:ascii="仿宋" w:hAnsi="仿宋" w:eastAsia="仿宋" w:cs="仿宋"/>
          <w:color w:val="auto"/>
          <w:kern w:val="0"/>
          <w:sz w:val="28"/>
          <w:szCs w:val="28"/>
          <w:highlight w:val="none"/>
          <w:lang w:bidi="ar"/>
        </w:rPr>
        <w:t>。</w:t>
      </w:r>
      <w:r>
        <w:rPr>
          <w:rFonts w:hint="eastAsia" w:ascii="仿宋" w:hAnsi="仿宋" w:eastAsia="仿宋" w:cs="仿宋"/>
          <w:color w:val="auto"/>
          <w:sz w:val="28"/>
          <w:szCs w:val="28"/>
          <w:highlight w:val="none"/>
        </w:rPr>
        <w:t>符合中小企业划分标准的个体工商户，在政府采购活动中视同中小企业。</w:t>
      </w:r>
    </w:p>
    <w:p w14:paraId="144BBB9C">
      <w:pPr>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kern w:val="0"/>
          <w:sz w:val="28"/>
          <w:szCs w:val="28"/>
          <w:highlight w:val="none"/>
          <w:lang w:bidi="ar"/>
        </w:rPr>
      </w:pPr>
      <w:r>
        <w:rPr>
          <w:rFonts w:hint="eastAsia" w:ascii="仿宋" w:hAnsi="仿宋" w:eastAsia="仿宋" w:cs="仿宋"/>
          <w:color w:val="auto"/>
          <w:kern w:val="0"/>
          <w:sz w:val="28"/>
          <w:szCs w:val="28"/>
          <w:highlight w:val="none"/>
          <w:lang w:bidi="ar"/>
        </w:rPr>
        <w:t>1.2</w:t>
      </w:r>
      <w:r>
        <w:rPr>
          <w:rFonts w:hint="eastAsia" w:ascii="仿宋" w:hAnsi="仿宋" w:eastAsia="仿宋" w:cs="仿宋"/>
          <w:color w:val="auto"/>
          <w:sz w:val="28"/>
          <w:szCs w:val="28"/>
          <w:highlight w:val="none"/>
          <w:lang w:bidi="ar"/>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5DF363">
      <w:pPr>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监狱企业参加政府采购活动时，应当提供由省级以上监狱管理局、戒毒管理局(含新疆生产建设兵团)出具的属于监狱企业的证明文件。监狱企业参加政府采购活动时，视同小型、微型企业。</w:t>
      </w:r>
    </w:p>
    <w:p w14:paraId="0E153C75">
      <w:pPr>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kern w:val="0"/>
          <w:sz w:val="28"/>
          <w:szCs w:val="28"/>
          <w:highlight w:val="none"/>
          <w:lang w:bidi="ar"/>
        </w:rPr>
      </w:pPr>
      <w:r>
        <w:rPr>
          <w:rFonts w:hint="eastAsia" w:ascii="仿宋" w:hAnsi="仿宋" w:eastAsia="仿宋" w:cs="仿宋"/>
          <w:color w:val="auto"/>
          <w:kern w:val="0"/>
          <w:sz w:val="28"/>
          <w:szCs w:val="28"/>
          <w:highlight w:val="none"/>
          <w:lang w:bidi="ar"/>
        </w:rPr>
        <w:t>1.3残疾人福利性单位应当同时满足以下条件：</w:t>
      </w:r>
    </w:p>
    <w:p w14:paraId="57CF9EB9">
      <w:pPr>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kern w:val="0"/>
          <w:sz w:val="28"/>
          <w:szCs w:val="28"/>
          <w:highlight w:val="none"/>
          <w:lang w:bidi="ar"/>
        </w:rPr>
      </w:pPr>
      <w:r>
        <w:rPr>
          <w:rFonts w:hint="eastAsia" w:ascii="仿宋" w:hAnsi="仿宋" w:eastAsia="仿宋" w:cs="仿宋"/>
          <w:color w:val="auto"/>
          <w:kern w:val="0"/>
          <w:sz w:val="28"/>
          <w:szCs w:val="28"/>
          <w:highlight w:val="none"/>
          <w:lang w:bidi="ar"/>
        </w:rPr>
        <w:t>（1）安置的残疾人占本单位在职职工人数的比例不低于25%（含25%），并且安置的残疾人人数不少于10人（含10人）；</w:t>
      </w:r>
    </w:p>
    <w:p w14:paraId="5197B202">
      <w:pPr>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kern w:val="0"/>
          <w:sz w:val="28"/>
          <w:szCs w:val="28"/>
          <w:highlight w:val="none"/>
          <w:lang w:bidi="ar"/>
        </w:rPr>
      </w:pPr>
      <w:r>
        <w:rPr>
          <w:rFonts w:hint="eastAsia" w:ascii="仿宋" w:hAnsi="仿宋" w:eastAsia="仿宋" w:cs="仿宋"/>
          <w:color w:val="auto"/>
          <w:kern w:val="0"/>
          <w:sz w:val="28"/>
          <w:szCs w:val="28"/>
          <w:highlight w:val="none"/>
          <w:lang w:bidi="ar"/>
        </w:rPr>
        <w:t>（2）依法与安置的每位残疾人签订了一年以上（含一年）的劳动合同或服务协议；</w:t>
      </w:r>
    </w:p>
    <w:p w14:paraId="3B60B0B5">
      <w:pPr>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kern w:val="0"/>
          <w:sz w:val="28"/>
          <w:szCs w:val="28"/>
          <w:highlight w:val="none"/>
          <w:lang w:bidi="ar"/>
        </w:rPr>
      </w:pPr>
      <w:r>
        <w:rPr>
          <w:rFonts w:hint="eastAsia" w:ascii="仿宋" w:hAnsi="仿宋" w:eastAsia="仿宋" w:cs="仿宋"/>
          <w:color w:val="auto"/>
          <w:kern w:val="0"/>
          <w:sz w:val="28"/>
          <w:szCs w:val="28"/>
          <w:highlight w:val="none"/>
          <w:lang w:bidi="ar"/>
        </w:rPr>
        <w:t>（3）为安置的每位残疾人按月足额缴纳了基本养老保险、基本医疗保险、失业保险、工伤保险和生育保险等社会保险费；</w:t>
      </w:r>
    </w:p>
    <w:p w14:paraId="24841854">
      <w:pPr>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kern w:val="0"/>
          <w:sz w:val="28"/>
          <w:szCs w:val="28"/>
          <w:highlight w:val="none"/>
          <w:lang w:bidi="ar"/>
        </w:rPr>
      </w:pPr>
      <w:r>
        <w:rPr>
          <w:rFonts w:hint="eastAsia" w:ascii="仿宋" w:hAnsi="仿宋" w:eastAsia="仿宋" w:cs="仿宋"/>
          <w:color w:val="auto"/>
          <w:kern w:val="0"/>
          <w:sz w:val="28"/>
          <w:szCs w:val="28"/>
          <w:highlight w:val="none"/>
          <w:lang w:bidi="ar"/>
        </w:rPr>
        <w:t>（4）通过银行等金融机构向安置的每位残疾人，按月支付了不低于单位所在区县适用的经省级人民政府批准的月最低工资标准的工资；</w:t>
      </w:r>
    </w:p>
    <w:p w14:paraId="3A9FE46A">
      <w:pPr>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kern w:val="0"/>
          <w:sz w:val="28"/>
          <w:szCs w:val="28"/>
          <w:highlight w:val="none"/>
          <w:lang w:bidi="ar"/>
        </w:rPr>
      </w:pPr>
      <w:r>
        <w:rPr>
          <w:rFonts w:hint="eastAsia" w:ascii="仿宋" w:hAnsi="仿宋" w:eastAsia="仿宋" w:cs="仿宋"/>
          <w:color w:val="auto"/>
          <w:kern w:val="0"/>
          <w:sz w:val="28"/>
          <w:szCs w:val="28"/>
          <w:highlight w:val="none"/>
          <w:lang w:bidi="ar"/>
        </w:rPr>
        <w:t>（5）提供本单位制造的货物、承担的工程或者服务（以下简称产品），或者提供其他残疾人福利性单位制造的货物（不包括使用非残疾人福利性单位注册商标的货物）。</w:t>
      </w:r>
    </w:p>
    <w:p w14:paraId="4F5DB15C">
      <w:pPr>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kern w:val="0"/>
          <w:sz w:val="28"/>
          <w:szCs w:val="28"/>
          <w:highlight w:val="none"/>
          <w:lang w:bidi="ar"/>
        </w:rPr>
      </w:pPr>
      <w:r>
        <w:rPr>
          <w:rFonts w:hint="eastAsia" w:ascii="仿宋" w:hAnsi="仿宋" w:eastAsia="仿宋" w:cs="仿宋"/>
          <w:color w:val="auto"/>
          <w:kern w:val="0"/>
          <w:sz w:val="28"/>
          <w:szCs w:val="28"/>
          <w:highlight w:val="none"/>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F98FD81">
      <w:pPr>
        <w:keepNext w:val="0"/>
        <w:keepLines w:val="0"/>
        <w:pageBreakBefore w:val="0"/>
        <w:kinsoku/>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77F4DE77">
      <w:pPr>
        <w:keepNext w:val="0"/>
        <w:keepLines w:val="0"/>
        <w:pageBreakBefore w:val="0"/>
        <w:kinsoku/>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供应商提供的</w:t>
      </w:r>
      <w:r>
        <w:rPr>
          <w:rFonts w:hint="eastAsia" w:ascii="仿宋" w:hAnsi="仿宋" w:eastAsia="仿宋" w:cs="仿宋"/>
          <w:color w:val="auto"/>
          <w:kern w:val="0"/>
          <w:sz w:val="28"/>
          <w:szCs w:val="28"/>
          <w:highlight w:val="none"/>
          <w:lang w:bidi="ar"/>
        </w:rPr>
        <w:t>中小企业声明函、</w:t>
      </w:r>
      <w:r>
        <w:rPr>
          <w:rFonts w:hint="eastAsia" w:ascii="仿宋" w:hAnsi="仿宋" w:eastAsia="仿宋" w:cs="仿宋"/>
          <w:color w:val="auto"/>
          <w:sz w:val="28"/>
          <w:szCs w:val="28"/>
          <w:highlight w:val="none"/>
        </w:rPr>
        <w:t>残疾人福利性单位声明函或监狱证明，与事实不符的，依照《政府采购法》第七十七条的相关规定追究法律责任。</w:t>
      </w:r>
    </w:p>
    <w:p w14:paraId="30016551">
      <w:pPr>
        <w:keepNext w:val="0"/>
        <w:keepLines w:val="0"/>
        <w:pageBreakBefore w:val="0"/>
        <w:kinsoku/>
        <w:overflowPunct/>
        <w:topLinePunct w:val="0"/>
        <w:autoSpaceDE/>
        <w:autoSpaceDN/>
        <w:bidi w:val="0"/>
        <w:adjustRightInd/>
        <w:snapToGrid/>
        <w:spacing w:line="36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kern w:val="0"/>
          <w:sz w:val="28"/>
          <w:szCs w:val="28"/>
          <w:highlight w:val="none"/>
          <w:lang w:val="en-US" w:eastAsia="zh-CN" w:bidi="ar"/>
        </w:rPr>
        <w:t>3</w:t>
      </w:r>
      <w:r>
        <w:rPr>
          <w:rFonts w:hint="eastAsia" w:ascii="仿宋" w:hAnsi="仿宋" w:eastAsia="仿宋" w:cs="仿宋"/>
          <w:b/>
          <w:color w:val="auto"/>
          <w:kern w:val="0"/>
          <w:sz w:val="28"/>
          <w:szCs w:val="28"/>
          <w:highlight w:val="none"/>
          <w:lang w:eastAsia="zh-CN" w:bidi="ar"/>
        </w:rPr>
        <w:t>）</w:t>
      </w:r>
      <w:r>
        <w:rPr>
          <w:rFonts w:hint="eastAsia" w:ascii="仿宋" w:hAnsi="仿宋" w:eastAsia="仿宋" w:cs="仿宋"/>
          <w:b/>
          <w:color w:val="auto"/>
          <w:kern w:val="0"/>
          <w:sz w:val="28"/>
          <w:szCs w:val="28"/>
          <w:highlight w:val="none"/>
          <w:lang w:bidi="ar"/>
        </w:rPr>
        <w:t>政策性扣除比例：</w:t>
      </w:r>
    </w:p>
    <w:p w14:paraId="6E4CB3FF">
      <w:pPr>
        <w:keepNext w:val="0"/>
        <w:keepLines w:val="0"/>
        <w:pageBreakBefore w:val="0"/>
        <w:kinsoku/>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kern w:val="0"/>
          <w:sz w:val="28"/>
          <w:szCs w:val="28"/>
          <w:highlight w:val="none"/>
          <w:lang w:bidi="ar"/>
        </w:rPr>
      </w:pPr>
      <w:r>
        <w:rPr>
          <w:rFonts w:hint="eastAsia" w:ascii="仿宋" w:hAnsi="仿宋" w:eastAsia="仿宋" w:cs="仿宋"/>
          <w:color w:val="auto"/>
          <w:kern w:val="0"/>
          <w:sz w:val="28"/>
          <w:szCs w:val="28"/>
          <w:highlight w:val="none"/>
          <w:lang w:bidi="ar"/>
        </w:rPr>
        <w:t>供应商符合小微型企业、监狱企业、残疾人福利性单位条件的，并提供中小企业声明函、残疾人福利性单位声明函或监狱企业证明，符合其中任意一种情形的，则在报价的基础上，按“报价×</w:t>
      </w:r>
      <w:r>
        <w:rPr>
          <w:rFonts w:hint="eastAsia" w:ascii="仿宋" w:hAnsi="仿宋" w:eastAsia="仿宋" w:cs="仿宋"/>
          <w:color w:val="auto"/>
          <w:kern w:val="0"/>
          <w:sz w:val="28"/>
          <w:szCs w:val="28"/>
          <w:highlight w:val="none"/>
          <w:lang w:val="en-US" w:eastAsia="zh-CN" w:bidi="ar"/>
        </w:rPr>
        <w:t>10</w:t>
      </w:r>
      <w:r>
        <w:rPr>
          <w:rFonts w:hint="eastAsia" w:ascii="仿宋" w:hAnsi="仿宋" w:eastAsia="仿宋" w:cs="仿宋"/>
          <w:color w:val="auto"/>
          <w:kern w:val="0"/>
          <w:sz w:val="28"/>
          <w:szCs w:val="28"/>
          <w:highlight w:val="none"/>
          <w:lang w:bidi="ar"/>
        </w:rPr>
        <w:t>%”进行价格扣除，以扣除后的价格参与评审；符合两种及以上情形的，不累加计算扣除价格。</w:t>
      </w:r>
    </w:p>
    <w:p w14:paraId="22442C1E">
      <w:pPr>
        <w:keepNext w:val="0"/>
        <w:keepLines w:val="0"/>
        <w:pageBreakBefore w:val="0"/>
        <w:kinsoku/>
        <w:overflowPunct/>
        <w:topLinePunct w:val="0"/>
        <w:autoSpaceDE/>
        <w:autoSpaceDN/>
        <w:bidi w:val="0"/>
        <w:adjustRightInd/>
        <w:snapToGrid/>
        <w:spacing w:line="360" w:lineRule="auto"/>
        <w:ind w:firstLine="562" w:firstLineChars="200"/>
        <w:textAlignment w:val="auto"/>
        <w:rPr>
          <w:rFonts w:hint="eastAsia" w:ascii="仿宋" w:hAnsi="仿宋" w:eastAsia="仿宋" w:cs="仿宋"/>
          <w:b/>
          <w:color w:val="auto"/>
          <w:kern w:val="0"/>
          <w:sz w:val="28"/>
          <w:szCs w:val="28"/>
          <w:highlight w:val="none"/>
          <w:lang w:val="en-US" w:eastAsia="zh-CN" w:bidi="ar"/>
        </w:rPr>
      </w:pPr>
      <w:r>
        <w:rPr>
          <w:rFonts w:hint="eastAsia" w:ascii="仿宋" w:hAnsi="仿宋" w:eastAsia="仿宋" w:cs="仿宋"/>
          <w:b/>
          <w:color w:val="auto"/>
          <w:kern w:val="0"/>
          <w:sz w:val="28"/>
          <w:szCs w:val="28"/>
          <w:highlight w:val="none"/>
          <w:lang w:val="en-US" w:eastAsia="zh-CN" w:bidi="ar"/>
        </w:rPr>
        <w:t>4）对本国产品的支持政策</w:t>
      </w:r>
    </w:p>
    <w:p w14:paraId="2766A3E5">
      <w:pPr>
        <w:pStyle w:val="21"/>
        <w:shd w:val="clear" w:color="auto" w:fill="FFFFFF"/>
        <w:spacing w:before="0" w:beforeAutospacing="0" w:after="0" w:afterAutospacing="0" w:line="360" w:lineRule="auto"/>
        <w:ind w:firstLine="420"/>
        <w:jc w:val="both"/>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color w:val="auto"/>
          <w:kern w:val="0"/>
          <w:sz w:val="28"/>
          <w:szCs w:val="28"/>
          <w:highlight w:val="none"/>
          <w:lang w:val="en-US" w:eastAsia="zh-CN" w:bidi="ar"/>
        </w:rPr>
        <w:t>根据国务院办公厅关于在政府采购中实施本国产品标准及相关政策的通知国办发〔2025〕34号文件规定：政府采购活动中既有本国产品又有非本国产品参与竞争的，依法对本国产品给予价格评审优惠，对本国产品的报价给予20%的价格扣除，用扣除后的价格参与评审。</w:t>
      </w:r>
    </w:p>
    <w:p w14:paraId="54696EFB">
      <w:pPr>
        <w:pStyle w:val="21"/>
        <w:shd w:val="clear" w:color="auto" w:fill="FFFFFF"/>
        <w:spacing w:before="0" w:beforeAutospacing="0" w:after="0" w:afterAutospacing="0" w:line="360" w:lineRule="auto"/>
        <w:ind w:firstLine="420"/>
        <w:jc w:val="both"/>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color w:val="auto"/>
          <w:kern w:val="0"/>
          <w:sz w:val="28"/>
          <w:szCs w:val="28"/>
          <w:highlight w:val="none"/>
          <w:lang w:val="en-US" w:eastAsia="zh-CN" w:bidi="ar"/>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4B13106">
      <w:pPr>
        <w:keepNext w:val="0"/>
        <w:keepLines w:val="0"/>
        <w:pageBreakBefore w:val="0"/>
        <w:kinsoku/>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color w:val="auto"/>
          <w:kern w:val="0"/>
          <w:sz w:val="28"/>
          <w:szCs w:val="28"/>
          <w:highlight w:val="none"/>
          <w:lang w:val="en-US" w:eastAsia="zh-CN" w:bidi="ar"/>
        </w:rPr>
      </w:pPr>
      <w:r>
        <w:rPr>
          <w:rFonts w:hint="eastAsia" w:ascii="仿宋" w:hAnsi="仿宋" w:eastAsia="仿宋" w:cs="仿宋"/>
          <w:b/>
          <w:color w:val="auto"/>
          <w:kern w:val="0"/>
          <w:sz w:val="28"/>
          <w:szCs w:val="28"/>
          <w:highlight w:val="none"/>
          <w:lang w:val="en-US" w:eastAsia="zh-CN" w:bidi="ar"/>
        </w:rPr>
        <w:t>5）信用融资政策</w:t>
      </w:r>
    </w:p>
    <w:p w14:paraId="7FB1C512">
      <w:pPr>
        <w:keepNext w:val="0"/>
        <w:keepLines w:val="0"/>
        <w:pageBreakBefore w:val="0"/>
        <w:kinsoku/>
        <w:overflowPunct/>
        <w:topLinePunct w:val="0"/>
        <w:autoSpaceDE/>
        <w:autoSpaceDN/>
        <w:bidi w:val="0"/>
        <w:adjustRightInd/>
        <w:snapToGrid/>
        <w:spacing w:line="480" w:lineRule="exact"/>
        <w:ind w:firstLine="560" w:firstLineChars="200"/>
        <w:jc w:val="left"/>
        <w:textAlignment w:val="auto"/>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color w:val="auto"/>
          <w:kern w:val="0"/>
          <w:sz w:val="28"/>
          <w:szCs w:val="28"/>
          <w:highlight w:val="none"/>
          <w:lang w:val="en-US" w:eastAsia="zh-CN" w:bidi="ar"/>
        </w:rPr>
        <w:t>供应商如需信用融资，详见《陕西省财政厅关于印发&lt;陕西省中小企业政府采购信用融资办法&gt;的通知》（陕财办采【2018】23号）相关政策、业务流程、办理平台（http://www.ccgp-shaanxi.gov.cn/zcdservice/zcd/shanxi/）。</w:t>
      </w:r>
    </w:p>
    <w:p w14:paraId="0E55ABBA">
      <w:pPr>
        <w:spacing w:line="6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政府采购信用融资业务办理银行</w:t>
      </w:r>
    </w:p>
    <w:tbl>
      <w:tblPr>
        <w:tblStyle w:val="24"/>
        <w:tblW w:w="9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430"/>
        <w:gridCol w:w="1250"/>
        <w:gridCol w:w="2166"/>
      </w:tblGrid>
      <w:tr w14:paraId="358F6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07340CA5">
            <w:pPr>
              <w:spacing w:line="500" w:lineRule="exact"/>
              <w:jc w:val="center"/>
              <w:rPr>
                <w:rFonts w:hint="eastAsia" w:ascii="仿宋" w:hAnsi="仿宋" w:eastAsia="仿宋" w:cs="仿宋"/>
                <w:b/>
                <w:bCs/>
                <w:color w:val="auto"/>
                <w:kern w:val="0"/>
                <w:sz w:val="28"/>
                <w:szCs w:val="28"/>
                <w:highlight w:val="none"/>
                <w:shd w:val="clear" w:color="auto" w:fill="FFFFFF"/>
              </w:rPr>
            </w:pPr>
            <w:r>
              <w:rPr>
                <w:rFonts w:hint="eastAsia" w:ascii="仿宋" w:hAnsi="仿宋" w:eastAsia="仿宋" w:cs="仿宋"/>
                <w:b/>
                <w:bCs/>
                <w:color w:val="auto"/>
                <w:kern w:val="0"/>
                <w:sz w:val="28"/>
                <w:szCs w:val="28"/>
                <w:highlight w:val="none"/>
                <w:shd w:val="clear" w:color="auto" w:fill="FFFFFF"/>
              </w:rPr>
              <w:t>序号</w:t>
            </w:r>
          </w:p>
        </w:tc>
        <w:tc>
          <w:tcPr>
            <w:tcW w:w="2041" w:type="dxa"/>
            <w:shd w:val="clear" w:color="auto" w:fill="auto"/>
            <w:noWrap w:val="0"/>
            <w:vAlign w:val="center"/>
          </w:tcPr>
          <w:p w14:paraId="1C7F2A89">
            <w:pPr>
              <w:spacing w:line="500" w:lineRule="exact"/>
              <w:jc w:val="center"/>
              <w:rPr>
                <w:rFonts w:hint="eastAsia" w:ascii="仿宋" w:hAnsi="仿宋" w:eastAsia="仿宋" w:cs="仿宋"/>
                <w:b/>
                <w:bCs/>
                <w:color w:val="auto"/>
                <w:kern w:val="0"/>
                <w:sz w:val="28"/>
                <w:szCs w:val="28"/>
                <w:highlight w:val="none"/>
                <w:shd w:val="clear" w:color="auto" w:fill="FFFFFF"/>
              </w:rPr>
            </w:pPr>
            <w:r>
              <w:rPr>
                <w:rFonts w:hint="eastAsia" w:ascii="仿宋" w:hAnsi="仿宋" w:eastAsia="仿宋" w:cs="仿宋"/>
                <w:b/>
                <w:bCs/>
                <w:color w:val="auto"/>
                <w:kern w:val="0"/>
                <w:sz w:val="28"/>
                <w:szCs w:val="28"/>
                <w:highlight w:val="none"/>
                <w:shd w:val="clear" w:color="auto" w:fill="FFFFFF"/>
              </w:rPr>
              <w:t>银行</w:t>
            </w:r>
          </w:p>
        </w:tc>
        <w:tc>
          <w:tcPr>
            <w:tcW w:w="3430" w:type="dxa"/>
            <w:shd w:val="clear" w:color="auto" w:fill="auto"/>
            <w:noWrap w:val="0"/>
            <w:vAlign w:val="center"/>
          </w:tcPr>
          <w:p w14:paraId="44282FD6">
            <w:pPr>
              <w:spacing w:line="500" w:lineRule="exact"/>
              <w:jc w:val="center"/>
              <w:rPr>
                <w:rFonts w:hint="eastAsia" w:ascii="仿宋" w:hAnsi="仿宋" w:eastAsia="仿宋" w:cs="仿宋"/>
                <w:b/>
                <w:bCs/>
                <w:color w:val="auto"/>
                <w:kern w:val="0"/>
                <w:sz w:val="28"/>
                <w:szCs w:val="28"/>
                <w:highlight w:val="none"/>
                <w:shd w:val="clear" w:color="auto" w:fill="FFFFFF"/>
              </w:rPr>
            </w:pPr>
            <w:r>
              <w:rPr>
                <w:rFonts w:hint="eastAsia" w:ascii="仿宋" w:hAnsi="仿宋" w:eastAsia="仿宋" w:cs="仿宋"/>
                <w:b/>
                <w:bCs/>
                <w:color w:val="auto"/>
                <w:kern w:val="0"/>
                <w:sz w:val="28"/>
                <w:szCs w:val="28"/>
                <w:highlight w:val="none"/>
                <w:shd w:val="clear" w:color="auto" w:fill="FFFFFF"/>
              </w:rPr>
              <w:t>地址</w:t>
            </w:r>
          </w:p>
        </w:tc>
        <w:tc>
          <w:tcPr>
            <w:tcW w:w="1250" w:type="dxa"/>
            <w:shd w:val="clear" w:color="auto" w:fill="auto"/>
            <w:noWrap w:val="0"/>
            <w:vAlign w:val="center"/>
          </w:tcPr>
          <w:p w14:paraId="046E5069">
            <w:pPr>
              <w:spacing w:line="500" w:lineRule="exact"/>
              <w:jc w:val="center"/>
              <w:rPr>
                <w:rFonts w:hint="eastAsia" w:ascii="仿宋" w:hAnsi="仿宋" w:eastAsia="仿宋" w:cs="仿宋"/>
                <w:b/>
                <w:bCs/>
                <w:color w:val="auto"/>
                <w:kern w:val="0"/>
                <w:sz w:val="28"/>
                <w:szCs w:val="28"/>
                <w:highlight w:val="none"/>
                <w:shd w:val="clear" w:color="auto" w:fill="FFFFFF"/>
              </w:rPr>
            </w:pPr>
            <w:r>
              <w:rPr>
                <w:rFonts w:hint="eastAsia" w:ascii="仿宋" w:hAnsi="仿宋" w:eastAsia="仿宋" w:cs="仿宋"/>
                <w:b/>
                <w:bCs/>
                <w:color w:val="auto"/>
                <w:kern w:val="0"/>
                <w:sz w:val="28"/>
                <w:szCs w:val="28"/>
                <w:highlight w:val="none"/>
                <w:shd w:val="clear" w:color="auto" w:fill="FFFFFF"/>
              </w:rPr>
              <w:t>联系人</w:t>
            </w:r>
          </w:p>
        </w:tc>
        <w:tc>
          <w:tcPr>
            <w:tcW w:w="2166" w:type="dxa"/>
            <w:shd w:val="clear" w:color="auto" w:fill="auto"/>
            <w:noWrap w:val="0"/>
            <w:vAlign w:val="center"/>
          </w:tcPr>
          <w:p w14:paraId="116EA490">
            <w:pPr>
              <w:spacing w:line="500" w:lineRule="exact"/>
              <w:jc w:val="center"/>
              <w:rPr>
                <w:rFonts w:hint="eastAsia" w:ascii="仿宋" w:hAnsi="仿宋" w:eastAsia="仿宋" w:cs="仿宋"/>
                <w:b/>
                <w:bCs/>
                <w:color w:val="auto"/>
                <w:kern w:val="0"/>
                <w:sz w:val="28"/>
                <w:szCs w:val="28"/>
                <w:highlight w:val="none"/>
                <w:shd w:val="clear" w:color="auto" w:fill="FFFFFF"/>
              </w:rPr>
            </w:pPr>
            <w:r>
              <w:rPr>
                <w:rFonts w:hint="eastAsia" w:ascii="仿宋" w:hAnsi="仿宋" w:eastAsia="仿宋" w:cs="仿宋"/>
                <w:b/>
                <w:bCs/>
                <w:color w:val="auto"/>
                <w:kern w:val="0"/>
                <w:sz w:val="28"/>
                <w:szCs w:val="28"/>
                <w:highlight w:val="none"/>
                <w:shd w:val="clear" w:color="auto" w:fill="FFFFFF"/>
              </w:rPr>
              <w:t>电话</w:t>
            </w:r>
          </w:p>
        </w:tc>
      </w:tr>
      <w:tr w14:paraId="6CE77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shd w:val="clear" w:color="auto" w:fill="auto"/>
            <w:noWrap w:val="0"/>
            <w:vAlign w:val="center"/>
          </w:tcPr>
          <w:p w14:paraId="32D2B919">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w:t>
            </w:r>
          </w:p>
        </w:tc>
        <w:tc>
          <w:tcPr>
            <w:tcW w:w="2041" w:type="dxa"/>
            <w:shd w:val="clear" w:color="auto" w:fill="auto"/>
            <w:noWrap w:val="0"/>
            <w:vAlign w:val="center"/>
          </w:tcPr>
          <w:p w14:paraId="3C9B39D5">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中国建设银行延安分行</w:t>
            </w:r>
          </w:p>
        </w:tc>
        <w:tc>
          <w:tcPr>
            <w:tcW w:w="3430" w:type="dxa"/>
            <w:shd w:val="clear" w:color="auto" w:fill="auto"/>
            <w:noWrap w:val="0"/>
            <w:vAlign w:val="center"/>
          </w:tcPr>
          <w:p w14:paraId="3F74DDBA">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延安市宝塔区中心街</w:t>
            </w:r>
          </w:p>
        </w:tc>
        <w:tc>
          <w:tcPr>
            <w:tcW w:w="1250" w:type="dxa"/>
            <w:shd w:val="clear" w:color="auto" w:fill="auto"/>
            <w:noWrap w:val="0"/>
            <w:vAlign w:val="center"/>
          </w:tcPr>
          <w:p w14:paraId="504054CC">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徐欣蕾</w:t>
            </w:r>
          </w:p>
        </w:tc>
        <w:tc>
          <w:tcPr>
            <w:tcW w:w="2166" w:type="dxa"/>
            <w:shd w:val="clear" w:color="auto" w:fill="auto"/>
            <w:noWrap w:val="0"/>
            <w:vAlign w:val="center"/>
          </w:tcPr>
          <w:p w14:paraId="686093AF">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15891686951</w:t>
            </w:r>
          </w:p>
        </w:tc>
      </w:tr>
      <w:tr w14:paraId="537B5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shd w:val="clear" w:color="auto" w:fill="auto"/>
            <w:noWrap w:val="0"/>
            <w:vAlign w:val="center"/>
          </w:tcPr>
          <w:p w14:paraId="078F7B3A">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2</w:t>
            </w:r>
          </w:p>
        </w:tc>
        <w:tc>
          <w:tcPr>
            <w:tcW w:w="2041" w:type="dxa"/>
            <w:shd w:val="clear" w:color="auto" w:fill="auto"/>
            <w:noWrap w:val="0"/>
            <w:vAlign w:val="center"/>
          </w:tcPr>
          <w:p w14:paraId="44D6DB3C">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中国工商银行延安分行</w:t>
            </w:r>
          </w:p>
        </w:tc>
        <w:tc>
          <w:tcPr>
            <w:tcW w:w="3430" w:type="dxa"/>
            <w:shd w:val="clear" w:color="auto" w:fill="auto"/>
            <w:noWrap w:val="0"/>
            <w:vAlign w:val="center"/>
          </w:tcPr>
          <w:p w14:paraId="79A38B1E">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延安市宝塔区师范路</w:t>
            </w:r>
          </w:p>
        </w:tc>
        <w:tc>
          <w:tcPr>
            <w:tcW w:w="1250" w:type="dxa"/>
            <w:shd w:val="clear" w:color="auto" w:fill="auto"/>
            <w:noWrap w:val="0"/>
            <w:vAlign w:val="center"/>
          </w:tcPr>
          <w:p w14:paraId="34F6B025">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姬悦</w:t>
            </w:r>
          </w:p>
        </w:tc>
        <w:tc>
          <w:tcPr>
            <w:tcW w:w="2166" w:type="dxa"/>
            <w:shd w:val="clear" w:color="auto" w:fill="auto"/>
            <w:noWrap w:val="0"/>
            <w:vAlign w:val="center"/>
          </w:tcPr>
          <w:p w14:paraId="7E3648E9">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18391156580</w:t>
            </w:r>
          </w:p>
        </w:tc>
      </w:tr>
      <w:tr w14:paraId="67D47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53B76259">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3</w:t>
            </w:r>
          </w:p>
        </w:tc>
        <w:tc>
          <w:tcPr>
            <w:tcW w:w="2041" w:type="dxa"/>
            <w:shd w:val="clear" w:color="auto" w:fill="auto"/>
            <w:noWrap w:val="0"/>
            <w:vAlign w:val="center"/>
          </w:tcPr>
          <w:p w14:paraId="255D7C72">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中国农业银行延安分行</w:t>
            </w:r>
          </w:p>
        </w:tc>
        <w:tc>
          <w:tcPr>
            <w:tcW w:w="3430" w:type="dxa"/>
            <w:shd w:val="clear" w:color="auto" w:fill="auto"/>
            <w:noWrap w:val="0"/>
            <w:vAlign w:val="center"/>
          </w:tcPr>
          <w:p w14:paraId="0471328F">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百米大道迎宾大道中段</w:t>
            </w:r>
          </w:p>
        </w:tc>
        <w:tc>
          <w:tcPr>
            <w:tcW w:w="1250" w:type="dxa"/>
            <w:shd w:val="clear" w:color="auto" w:fill="auto"/>
            <w:noWrap w:val="0"/>
            <w:vAlign w:val="center"/>
          </w:tcPr>
          <w:p w14:paraId="001ADEFB">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 xml:space="preserve">马茂斌  </w:t>
            </w:r>
          </w:p>
        </w:tc>
        <w:tc>
          <w:tcPr>
            <w:tcW w:w="2166" w:type="dxa"/>
            <w:shd w:val="clear" w:color="auto" w:fill="auto"/>
            <w:noWrap w:val="0"/>
            <w:vAlign w:val="center"/>
          </w:tcPr>
          <w:p w14:paraId="2569D031">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18709114011</w:t>
            </w:r>
          </w:p>
        </w:tc>
      </w:tr>
      <w:tr w14:paraId="3F4AF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40EF0007">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4</w:t>
            </w:r>
          </w:p>
        </w:tc>
        <w:tc>
          <w:tcPr>
            <w:tcW w:w="2041" w:type="dxa"/>
            <w:shd w:val="clear" w:color="auto" w:fill="auto"/>
            <w:noWrap w:val="0"/>
            <w:vAlign w:val="center"/>
          </w:tcPr>
          <w:p w14:paraId="18354A3B">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北京银行延安分行</w:t>
            </w:r>
          </w:p>
        </w:tc>
        <w:tc>
          <w:tcPr>
            <w:tcW w:w="3430" w:type="dxa"/>
            <w:shd w:val="clear" w:color="auto" w:fill="auto"/>
            <w:noWrap w:val="0"/>
            <w:vAlign w:val="center"/>
          </w:tcPr>
          <w:p w14:paraId="004614B5">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延安市宝塔区双拥大道</w:t>
            </w:r>
          </w:p>
        </w:tc>
        <w:tc>
          <w:tcPr>
            <w:tcW w:w="1250" w:type="dxa"/>
            <w:shd w:val="clear" w:color="auto" w:fill="auto"/>
            <w:noWrap w:val="0"/>
            <w:vAlign w:val="center"/>
          </w:tcPr>
          <w:p w14:paraId="674FB342">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奥宝森</w:t>
            </w:r>
          </w:p>
        </w:tc>
        <w:tc>
          <w:tcPr>
            <w:tcW w:w="2166" w:type="dxa"/>
            <w:shd w:val="clear" w:color="auto" w:fill="auto"/>
            <w:noWrap w:val="0"/>
            <w:vAlign w:val="center"/>
          </w:tcPr>
          <w:p w14:paraId="7813BE45">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15592925222</w:t>
            </w:r>
          </w:p>
        </w:tc>
      </w:tr>
      <w:tr w14:paraId="60F80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shd w:val="clear" w:color="auto" w:fill="auto"/>
            <w:noWrap w:val="0"/>
            <w:vAlign w:val="center"/>
          </w:tcPr>
          <w:p w14:paraId="5F838EEA">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5</w:t>
            </w:r>
          </w:p>
        </w:tc>
        <w:tc>
          <w:tcPr>
            <w:tcW w:w="2041" w:type="dxa"/>
            <w:shd w:val="clear" w:color="auto" w:fill="auto"/>
            <w:noWrap w:val="0"/>
            <w:vAlign w:val="center"/>
          </w:tcPr>
          <w:p w14:paraId="411F4447">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邮储银行延安分行</w:t>
            </w:r>
          </w:p>
        </w:tc>
        <w:tc>
          <w:tcPr>
            <w:tcW w:w="3430" w:type="dxa"/>
            <w:shd w:val="clear" w:color="auto" w:fill="auto"/>
            <w:noWrap w:val="0"/>
            <w:vAlign w:val="center"/>
          </w:tcPr>
          <w:p w14:paraId="18BEEF02">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宝塔区枣园路志丹大厦</w:t>
            </w:r>
          </w:p>
        </w:tc>
        <w:tc>
          <w:tcPr>
            <w:tcW w:w="1250" w:type="dxa"/>
            <w:shd w:val="clear" w:color="auto" w:fill="auto"/>
            <w:noWrap w:val="0"/>
            <w:vAlign w:val="center"/>
          </w:tcPr>
          <w:p w14:paraId="54A36A13">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刘凯</w:t>
            </w:r>
          </w:p>
        </w:tc>
        <w:tc>
          <w:tcPr>
            <w:tcW w:w="2166" w:type="dxa"/>
            <w:shd w:val="clear" w:color="auto" w:fill="auto"/>
            <w:noWrap w:val="0"/>
            <w:vAlign w:val="center"/>
          </w:tcPr>
          <w:p w14:paraId="7C7F0945">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18691114222</w:t>
            </w:r>
          </w:p>
        </w:tc>
      </w:tr>
      <w:tr w14:paraId="5C0FA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shd w:val="clear" w:color="auto" w:fill="auto"/>
            <w:noWrap w:val="0"/>
            <w:vAlign w:val="center"/>
          </w:tcPr>
          <w:p w14:paraId="4F303881">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6</w:t>
            </w:r>
          </w:p>
        </w:tc>
        <w:tc>
          <w:tcPr>
            <w:tcW w:w="2041" w:type="dxa"/>
            <w:shd w:val="clear" w:color="auto" w:fill="auto"/>
            <w:noWrap w:val="0"/>
            <w:vAlign w:val="center"/>
          </w:tcPr>
          <w:p w14:paraId="44213774">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光大银行延安分行</w:t>
            </w:r>
          </w:p>
        </w:tc>
        <w:tc>
          <w:tcPr>
            <w:tcW w:w="3430" w:type="dxa"/>
            <w:shd w:val="clear" w:color="auto" w:fill="auto"/>
            <w:noWrap w:val="0"/>
            <w:vAlign w:val="center"/>
          </w:tcPr>
          <w:p w14:paraId="56F54499">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宝塔区卷烟厂东信时代一、二层</w:t>
            </w:r>
          </w:p>
        </w:tc>
        <w:tc>
          <w:tcPr>
            <w:tcW w:w="1250" w:type="dxa"/>
            <w:shd w:val="clear" w:color="auto" w:fill="auto"/>
            <w:noWrap w:val="0"/>
            <w:vAlign w:val="center"/>
          </w:tcPr>
          <w:p w14:paraId="6D6FBB68">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汪昊田</w:t>
            </w:r>
          </w:p>
        </w:tc>
        <w:tc>
          <w:tcPr>
            <w:tcW w:w="2166" w:type="dxa"/>
            <w:shd w:val="clear" w:color="auto" w:fill="auto"/>
            <w:noWrap w:val="0"/>
            <w:vAlign w:val="center"/>
          </w:tcPr>
          <w:p w14:paraId="27953DB4">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13509115500</w:t>
            </w:r>
          </w:p>
        </w:tc>
      </w:tr>
      <w:tr w14:paraId="7B3D7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0A566A8D">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7</w:t>
            </w:r>
          </w:p>
        </w:tc>
        <w:tc>
          <w:tcPr>
            <w:tcW w:w="2041" w:type="dxa"/>
            <w:shd w:val="clear" w:color="auto" w:fill="auto"/>
            <w:noWrap w:val="0"/>
            <w:vAlign w:val="center"/>
          </w:tcPr>
          <w:p w14:paraId="169FE570">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交通银行延安分行</w:t>
            </w:r>
          </w:p>
        </w:tc>
        <w:tc>
          <w:tcPr>
            <w:tcW w:w="3430" w:type="dxa"/>
            <w:shd w:val="clear" w:color="auto" w:fill="auto"/>
            <w:noWrap w:val="0"/>
            <w:vAlign w:val="center"/>
          </w:tcPr>
          <w:p w14:paraId="4951A831">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延安市宝塔区北大街95号</w:t>
            </w:r>
          </w:p>
        </w:tc>
        <w:tc>
          <w:tcPr>
            <w:tcW w:w="1250" w:type="dxa"/>
            <w:shd w:val="clear" w:color="auto" w:fill="auto"/>
            <w:noWrap w:val="0"/>
            <w:vAlign w:val="center"/>
          </w:tcPr>
          <w:p w14:paraId="36E7EBFB">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王瑶</w:t>
            </w:r>
          </w:p>
        </w:tc>
        <w:tc>
          <w:tcPr>
            <w:tcW w:w="2166" w:type="dxa"/>
            <w:shd w:val="clear" w:color="auto" w:fill="auto"/>
            <w:noWrap w:val="0"/>
            <w:vAlign w:val="center"/>
          </w:tcPr>
          <w:p w14:paraId="1DD6FB6F">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13389119518</w:t>
            </w:r>
          </w:p>
        </w:tc>
      </w:tr>
      <w:tr w14:paraId="1577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73D2CE5B">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8</w:t>
            </w:r>
          </w:p>
        </w:tc>
        <w:tc>
          <w:tcPr>
            <w:tcW w:w="2041" w:type="dxa"/>
            <w:shd w:val="clear" w:color="auto" w:fill="auto"/>
            <w:noWrap w:val="0"/>
            <w:vAlign w:val="center"/>
          </w:tcPr>
          <w:p w14:paraId="43ED19E6">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延安农商行</w:t>
            </w:r>
          </w:p>
        </w:tc>
        <w:tc>
          <w:tcPr>
            <w:tcW w:w="3430" w:type="dxa"/>
            <w:shd w:val="clear" w:color="auto" w:fill="auto"/>
            <w:noWrap w:val="0"/>
            <w:vAlign w:val="center"/>
          </w:tcPr>
          <w:p w14:paraId="5717E817">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延安市宝塔区百米大道永兴路农商银行大厦</w:t>
            </w:r>
          </w:p>
        </w:tc>
        <w:tc>
          <w:tcPr>
            <w:tcW w:w="1250" w:type="dxa"/>
            <w:shd w:val="clear" w:color="auto" w:fill="auto"/>
            <w:noWrap w:val="0"/>
            <w:vAlign w:val="center"/>
          </w:tcPr>
          <w:p w14:paraId="751BA275">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段田瑞</w:t>
            </w:r>
          </w:p>
        </w:tc>
        <w:tc>
          <w:tcPr>
            <w:tcW w:w="2166" w:type="dxa"/>
            <w:shd w:val="clear" w:color="auto" w:fill="auto"/>
            <w:noWrap w:val="0"/>
            <w:vAlign w:val="center"/>
          </w:tcPr>
          <w:p w14:paraId="4B3F678B">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18700166012</w:t>
            </w:r>
          </w:p>
        </w:tc>
      </w:tr>
      <w:tr w14:paraId="2137D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2646D316">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9</w:t>
            </w:r>
          </w:p>
        </w:tc>
        <w:tc>
          <w:tcPr>
            <w:tcW w:w="2041" w:type="dxa"/>
            <w:shd w:val="clear" w:color="auto" w:fill="auto"/>
            <w:noWrap w:val="0"/>
            <w:vAlign w:val="center"/>
          </w:tcPr>
          <w:p w14:paraId="5792E5A3">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甘泉农商行</w:t>
            </w:r>
          </w:p>
        </w:tc>
        <w:tc>
          <w:tcPr>
            <w:tcW w:w="3430" w:type="dxa"/>
            <w:shd w:val="clear" w:color="auto" w:fill="auto"/>
            <w:noWrap w:val="0"/>
            <w:vAlign w:val="center"/>
          </w:tcPr>
          <w:p w14:paraId="760D0C7D">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甘泉县中心街019号</w:t>
            </w:r>
          </w:p>
        </w:tc>
        <w:tc>
          <w:tcPr>
            <w:tcW w:w="1250" w:type="dxa"/>
            <w:shd w:val="clear" w:color="auto" w:fill="auto"/>
            <w:noWrap w:val="0"/>
            <w:vAlign w:val="center"/>
          </w:tcPr>
          <w:p w14:paraId="261568B2">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白晶晶</w:t>
            </w:r>
          </w:p>
        </w:tc>
        <w:tc>
          <w:tcPr>
            <w:tcW w:w="2166" w:type="dxa"/>
            <w:shd w:val="clear" w:color="auto" w:fill="auto"/>
            <w:noWrap w:val="0"/>
            <w:vAlign w:val="center"/>
          </w:tcPr>
          <w:p w14:paraId="23040863">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15129872940</w:t>
            </w:r>
          </w:p>
        </w:tc>
      </w:tr>
      <w:tr w14:paraId="619D4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61D7A213">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10</w:t>
            </w:r>
          </w:p>
        </w:tc>
        <w:tc>
          <w:tcPr>
            <w:tcW w:w="2041" w:type="dxa"/>
            <w:shd w:val="clear" w:color="auto" w:fill="auto"/>
            <w:noWrap w:val="0"/>
            <w:vAlign w:val="center"/>
          </w:tcPr>
          <w:p w14:paraId="3DEA8A7F">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延长联社</w:t>
            </w:r>
          </w:p>
        </w:tc>
        <w:tc>
          <w:tcPr>
            <w:tcW w:w="3430" w:type="dxa"/>
            <w:shd w:val="clear" w:color="auto" w:fill="auto"/>
            <w:noWrap w:val="0"/>
            <w:vAlign w:val="center"/>
          </w:tcPr>
          <w:p w14:paraId="66725DDB">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延长县七里村镇街道城区中街</w:t>
            </w:r>
          </w:p>
        </w:tc>
        <w:tc>
          <w:tcPr>
            <w:tcW w:w="1250" w:type="dxa"/>
            <w:shd w:val="clear" w:color="auto" w:fill="auto"/>
            <w:noWrap w:val="0"/>
            <w:vAlign w:val="center"/>
          </w:tcPr>
          <w:p w14:paraId="7DCFBFAE">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白永卿</w:t>
            </w:r>
          </w:p>
        </w:tc>
        <w:tc>
          <w:tcPr>
            <w:tcW w:w="2166" w:type="dxa"/>
            <w:shd w:val="clear" w:color="auto" w:fill="auto"/>
            <w:noWrap w:val="0"/>
            <w:vAlign w:val="center"/>
          </w:tcPr>
          <w:p w14:paraId="3EBEB2E4">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18109119635</w:t>
            </w:r>
          </w:p>
        </w:tc>
      </w:tr>
      <w:tr w14:paraId="440F4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282D2BC2">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11</w:t>
            </w:r>
          </w:p>
        </w:tc>
        <w:tc>
          <w:tcPr>
            <w:tcW w:w="2041" w:type="dxa"/>
            <w:shd w:val="clear" w:color="auto" w:fill="auto"/>
            <w:noWrap w:val="0"/>
            <w:vAlign w:val="center"/>
          </w:tcPr>
          <w:p w14:paraId="1657B8A3">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延川联社</w:t>
            </w:r>
          </w:p>
        </w:tc>
        <w:tc>
          <w:tcPr>
            <w:tcW w:w="3430" w:type="dxa"/>
            <w:shd w:val="clear" w:color="auto" w:fill="auto"/>
            <w:noWrap w:val="0"/>
            <w:vAlign w:val="center"/>
          </w:tcPr>
          <w:p w14:paraId="25103365">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延川县大禹街道北关信用合作联社</w:t>
            </w:r>
          </w:p>
        </w:tc>
        <w:tc>
          <w:tcPr>
            <w:tcW w:w="1250" w:type="dxa"/>
            <w:shd w:val="clear" w:color="auto" w:fill="auto"/>
            <w:noWrap w:val="0"/>
            <w:vAlign w:val="center"/>
          </w:tcPr>
          <w:p w14:paraId="0AB3FFF1">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张沛兴</w:t>
            </w:r>
          </w:p>
        </w:tc>
        <w:tc>
          <w:tcPr>
            <w:tcW w:w="2166" w:type="dxa"/>
            <w:shd w:val="clear" w:color="auto" w:fill="auto"/>
            <w:noWrap w:val="0"/>
            <w:vAlign w:val="center"/>
          </w:tcPr>
          <w:p w14:paraId="2827ADCB">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15129756920</w:t>
            </w:r>
          </w:p>
        </w:tc>
      </w:tr>
      <w:tr w14:paraId="12420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2C22547A">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12</w:t>
            </w:r>
          </w:p>
        </w:tc>
        <w:tc>
          <w:tcPr>
            <w:tcW w:w="2041" w:type="dxa"/>
            <w:shd w:val="clear" w:color="auto" w:fill="auto"/>
            <w:noWrap w:val="0"/>
            <w:vAlign w:val="center"/>
          </w:tcPr>
          <w:p w14:paraId="65C466BA">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子长农商行</w:t>
            </w:r>
          </w:p>
        </w:tc>
        <w:tc>
          <w:tcPr>
            <w:tcW w:w="3430" w:type="dxa"/>
            <w:shd w:val="clear" w:color="auto" w:fill="auto"/>
            <w:noWrap w:val="0"/>
            <w:vAlign w:val="center"/>
          </w:tcPr>
          <w:p w14:paraId="57C4837B">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子长市长兴街</w:t>
            </w:r>
          </w:p>
        </w:tc>
        <w:tc>
          <w:tcPr>
            <w:tcW w:w="1250" w:type="dxa"/>
            <w:shd w:val="clear" w:color="auto" w:fill="auto"/>
            <w:noWrap w:val="0"/>
            <w:vAlign w:val="center"/>
          </w:tcPr>
          <w:p w14:paraId="0C6778F1">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王莉</w:t>
            </w:r>
          </w:p>
        </w:tc>
        <w:tc>
          <w:tcPr>
            <w:tcW w:w="2166" w:type="dxa"/>
            <w:shd w:val="clear" w:color="auto" w:fill="auto"/>
            <w:noWrap w:val="0"/>
            <w:vAlign w:val="center"/>
          </w:tcPr>
          <w:p w14:paraId="3A6EA305">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13992153010</w:t>
            </w:r>
          </w:p>
        </w:tc>
      </w:tr>
      <w:tr w14:paraId="44574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shd w:val="clear" w:color="auto" w:fill="auto"/>
            <w:noWrap w:val="0"/>
            <w:vAlign w:val="center"/>
          </w:tcPr>
          <w:p w14:paraId="5F2DE09F">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13</w:t>
            </w:r>
          </w:p>
        </w:tc>
        <w:tc>
          <w:tcPr>
            <w:tcW w:w="2041" w:type="dxa"/>
            <w:shd w:val="clear" w:color="auto" w:fill="auto"/>
            <w:noWrap w:val="0"/>
            <w:vAlign w:val="center"/>
          </w:tcPr>
          <w:p w14:paraId="7D33983F">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安塞农商行</w:t>
            </w:r>
          </w:p>
        </w:tc>
        <w:tc>
          <w:tcPr>
            <w:tcW w:w="3430" w:type="dxa"/>
            <w:shd w:val="clear" w:color="auto" w:fill="auto"/>
            <w:noWrap w:val="0"/>
            <w:vAlign w:val="center"/>
          </w:tcPr>
          <w:p w14:paraId="383255A3">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延安市安塞区富民街22号</w:t>
            </w:r>
          </w:p>
        </w:tc>
        <w:tc>
          <w:tcPr>
            <w:tcW w:w="1250" w:type="dxa"/>
            <w:shd w:val="clear" w:color="auto" w:fill="auto"/>
            <w:noWrap w:val="0"/>
            <w:vAlign w:val="center"/>
          </w:tcPr>
          <w:p w14:paraId="7246AC3A">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王平</w:t>
            </w:r>
          </w:p>
        </w:tc>
        <w:tc>
          <w:tcPr>
            <w:tcW w:w="2166" w:type="dxa"/>
            <w:shd w:val="clear" w:color="auto" w:fill="auto"/>
            <w:noWrap w:val="0"/>
            <w:vAlign w:val="center"/>
          </w:tcPr>
          <w:p w14:paraId="7BE00978">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15991569027</w:t>
            </w:r>
          </w:p>
        </w:tc>
      </w:tr>
      <w:tr w14:paraId="769C0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shd w:val="clear" w:color="auto" w:fill="auto"/>
            <w:noWrap w:val="0"/>
            <w:vAlign w:val="center"/>
          </w:tcPr>
          <w:p w14:paraId="3BD1DDAF">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14</w:t>
            </w:r>
          </w:p>
        </w:tc>
        <w:tc>
          <w:tcPr>
            <w:tcW w:w="2041" w:type="dxa"/>
            <w:shd w:val="clear" w:color="auto" w:fill="auto"/>
            <w:noWrap w:val="0"/>
            <w:vAlign w:val="center"/>
          </w:tcPr>
          <w:p w14:paraId="43B34FF2">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志丹联社</w:t>
            </w:r>
          </w:p>
        </w:tc>
        <w:tc>
          <w:tcPr>
            <w:tcW w:w="3430" w:type="dxa"/>
            <w:shd w:val="clear" w:color="auto" w:fill="auto"/>
            <w:noWrap w:val="0"/>
            <w:vAlign w:val="center"/>
          </w:tcPr>
          <w:p w14:paraId="30708C7E">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延安市志丹县保安街134号信合大厦</w:t>
            </w:r>
          </w:p>
        </w:tc>
        <w:tc>
          <w:tcPr>
            <w:tcW w:w="1250" w:type="dxa"/>
            <w:shd w:val="clear" w:color="auto" w:fill="auto"/>
            <w:noWrap w:val="0"/>
            <w:vAlign w:val="center"/>
          </w:tcPr>
          <w:p w14:paraId="4BC1883E">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李倩</w:t>
            </w:r>
          </w:p>
        </w:tc>
        <w:tc>
          <w:tcPr>
            <w:tcW w:w="2166" w:type="dxa"/>
            <w:shd w:val="clear" w:color="auto" w:fill="auto"/>
            <w:noWrap w:val="0"/>
            <w:vAlign w:val="center"/>
          </w:tcPr>
          <w:p w14:paraId="1E993F1D">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18792408171</w:t>
            </w:r>
          </w:p>
        </w:tc>
      </w:tr>
      <w:tr w14:paraId="4EDA9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21551991">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15</w:t>
            </w:r>
          </w:p>
        </w:tc>
        <w:tc>
          <w:tcPr>
            <w:tcW w:w="2041" w:type="dxa"/>
            <w:shd w:val="clear" w:color="auto" w:fill="auto"/>
            <w:noWrap w:val="0"/>
            <w:vAlign w:val="center"/>
          </w:tcPr>
          <w:p w14:paraId="2134C7F4">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吴起农合行</w:t>
            </w:r>
          </w:p>
        </w:tc>
        <w:tc>
          <w:tcPr>
            <w:tcW w:w="3430" w:type="dxa"/>
            <w:shd w:val="clear" w:color="auto" w:fill="auto"/>
            <w:noWrap w:val="0"/>
            <w:vAlign w:val="center"/>
          </w:tcPr>
          <w:p w14:paraId="251C3E92">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陕西省延安市吴起县北苑东路26号</w:t>
            </w:r>
          </w:p>
        </w:tc>
        <w:tc>
          <w:tcPr>
            <w:tcW w:w="1250" w:type="dxa"/>
            <w:shd w:val="clear" w:color="auto" w:fill="auto"/>
            <w:noWrap w:val="0"/>
            <w:vAlign w:val="center"/>
          </w:tcPr>
          <w:p w14:paraId="28BFDDB6">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李娜玲</w:t>
            </w:r>
          </w:p>
        </w:tc>
        <w:tc>
          <w:tcPr>
            <w:tcW w:w="2166" w:type="dxa"/>
            <w:shd w:val="clear" w:color="auto" w:fill="auto"/>
            <w:noWrap w:val="0"/>
            <w:vAlign w:val="center"/>
          </w:tcPr>
          <w:p w14:paraId="41EB033D">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15591103321</w:t>
            </w:r>
          </w:p>
        </w:tc>
      </w:tr>
      <w:tr w14:paraId="2F5A0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30F91843">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16</w:t>
            </w:r>
          </w:p>
        </w:tc>
        <w:tc>
          <w:tcPr>
            <w:tcW w:w="2041" w:type="dxa"/>
            <w:shd w:val="clear" w:color="auto" w:fill="auto"/>
            <w:noWrap w:val="0"/>
            <w:vAlign w:val="center"/>
          </w:tcPr>
          <w:p w14:paraId="6728D642">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洛川农商行</w:t>
            </w:r>
          </w:p>
        </w:tc>
        <w:tc>
          <w:tcPr>
            <w:tcW w:w="3430" w:type="dxa"/>
            <w:shd w:val="clear" w:color="auto" w:fill="auto"/>
            <w:noWrap w:val="0"/>
            <w:vAlign w:val="center"/>
          </w:tcPr>
          <w:p w14:paraId="0F01CB91">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陕西省延安市洛川县中心街</w:t>
            </w:r>
          </w:p>
        </w:tc>
        <w:tc>
          <w:tcPr>
            <w:tcW w:w="1250" w:type="dxa"/>
            <w:shd w:val="clear" w:color="auto" w:fill="auto"/>
            <w:noWrap w:val="0"/>
            <w:vAlign w:val="center"/>
          </w:tcPr>
          <w:p w14:paraId="44AA589D">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史云云</w:t>
            </w:r>
          </w:p>
        </w:tc>
        <w:tc>
          <w:tcPr>
            <w:tcW w:w="2166" w:type="dxa"/>
            <w:shd w:val="clear" w:color="auto" w:fill="auto"/>
            <w:noWrap w:val="0"/>
            <w:vAlign w:val="center"/>
          </w:tcPr>
          <w:p w14:paraId="222A96CA">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15291172848</w:t>
            </w:r>
          </w:p>
        </w:tc>
      </w:tr>
      <w:tr w14:paraId="28BA4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5FA4D440">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17</w:t>
            </w:r>
          </w:p>
        </w:tc>
        <w:tc>
          <w:tcPr>
            <w:tcW w:w="2041" w:type="dxa"/>
            <w:shd w:val="clear" w:color="auto" w:fill="auto"/>
            <w:noWrap w:val="0"/>
            <w:vAlign w:val="center"/>
          </w:tcPr>
          <w:p w14:paraId="33AB0EA5">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富县农合行</w:t>
            </w:r>
          </w:p>
        </w:tc>
        <w:tc>
          <w:tcPr>
            <w:tcW w:w="3430" w:type="dxa"/>
            <w:shd w:val="clear" w:color="auto" w:fill="auto"/>
            <w:noWrap w:val="0"/>
            <w:vAlign w:val="center"/>
          </w:tcPr>
          <w:p w14:paraId="7A81F706">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富县富城镇正街8号</w:t>
            </w:r>
          </w:p>
        </w:tc>
        <w:tc>
          <w:tcPr>
            <w:tcW w:w="1250" w:type="dxa"/>
            <w:shd w:val="clear" w:color="auto" w:fill="auto"/>
            <w:noWrap w:val="0"/>
            <w:vAlign w:val="center"/>
          </w:tcPr>
          <w:p w14:paraId="58C37683">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逯其玲</w:t>
            </w:r>
          </w:p>
        </w:tc>
        <w:tc>
          <w:tcPr>
            <w:tcW w:w="2166" w:type="dxa"/>
            <w:shd w:val="clear" w:color="auto" w:fill="auto"/>
            <w:noWrap w:val="0"/>
            <w:vAlign w:val="center"/>
          </w:tcPr>
          <w:p w14:paraId="6117C41A">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18091126065</w:t>
            </w:r>
          </w:p>
        </w:tc>
      </w:tr>
      <w:tr w14:paraId="5A4DA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32E2DB73">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18</w:t>
            </w:r>
          </w:p>
        </w:tc>
        <w:tc>
          <w:tcPr>
            <w:tcW w:w="2041" w:type="dxa"/>
            <w:shd w:val="clear" w:color="auto" w:fill="auto"/>
            <w:noWrap w:val="0"/>
            <w:vAlign w:val="center"/>
          </w:tcPr>
          <w:p w14:paraId="401DE763">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黄陵联社</w:t>
            </w:r>
          </w:p>
        </w:tc>
        <w:tc>
          <w:tcPr>
            <w:tcW w:w="3430" w:type="dxa"/>
            <w:shd w:val="clear" w:color="auto" w:fill="auto"/>
            <w:noWrap w:val="0"/>
            <w:vAlign w:val="center"/>
          </w:tcPr>
          <w:p w14:paraId="6536D059">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黄陵县桥山大厦</w:t>
            </w:r>
          </w:p>
        </w:tc>
        <w:tc>
          <w:tcPr>
            <w:tcW w:w="1250" w:type="dxa"/>
            <w:shd w:val="clear" w:color="auto" w:fill="auto"/>
            <w:noWrap w:val="0"/>
            <w:vAlign w:val="center"/>
          </w:tcPr>
          <w:p w14:paraId="00691B82">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曹涛</w:t>
            </w:r>
          </w:p>
        </w:tc>
        <w:tc>
          <w:tcPr>
            <w:tcW w:w="2166" w:type="dxa"/>
            <w:shd w:val="clear" w:color="auto" w:fill="auto"/>
            <w:noWrap w:val="0"/>
            <w:vAlign w:val="center"/>
          </w:tcPr>
          <w:p w14:paraId="03B91185">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13772255164</w:t>
            </w:r>
          </w:p>
        </w:tc>
      </w:tr>
      <w:tr w14:paraId="390B7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0C688540">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19</w:t>
            </w:r>
          </w:p>
        </w:tc>
        <w:tc>
          <w:tcPr>
            <w:tcW w:w="2041" w:type="dxa"/>
            <w:shd w:val="clear" w:color="auto" w:fill="auto"/>
            <w:noWrap w:val="0"/>
            <w:vAlign w:val="center"/>
          </w:tcPr>
          <w:p w14:paraId="5080AB0C">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宜川联社</w:t>
            </w:r>
          </w:p>
        </w:tc>
        <w:tc>
          <w:tcPr>
            <w:tcW w:w="3430" w:type="dxa"/>
            <w:shd w:val="clear" w:color="auto" w:fill="auto"/>
            <w:noWrap w:val="0"/>
            <w:vAlign w:val="center"/>
          </w:tcPr>
          <w:p w14:paraId="08A3F802">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宜川县党湾街65号</w:t>
            </w:r>
          </w:p>
        </w:tc>
        <w:tc>
          <w:tcPr>
            <w:tcW w:w="1250" w:type="dxa"/>
            <w:shd w:val="clear" w:color="auto" w:fill="auto"/>
            <w:noWrap w:val="0"/>
            <w:vAlign w:val="center"/>
          </w:tcPr>
          <w:p w14:paraId="565A08E8">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毛永良</w:t>
            </w:r>
          </w:p>
        </w:tc>
        <w:tc>
          <w:tcPr>
            <w:tcW w:w="2166" w:type="dxa"/>
            <w:shd w:val="clear" w:color="auto" w:fill="auto"/>
            <w:noWrap w:val="0"/>
            <w:vAlign w:val="center"/>
          </w:tcPr>
          <w:p w14:paraId="5488170F">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15009118628</w:t>
            </w:r>
          </w:p>
        </w:tc>
      </w:tr>
      <w:tr w14:paraId="2ADC1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35234641">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20</w:t>
            </w:r>
          </w:p>
        </w:tc>
        <w:tc>
          <w:tcPr>
            <w:tcW w:w="2041" w:type="dxa"/>
            <w:shd w:val="clear" w:color="auto" w:fill="auto"/>
            <w:noWrap w:val="0"/>
            <w:vAlign w:val="center"/>
          </w:tcPr>
          <w:p w14:paraId="0B03F873">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黄龙联社</w:t>
            </w:r>
          </w:p>
        </w:tc>
        <w:tc>
          <w:tcPr>
            <w:tcW w:w="3430" w:type="dxa"/>
            <w:shd w:val="clear" w:color="auto" w:fill="auto"/>
            <w:noWrap w:val="0"/>
            <w:vAlign w:val="center"/>
          </w:tcPr>
          <w:p w14:paraId="4C598DF3">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黄龙县石堡镇广场大街40号</w:t>
            </w:r>
          </w:p>
        </w:tc>
        <w:tc>
          <w:tcPr>
            <w:tcW w:w="1250" w:type="dxa"/>
            <w:shd w:val="clear" w:color="auto" w:fill="auto"/>
            <w:noWrap w:val="0"/>
            <w:vAlign w:val="center"/>
          </w:tcPr>
          <w:p w14:paraId="6D3F4F75">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郑国强</w:t>
            </w:r>
          </w:p>
        </w:tc>
        <w:tc>
          <w:tcPr>
            <w:tcW w:w="2166" w:type="dxa"/>
            <w:shd w:val="clear" w:color="auto" w:fill="auto"/>
            <w:noWrap w:val="0"/>
            <w:vAlign w:val="center"/>
          </w:tcPr>
          <w:p w14:paraId="4E9A32EF">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15991595662</w:t>
            </w:r>
          </w:p>
        </w:tc>
      </w:tr>
      <w:tr w14:paraId="7B8C6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55694BDE">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21</w:t>
            </w:r>
          </w:p>
        </w:tc>
        <w:tc>
          <w:tcPr>
            <w:tcW w:w="2041" w:type="dxa"/>
            <w:shd w:val="clear" w:color="auto" w:fill="auto"/>
            <w:noWrap w:val="0"/>
            <w:vAlign w:val="center"/>
          </w:tcPr>
          <w:p w14:paraId="518B0B27">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长安银行七里铺支行</w:t>
            </w:r>
          </w:p>
        </w:tc>
        <w:tc>
          <w:tcPr>
            <w:tcW w:w="3430" w:type="dxa"/>
            <w:shd w:val="clear" w:color="auto" w:fill="auto"/>
            <w:noWrap w:val="0"/>
            <w:vAlign w:val="center"/>
          </w:tcPr>
          <w:p w14:paraId="587DE9A6">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南桥诚合大厦</w:t>
            </w:r>
          </w:p>
        </w:tc>
        <w:tc>
          <w:tcPr>
            <w:tcW w:w="1250" w:type="dxa"/>
            <w:shd w:val="clear" w:color="auto" w:fill="auto"/>
            <w:noWrap w:val="0"/>
            <w:vAlign w:val="center"/>
          </w:tcPr>
          <w:p w14:paraId="02FEEF39">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 xml:space="preserve"> 孙婧</w:t>
            </w:r>
          </w:p>
        </w:tc>
        <w:tc>
          <w:tcPr>
            <w:tcW w:w="2166" w:type="dxa"/>
            <w:shd w:val="clear" w:color="auto" w:fill="auto"/>
            <w:noWrap w:val="0"/>
            <w:vAlign w:val="center"/>
          </w:tcPr>
          <w:p w14:paraId="4F33549D">
            <w:pPr>
              <w:spacing w:line="500" w:lineRule="exact"/>
              <w:jc w:val="center"/>
              <w:rPr>
                <w:rFonts w:hint="eastAsia"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18809116650</w:t>
            </w:r>
          </w:p>
        </w:tc>
      </w:tr>
    </w:tbl>
    <w:p w14:paraId="79BBF314">
      <w:pPr>
        <w:spacing w:line="6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政策提示：</w:t>
      </w:r>
      <w:r>
        <w:rPr>
          <w:rFonts w:hint="eastAsia" w:ascii="仿宋" w:hAnsi="仿宋" w:eastAsia="仿宋" w:cs="仿宋"/>
          <w:color w:val="auto"/>
          <w:kern w:val="0"/>
          <w:sz w:val="28"/>
          <w:szCs w:val="28"/>
          <w:highlight w:val="none"/>
          <w:shd w:val="clear" w:color="auto" w:fill="FFFFFF"/>
        </w:rPr>
        <w:t>政府采购中标(成交)供应商可凭政府采购中标(成交)通知书或政府采购合同向金融机构提出融资申请。</w:t>
      </w:r>
    </w:p>
    <w:p w14:paraId="0C9EB415">
      <w:pPr>
        <w:pageBreakBefore w:val="0"/>
        <w:bidi w:val="0"/>
        <w:spacing w:line="460" w:lineRule="exact"/>
        <w:ind w:firstLine="562" w:firstLineChars="200"/>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3、</w:t>
      </w:r>
      <w:r>
        <w:rPr>
          <w:rFonts w:hint="eastAsia" w:ascii="仿宋" w:hAnsi="仿宋" w:eastAsia="仿宋" w:cs="仿宋"/>
          <w:b/>
          <w:bCs/>
          <w:color w:val="auto"/>
          <w:sz w:val="28"/>
          <w:szCs w:val="28"/>
          <w:highlight w:val="none"/>
        </w:rPr>
        <w:t>定标</w:t>
      </w:r>
    </w:p>
    <w:p w14:paraId="5FD933CD">
      <w:pPr>
        <w:pageBreakBefore w:val="0"/>
        <w:bidi w:val="0"/>
        <w:spacing w:line="46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3-1、定标程序</w:t>
      </w:r>
    </w:p>
    <w:p w14:paraId="4DBD3D42">
      <w:pPr>
        <w:pageBreakBefore w:val="0"/>
        <w:bidi w:val="0"/>
        <w:spacing w:line="46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（1）评标委员会依据评标办法，经过初审、澄清、比较与评价等程序后，在最大限度满足招标文件实质性要求前提下进行综合评审，以评标总得分最高到低的顺序推荐3名以上中标候选人，并编写评标报告。</w:t>
      </w:r>
    </w:p>
    <w:p w14:paraId="3BF75136">
      <w:pPr>
        <w:pageBreakBefore w:val="0"/>
        <w:bidi w:val="0"/>
        <w:spacing w:line="46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人在收到评标报告5个工作日内，从评审报告推荐的中标候选人中，以评标总分最高的供应商作为中标人，向采购代理机构出具《定标复函》；采购人逾期未确定中标单位且不提出异议的，视为确定评标报告推荐的评标得分最高的供应商为中标人。</w:t>
      </w:r>
    </w:p>
    <w:p w14:paraId="19DFDF67">
      <w:pPr>
        <w:pageBreakBefore w:val="0"/>
        <w:bidi w:val="0"/>
        <w:adjustRightInd w:val="0"/>
        <w:snapToGrid w:val="0"/>
        <w:spacing w:line="46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采购代理机构接到采购人的《定标复函》后，将中标结果在陕西省政府采购网上进行公告。公告发布1个工作日，其他供应商若有异议，按《政府采购法》第52条执行。若无异议，采购代理机构向中标单位发出中标通知书。</w:t>
      </w:r>
    </w:p>
    <w:p w14:paraId="60ED0FAD">
      <w:pPr>
        <w:pageBreakBefore w:val="0"/>
        <w:bidi w:val="0"/>
        <w:spacing w:line="460" w:lineRule="exact"/>
        <w:ind w:firstLine="700" w:firstLineChars="25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3-2、中标人确定后，采购人和采购代理机构对未中标原因不作任何解释，投标文件不予退还（含纸质及电子版文件）。</w:t>
      </w:r>
    </w:p>
    <w:p w14:paraId="742FA714">
      <w:pPr>
        <w:pageBreakBefore w:val="0"/>
        <w:bidi w:val="0"/>
        <w:spacing w:line="460" w:lineRule="exact"/>
        <w:ind w:firstLine="562" w:firstLineChars="200"/>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七、中标通知</w:t>
      </w:r>
    </w:p>
    <w:p w14:paraId="082986B6">
      <w:pPr>
        <w:pageBreakBefore w:val="0"/>
        <w:bidi w:val="0"/>
        <w:adjustRightInd w:val="0"/>
        <w:snapToGrid w:val="0"/>
        <w:spacing w:line="46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采购代理机构向中标单位发出中标通知书。</w:t>
      </w:r>
    </w:p>
    <w:p w14:paraId="4A38FD4C">
      <w:pPr>
        <w:pageBreakBefore w:val="0"/>
        <w:bidi w:val="0"/>
        <w:spacing w:line="460" w:lineRule="exact"/>
        <w:ind w:firstLine="562" w:firstLineChars="200"/>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八、合同</w:t>
      </w:r>
    </w:p>
    <w:p w14:paraId="3EC557EB">
      <w:pPr>
        <w:pageBreakBefore w:val="0"/>
        <w:bidi w:val="0"/>
        <w:spacing w:line="46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1、中标人在收到中标通知书后</w:t>
      </w:r>
      <w:r>
        <w:rPr>
          <w:rFonts w:hint="eastAsia" w:ascii="仿宋" w:hAnsi="仿宋" w:eastAsia="仿宋" w:cs="仿宋"/>
          <w:color w:val="auto"/>
          <w:sz w:val="28"/>
          <w:szCs w:val="28"/>
          <w:highlight w:val="none"/>
          <w:lang w:val="en-US" w:eastAsia="zh-CN"/>
        </w:rPr>
        <w:t>二十五</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25</w:t>
      </w:r>
      <w:r>
        <w:rPr>
          <w:rFonts w:hint="eastAsia" w:ascii="仿宋" w:hAnsi="仿宋" w:eastAsia="仿宋" w:cs="仿宋"/>
          <w:color w:val="auto"/>
          <w:sz w:val="28"/>
          <w:szCs w:val="28"/>
          <w:highlight w:val="none"/>
        </w:rPr>
        <w:t>）个日历日内，应按招标文件的要求与采购人签订合同。中标人因自身原因不按规定与采购人签订供货合同或者拒绝与采购人签订合同的，则采购人将废除授标，投标保证金不予退还。给采购人造成损失超过投标保证金额的，还应当对超过部分予以赔偿，并依法承担相应法律责任；</w:t>
      </w:r>
    </w:p>
    <w:p w14:paraId="0272AD5C">
      <w:pPr>
        <w:pageBreakBefore w:val="0"/>
        <w:bidi w:val="0"/>
        <w:spacing w:line="46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中标人因不可抗力或者自身原因不能履行政府采购合同的，采购人可以与排位在中标供应商之后第一位的中标候选供应商签订政府采购合同，以此类推，也可以重新开展招标活动。因自身原因拒绝签订政府采购合同的中标人不得参加对该项目重新开展的招标活动。</w:t>
      </w:r>
    </w:p>
    <w:p w14:paraId="6E67310E">
      <w:pPr>
        <w:pageBreakBefore w:val="0"/>
        <w:bidi w:val="0"/>
        <w:spacing w:line="46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3、中标通知书将是合同的重要组成部分。招标文件、中标人的投标文件及评议过程中有关的澄清文件均作为合同附件。</w:t>
      </w:r>
    </w:p>
    <w:p w14:paraId="64FC3088">
      <w:pPr>
        <w:pageBreakBefore w:val="0"/>
        <w:bidi w:val="0"/>
        <w:spacing w:line="46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中标后，中标人应按照合同约定履行义务，完成招标项目的供货，经采购人同意，中标人可以依法采取分包方式履行合同。分包部分为中标项目的部分非主体、非关键性工作。接受分包的供应商应当具备相应的资格条件，并不得再次分包。分包履行的，中标人就采购项目和分包项目向采购人负责，分包供应商就分包项目承担责任。</w:t>
      </w:r>
    </w:p>
    <w:p w14:paraId="57ECCA84">
      <w:pPr>
        <w:pageBreakBefore w:val="0"/>
        <w:bidi w:val="0"/>
        <w:spacing w:line="46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5、采购人需追加与合同标的相同的货物或服务的，在不改变合同其他条款的前提下，可以与中标人协商签订补充合同，但所有补充合同的采购金额不得超过原合同采购金额的百分之十。</w:t>
      </w:r>
    </w:p>
    <w:p w14:paraId="1405EF69">
      <w:pPr>
        <w:pageBreakBefore w:val="0"/>
        <w:bidi w:val="0"/>
        <w:spacing w:line="460" w:lineRule="exact"/>
        <w:ind w:firstLine="562" w:firstLineChars="200"/>
        <w:outlineLvl w:val="9"/>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九、招标服务费</w:t>
      </w:r>
    </w:p>
    <w:p w14:paraId="3C1248E8">
      <w:pPr>
        <w:pageBreakBefore w:val="0"/>
        <w:bidi w:val="0"/>
        <w:spacing w:line="460" w:lineRule="exact"/>
        <w:ind w:firstLine="560" w:firstLineChars="200"/>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代理服务费共计贰万元整（小写：20000.00元），由中标人支付。中标人在领取中标通知书时须向采购代理机构一次性支付招标代理服务费。</w:t>
      </w:r>
    </w:p>
    <w:p w14:paraId="7113D69E">
      <w:pPr>
        <w:pageBreakBefore w:val="0"/>
        <w:bidi w:val="0"/>
        <w:spacing w:line="460" w:lineRule="exact"/>
        <w:ind w:firstLine="562" w:firstLineChars="200"/>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十、质疑</w:t>
      </w:r>
      <w:bookmarkStart w:id="9" w:name="OLE_LINK11"/>
    </w:p>
    <w:p w14:paraId="12FD0C5D">
      <w:pPr>
        <w:pStyle w:val="7"/>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bCs/>
          <w:color w:val="auto"/>
          <w:kern w:val="2"/>
          <w:sz w:val="28"/>
          <w:szCs w:val="28"/>
          <w:highlight w:val="none"/>
          <w:lang w:val="zh-CN" w:eastAsia="zh-CN" w:bidi="ar-SA"/>
        </w:rPr>
      </w:pPr>
      <w:r>
        <w:rPr>
          <w:rFonts w:hint="eastAsia" w:ascii="仿宋" w:hAnsi="仿宋" w:eastAsia="仿宋" w:cs="仿宋"/>
          <w:bCs/>
          <w:color w:val="auto"/>
          <w:kern w:val="2"/>
          <w:sz w:val="28"/>
          <w:szCs w:val="28"/>
          <w:highlight w:val="none"/>
          <w:lang w:val="en-US" w:eastAsia="zh-CN" w:bidi="ar-SA"/>
        </w:rPr>
        <w:t>1、</w:t>
      </w:r>
      <w:r>
        <w:rPr>
          <w:rFonts w:hint="eastAsia" w:ascii="仿宋" w:hAnsi="仿宋" w:eastAsia="仿宋" w:cs="仿宋"/>
          <w:bCs/>
          <w:color w:val="auto"/>
          <w:kern w:val="2"/>
          <w:sz w:val="28"/>
          <w:szCs w:val="28"/>
          <w:highlight w:val="none"/>
          <w:lang w:val="zh-CN" w:eastAsia="zh-CN" w:bidi="ar-SA"/>
        </w:rPr>
        <w:t>投标人认为采购文</w:t>
      </w:r>
      <w:bookmarkEnd w:id="9"/>
      <w:r>
        <w:rPr>
          <w:rFonts w:hint="eastAsia" w:ascii="仿宋" w:hAnsi="仿宋" w:eastAsia="仿宋" w:cs="仿宋"/>
          <w:bCs/>
          <w:color w:val="auto"/>
          <w:kern w:val="2"/>
          <w:sz w:val="28"/>
          <w:szCs w:val="28"/>
          <w:highlight w:val="none"/>
          <w:lang w:val="zh-CN" w:eastAsia="zh-CN" w:bidi="ar-SA"/>
        </w:rPr>
        <w:t>件、采购过程、中标结果使自己的权益受到损害的，可以在知道或者应</w:t>
      </w:r>
      <w:r>
        <w:rPr>
          <w:rFonts w:hint="eastAsia" w:ascii="仿宋" w:hAnsi="仿宋" w:eastAsia="仿宋" w:cs="仿宋"/>
          <w:bCs/>
          <w:color w:val="auto"/>
          <w:kern w:val="2"/>
          <w:sz w:val="28"/>
          <w:szCs w:val="28"/>
          <w:highlight w:val="none"/>
          <w:lang w:val="en-US" w:eastAsia="zh-CN" w:bidi="ar-SA"/>
        </w:rPr>
        <w:t>当知道</w:t>
      </w:r>
      <w:r>
        <w:rPr>
          <w:rFonts w:hint="eastAsia" w:ascii="仿宋" w:hAnsi="仿宋" w:eastAsia="仿宋" w:cs="仿宋"/>
          <w:bCs/>
          <w:color w:val="auto"/>
          <w:kern w:val="2"/>
          <w:sz w:val="28"/>
          <w:szCs w:val="28"/>
          <w:highlight w:val="none"/>
          <w:lang w:val="zh-CN" w:eastAsia="zh-CN" w:bidi="ar-SA"/>
        </w:rPr>
        <w:t xml:space="preserve">其权益受到损害之日起七个工作日内，以书面形式向采购代理机构提出（质疑函接收联系人、联系电话和通讯地址等详见招标公告）。 </w:t>
      </w:r>
    </w:p>
    <w:p w14:paraId="46820072">
      <w:pPr>
        <w:pStyle w:val="7"/>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bCs/>
          <w:color w:val="auto"/>
          <w:kern w:val="2"/>
          <w:sz w:val="28"/>
          <w:szCs w:val="28"/>
          <w:highlight w:val="none"/>
          <w:lang w:val="zh-CN" w:eastAsia="zh-CN" w:bidi="ar-SA"/>
        </w:rPr>
      </w:pPr>
      <w:r>
        <w:rPr>
          <w:rFonts w:hint="eastAsia" w:ascii="仿宋" w:hAnsi="仿宋" w:eastAsia="仿宋" w:cs="仿宋"/>
          <w:bCs/>
          <w:color w:val="auto"/>
          <w:kern w:val="2"/>
          <w:sz w:val="28"/>
          <w:szCs w:val="28"/>
          <w:highlight w:val="none"/>
          <w:lang w:val="en-US" w:eastAsia="zh-CN" w:bidi="ar-SA"/>
        </w:rPr>
        <w:t>2、</w:t>
      </w:r>
      <w:r>
        <w:rPr>
          <w:rFonts w:hint="eastAsia" w:ascii="仿宋" w:hAnsi="仿宋" w:eastAsia="仿宋" w:cs="仿宋"/>
          <w:bCs/>
          <w:color w:val="auto"/>
          <w:kern w:val="2"/>
          <w:sz w:val="28"/>
          <w:szCs w:val="28"/>
          <w:highlight w:val="none"/>
          <w:lang w:val="zh-CN" w:eastAsia="zh-CN" w:bidi="ar-SA"/>
        </w:rPr>
        <w:t>质疑供应商法定代表人提交质疑的，须出具法定代表人资格证明书；委托代理人 提交质疑的，必须向其出具授权委托书，授权委托书应当载明代理人的姓名或者名称、代 理事项、具体权限、期限和相关事项，由法定代表人签字或者盖章，并加盖单位公章。</w:t>
      </w:r>
    </w:p>
    <w:p w14:paraId="19098964">
      <w:pPr>
        <w:keepNext w:val="0"/>
        <w:keepLines w:val="0"/>
        <w:widowControl/>
        <w:suppressLineNumbers w:val="0"/>
        <w:spacing w:line="360" w:lineRule="auto"/>
        <w:ind w:firstLine="560" w:firstLineChars="200"/>
        <w:jc w:val="left"/>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 xml:space="preserve">质疑函应当包括下列内容： </w:t>
      </w:r>
    </w:p>
    <w:p w14:paraId="4E399068">
      <w:pPr>
        <w:keepNext w:val="0"/>
        <w:keepLines w:val="0"/>
        <w:widowControl/>
        <w:numPr>
          <w:ilvl w:val="0"/>
          <w:numId w:val="5"/>
        </w:numPr>
        <w:suppressLineNumbers w:val="0"/>
        <w:spacing w:line="360" w:lineRule="auto"/>
        <w:ind w:firstLine="560" w:firstLineChars="200"/>
        <w:jc w:val="left"/>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投标人的姓名或者名称、地址、邮编、联系人及联系电话；</w:t>
      </w:r>
    </w:p>
    <w:p w14:paraId="0F00298D">
      <w:pPr>
        <w:keepNext w:val="0"/>
        <w:keepLines w:val="0"/>
        <w:widowControl/>
        <w:numPr>
          <w:ilvl w:val="0"/>
          <w:numId w:val="5"/>
        </w:numPr>
        <w:suppressLineNumbers w:val="0"/>
        <w:spacing w:line="360" w:lineRule="auto"/>
        <w:ind w:firstLine="560" w:firstLineChars="200"/>
        <w:jc w:val="left"/>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 xml:space="preserve">质疑项目的名称、编号； </w:t>
      </w:r>
    </w:p>
    <w:p w14:paraId="646C1C74">
      <w:pPr>
        <w:keepNext w:val="0"/>
        <w:keepLines w:val="0"/>
        <w:widowControl/>
        <w:numPr>
          <w:ilvl w:val="0"/>
          <w:numId w:val="5"/>
        </w:numPr>
        <w:suppressLineNumbers w:val="0"/>
        <w:spacing w:line="360" w:lineRule="auto"/>
        <w:ind w:firstLine="560" w:firstLineChars="200"/>
        <w:jc w:val="left"/>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 xml:space="preserve">具体、明确的质疑事项和与质疑事项相关的请求； </w:t>
      </w:r>
    </w:p>
    <w:p w14:paraId="5BAAF9CF">
      <w:pPr>
        <w:keepNext w:val="0"/>
        <w:keepLines w:val="0"/>
        <w:widowControl/>
        <w:numPr>
          <w:ilvl w:val="0"/>
          <w:numId w:val="5"/>
        </w:numPr>
        <w:suppressLineNumbers w:val="0"/>
        <w:spacing w:line="360" w:lineRule="auto"/>
        <w:ind w:firstLine="560" w:firstLineChars="200"/>
        <w:jc w:val="left"/>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 xml:space="preserve">事实依据； </w:t>
      </w:r>
    </w:p>
    <w:p w14:paraId="33E8B59F">
      <w:pPr>
        <w:keepNext w:val="0"/>
        <w:keepLines w:val="0"/>
        <w:widowControl/>
        <w:numPr>
          <w:ilvl w:val="0"/>
          <w:numId w:val="5"/>
        </w:numPr>
        <w:suppressLineNumbers w:val="0"/>
        <w:spacing w:line="360" w:lineRule="auto"/>
        <w:ind w:firstLine="560" w:firstLineChars="200"/>
        <w:jc w:val="left"/>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必要的法律依据；</w:t>
      </w:r>
    </w:p>
    <w:p w14:paraId="2092487F">
      <w:pPr>
        <w:keepNext w:val="0"/>
        <w:keepLines w:val="0"/>
        <w:widowControl/>
        <w:numPr>
          <w:ilvl w:val="0"/>
          <w:numId w:val="5"/>
        </w:numPr>
        <w:suppressLineNumbers w:val="0"/>
        <w:spacing w:line="360" w:lineRule="auto"/>
        <w:ind w:firstLine="560" w:firstLineChars="200"/>
        <w:jc w:val="left"/>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 xml:space="preserve">提出质疑的日期。 </w:t>
      </w:r>
    </w:p>
    <w:p w14:paraId="2963979C">
      <w:pPr>
        <w:keepNext w:val="0"/>
        <w:keepLines w:val="0"/>
        <w:widowControl/>
        <w:numPr>
          <w:ilvl w:val="0"/>
          <w:numId w:val="0"/>
        </w:numPr>
        <w:suppressLineNumbers w:val="0"/>
        <w:spacing w:line="360" w:lineRule="auto"/>
        <w:jc w:val="left"/>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备注：投标人须在法定质疑期内一次性提出针对同一采购程序环节的质疑。</w:t>
      </w:r>
    </w:p>
    <w:p w14:paraId="328ED60C">
      <w:pPr>
        <w:keepNext w:val="0"/>
        <w:keepLines w:val="0"/>
        <w:widowControl/>
        <w:numPr>
          <w:ilvl w:val="0"/>
          <w:numId w:val="0"/>
        </w:numPr>
        <w:suppressLineNumbers w:val="0"/>
        <w:spacing w:line="360" w:lineRule="auto"/>
        <w:ind w:leftChars="0" w:firstLine="560" w:firstLineChars="200"/>
        <w:jc w:val="left"/>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 xml:space="preserve">3、质疑有以下情形之一的，采购代理机构不予受理： </w:t>
      </w:r>
    </w:p>
    <w:p w14:paraId="5FD16F4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560" w:firstLineChars="200"/>
        <w:jc w:val="left"/>
        <w:textAlignment w:val="auto"/>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（1）未按规定程序和渠道提出质疑的；</w:t>
      </w:r>
    </w:p>
    <w:p w14:paraId="6D79044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560" w:firstLineChars="200"/>
        <w:jc w:val="left"/>
        <w:textAlignment w:val="auto"/>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 xml:space="preserve">（2）超过法定质疑期限的； </w:t>
      </w:r>
    </w:p>
    <w:p w14:paraId="1F33EDE4">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560" w:firstLineChars="200"/>
        <w:jc w:val="left"/>
        <w:textAlignment w:val="auto"/>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（3）书面质疑的形式和内容不符合上述要求的；</w:t>
      </w:r>
    </w:p>
    <w:p w14:paraId="18D21B8E">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560" w:firstLineChars="200"/>
        <w:jc w:val="left"/>
        <w:textAlignment w:val="auto"/>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 xml:space="preserve">（4）提出的质疑事项已经明确答复的； </w:t>
      </w:r>
    </w:p>
    <w:p w14:paraId="439E35E3">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560" w:firstLineChars="200"/>
        <w:jc w:val="left"/>
        <w:textAlignment w:val="auto"/>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 xml:space="preserve">（5）法律法规规定的其他不予受理的条件。 </w:t>
      </w:r>
    </w:p>
    <w:p w14:paraId="5A9E5FC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560" w:firstLineChars="200"/>
        <w:jc w:val="left"/>
        <w:textAlignment w:val="auto"/>
        <w:rPr>
          <w:rFonts w:hint="eastAsia" w:ascii="仿宋" w:hAnsi="仿宋" w:eastAsia="仿宋" w:cs="仿宋"/>
          <w:bCs/>
          <w:color w:val="auto"/>
          <w:kern w:val="2"/>
          <w:sz w:val="28"/>
          <w:szCs w:val="28"/>
          <w:highlight w:val="none"/>
          <w:lang w:val="zh-CN" w:eastAsia="zh-CN" w:bidi="ar-SA"/>
        </w:rPr>
      </w:pPr>
      <w:r>
        <w:rPr>
          <w:rFonts w:hint="eastAsia" w:ascii="仿宋" w:hAnsi="仿宋" w:eastAsia="仿宋" w:cs="仿宋"/>
          <w:bCs/>
          <w:color w:val="auto"/>
          <w:kern w:val="2"/>
          <w:sz w:val="28"/>
          <w:szCs w:val="28"/>
          <w:highlight w:val="none"/>
          <w:lang w:val="en-US" w:eastAsia="zh-CN" w:bidi="ar-SA"/>
        </w:rPr>
        <w:t>（6）采购代理机构应当在收到质疑函后七个工作日内做出书面答复。答复内容同时通 知与处理结果有关的投标人，但答复内容不得涉及投标人 的商业秘密。</w:t>
      </w:r>
    </w:p>
    <w:p w14:paraId="0F22A6BD">
      <w:pPr>
        <w:pStyle w:val="7"/>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9"/>
        <w:rPr>
          <w:rFonts w:hint="eastAsia" w:ascii="仿宋" w:hAnsi="仿宋" w:eastAsia="仿宋" w:cs="仿宋"/>
          <w:b/>
          <w:bCs/>
          <w:color w:val="auto"/>
          <w:sz w:val="32"/>
          <w:szCs w:val="32"/>
          <w:highlight w:val="none"/>
          <w:lang w:val="zh-CN" w:eastAsia="zh-CN"/>
        </w:rPr>
        <w:sectPr>
          <w:pgSz w:w="11900" w:h="16838"/>
          <w:pgMar w:top="1440" w:right="1349" w:bottom="1440" w:left="1349" w:header="0" w:footer="0" w:gutter="0"/>
          <w:pgBorders>
            <w:top w:val="none" w:sz="0" w:space="0"/>
            <w:left w:val="none" w:sz="0" w:space="0"/>
            <w:bottom w:val="none" w:sz="0" w:space="0"/>
            <w:right w:val="none" w:sz="0" w:space="0"/>
          </w:pgBorders>
          <w:pgNumType w:fmt="decimal"/>
          <w:cols w:equalWidth="0" w:num="1">
            <w:col w:w="9420"/>
          </w:cols>
        </w:sectPr>
      </w:pPr>
    </w:p>
    <w:p w14:paraId="239F3EBC">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0"/>
        <w:rPr>
          <w:rFonts w:hint="eastAsia" w:ascii="仿宋" w:hAnsi="仿宋" w:eastAsia="仿宋" w:cs="仿宋"/>
          <w:b/>
          <w:bCs/>
          <w:color w:val="auto"/>
          <w:sz w:val="32"/>
          <w:szCs w:val="32"/>
          <w:highlight w:val="none"/>
          <w:lang w:val="en-US" w:eastAsia="zh-CN"/>
        </w:rPr>
      </w:pPr>
      <w:bookmarkStart w:id="10" w:name="_Toc8299"/>
      <w:bookmarkStart w:id="11" w:name="_Toc12128"/>
      <w:bookmarkStart w:id="12" w:name="_Toc4190"/>
      <w:r>
        <w:rPr>
          <w:rFonts w:hint="eastAsia" w:ascii="仿宋" w:hAnsi="仿宋" w:eastAsia="仿宋" w:cs="仿宋"/>
          <w:b/>
          <w:bCs/>
          <w:color w:val="auto"/>
          <w:sz w:val="32"/>
          <w:szCs w:val="32"/>
          <w:highlight w:val="none"/>
          <w:lang w:val="en-US" w:eastAsia="zh-CN"/>
        </w:rPr>
        <w:t>第三部分  采购内容</w:t>
      </w:r>
      <w:bookmarkEnd w:id="10"/>
      <w:bookmarkEnd w:id="11"/>
      <w:bookmarkEnd w:id="12"/>
    </w:p>
    <w:p w14:paraId="15272BD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0"/>
          <w:sz w:val="28"/>
          <w:szCs w:val="28"/>
          <w:highlight w:val="none"/>
          <w:lang w:val="en-US" w:eastAsia="zh-CN" w:bidi="ar"/>
        </w:rPr>
        <w:t>采购清单</w:t>
      </w:r>
      <w:bookmarkStart w:id="13" w:name="_Toc28609"/>
    </w:p>
    <w:tbl>
      <w:tblPr>
        <w:tblStyle w:val="24"/>
        <w:tblW w:w="162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5"/>
        <w:gridCol w:w="1665"/>
        <w:gridCol w:w="12015"/>
        <w:gridCol w:w="1065"/>
        <w:gridCol w:w="753"/>
      </w:tblGrid>
      <w:tr w14:paraId="7530A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3CA99FC">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一、政务服务大厅设施设备（大屏）智能化升级改造工程</w:t>
            </w:r>
          </w:p>
        </w:tc>
      </w:tr>
      <w:tr w14:paraId="4EE23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9D78249">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1.1E厅LEDP1.53</w:t>
            </w:r>
          </w:p>
        </w:tc>
      </w:tr>
      <w:tr w14:paraId="3F65D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084C5">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B15C2">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商品名称</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1F509">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主要性能指标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58A6A">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数量</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75F35">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单位</w:t>
            </w:r>
          </w:p>
        </w:tc>
      </w:tr>
      <w:tr w14:paraId="0F3D2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93E3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A54F5">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E厅LED大屏</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4603C">
            <w:pPr>
              <w:widowControl/>
              <w:numPr>
                <w:ilvl w:val="0"/>
                <w:numId w:val="6"/>
              </w:numPr>
              <w:jc w:val="left"/>
              <w:textAlignment w:val="center"/>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像素点间距：≤1.54mm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2、像素构成：表贴三合一1212（1R1G1B）；</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3、像素密度：≥422500点/㎡；</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4、白平衡亮度：≥500cd/㎡；；亮度调节功能：支持配套软件0-100%可调；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、亮度均匀性：≥98.5%；</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、色度均匀性：±0.001Cx，Cy之内；</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、色温：≥3000-20000可调；色温为 6500K 时，100%,75%,50%,25%四档电平白场调节色温误差≤100K。</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8</w:t>
            </w:r>
            <w:r>
              <w:rPr>
                <w:rFonts w:hint="eastAsia" w:ascii="仿宋" w:hAnsi="仿宋" w:eastAsia="仿宋" w:cs="仿宋"/>
                <w:color w:val="auto"/>
                <w:kern w:val="0"/>
                <w:sz w:val="24"/>
                <w:highlight w:val="none"/>
                <w:lang w:bidi="ar"/>
              </w:rPr>
              <w:t>、模组平整度：≤0.1mm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9</w:t>
            </w:r>
            <w:r>
              <w:rPr>
                <w:rFonts w:hint="eastAsia" w:ascii="仿宋" w:hAnsi="仿宋" w:eastAsia="仿宋" w:cs="仿宋"/>
                <w:color w:val="auto"/>
                <w:kern w:val="0"/>
                <w:sz w:val="24"/>
                <w:highlight w:val="none"/>
                <w:lang w:bidi="ar"/>
              </w:rPr>
              <w:t>、最高对比度：≥8000：1；</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0</w:t>
            </w:r>
            <w:r>
              <w:rPr>
                <w:rFonts w:hint="eastAsia" w:ascii="仿宋" w:hAnsi="仿宋" w:eastAsia="仿宋" w:cs="仿宋"/>
                <w:color w:val="auto"/>
                <w:kern w:val="0"/>
                <w:sz w:val="24"/>
                <w:highlight w:val="none"/>
                <w:lang w:bidi="ar"/>
              </w:rPr>
              <w:t>、视角（水平、垂直）：H≥170°，V≥170°；</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1</w:t>
            </w:r>
            <w:r>
              <w:rPr>
                <w:rFonts w:hint="eastAsia" w:ascii="仿宋" w:hAnsi="仿宋" w:eastAsia="仿宋" w:cs="仿宋"/>
                <w:color w:val="auto"/>
                <w:kern w:val="0"/>
                <w:sz w:val="24"/>
                <w:highlight w:val="none"/>
                <w:lang w:bidi="ar"/>
              </w:rPr>
              <w:t>、灰度等级：≥65536 级，信号处理深度≥16bit。亮度 100nit,灰度等级≥14bit,刷新≥2500HZ上;亮度 200nit,灰度等级16bit,刷新≥3200Hz上;亮度 500nit，灰度等级 16bit,刷新≥3840HZ 以上。</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2</w:t>
            </w:r>
            <w:r>
              <w:rPr>
                <w:rFonts w:hint="eastAsia" w:ascii="仿宋" w:hAnsi="仿宋" w:eastAsia="仿宋" w:cs="仿宋"/>
                <w:color w:val="auto"/>
                <w:kern w:val="0"/>
                <w:sz w:val="24"/>
                <w:highlight w:val="none"/>
                <w:lang w:bidi="ar"/>
              </w:rPr>
              <w:t>、换帧频率：50HZ&amp;60HZ，支持 120Hz~144Hz 等3D 显示技术。</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、刷新频率：≥3840Hz；</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4</w:t>
            </w:r>
            <w:r>
              <w:rPr>
                <w:rFonts w:hint="eastAsia" w:ascii="仿宋" w:hAnsi="仿宋" w:eastAsia="仿宋" w:cs="仿宋"/>
                <w:color w:val="auto"/>
                <w:kern w:val="0"/>
                <w:sz w:val="24"/>
                <w:highlight w:val="none"/>
                <w:lang w:bidi="ar"/>
              </w:rPr>
              <w:t>、电信端口传导共模（非对称） 骚扰电压限值（EMC）：符合GB/T9254-2021 Class A限值要求；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、阻燃（防火）：PCB的阻燃等级达到V-0级；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软件功能：可实时监控显示屏工作状态，具有故障自动告警功能，发生故障立即发消息到指定邮箱，及时处理;具有多点测温系统，均衡散热，防止局部温度过高造成色彩漂移，并提高显示屏寿命;LED显示屏具有电源温度控制系统，提供电源实时温度监控，超出设定温度自动报警，防止过温失效;支持视频、音频、图像、文字、Flash、Gif 等形式的媒体文件播放;支持Microsoft office 的Word、Excel、PPT显示;支持时钟、计时、天气预报显示;支持外部视频信号(TV、AV、S-Video、复合视频)播放。</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、具备发送系统输出信号热备份功能，可实现无延迟切换。电源备份(支持 N+1冗余备份或双电源备份,当其中一路电源故障时，另一路备份电源立即启动工作，保证屏幕正常显示)，支持采用双系统备份，两套发送卡和两套接收卡互为备份方式，任一套发送卡和接收卡故障不影响屏体正常显示，支持工作状态下热插拔维护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18</w:t>
            </w:r>
            <w:r>
              <w:rPr>
                <w:rFonts w:hint="eastAsia" w:ascii="仿宋" w:hAnsi="仿宋" w:eastAsia="仿宋" w:cs="仿宋"/>
                <w:color w:val="auto"/>
                <w:kern w:val="0"/>
                <w:sz w:val="24"/>
                <w:highlight w:val="none"/>
                <w:lang w:bidi="ar"/>
              </w:rPr>
              <w:t>、模组表面绝缘：模组表面绝缘应&gt;1000MQ，L&amp;N 到外壳表面绝缘测试，500V，120s电阻值&gt;2MQ；</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19</w:t>
            </w:r>
            <w:r>
              <w:rPr>
                <w:rFonts w:hint="eastAsia" w:ascii="仿宋" w:hAnsi="仿宋" w:eastAsia="仿宋" w:cs="仿宋"/>
                <w:color w:val="auto"/>
                <w:kern w:val="0"/>
                <w:sz w:val="24"/>
                <w:highlight w:val="none"/>
                <w:lang w:bidi="ar"/>
              </w:rPr>
              <w:t>、功耗：≤598W/㎡，平均功耗：≤300W/㎡；</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20</w:t>
            </w:r>
            <w:r>
              <w:rPr>
                <w:rFonts w:hint="eastAsia" w:ascii="仿宋" w:hAnsi="仿宋" w:eastAsia="仿宋" w:cs="仿宋"/>
                <w:color w:val="auto"/>
                <w:kern w:val="0"/>
                <w:sz w:val="24"/>
                <w:highlight w:val="none"/>
                <w:lang w:bidi="ar"/>
              </w:rPr>
              <w:t>、蓝光安全：蓝光对皮肤和眼睛紫外线危害、宽波段的光源对视网膜的曝辐射值检测 Ld(11mrad)、Lb(100mrad)、L(11mrad)、Ethr、dmin 要求符合 GB/T 20145-2006 标准；</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21</w:t>
            </w:r>
            <w:r>
              <w:rPr>
                <w:rFonts w:hint="eastAsia" w:ascii="仿宋" w:hAnsi="仿宋" w:eastAsia="仿宋" w:cs="仿宋"/>
                <w:color w:val="auto"/>
                <w:kern w:val="0"/>
                <w:sz w:val="24"/>
                <w:highlight w:val="none"/>
                <w:lang w:bidi="ar"/>
              </w:rPr>
              <w:t xml:space="preserve">、所投LED显示屏需通过抗电强度试验：在交流到电源入端与金属外框或可触及的金属结构件(与保护接地连接)间施加50Hz基本正弦波、1500V(有效值)的测试电压，1min满足，LED显示屏应有保护接地端子，单个LED星示屏模组的接地电阻应不大于0.1Ω，多个拼接的LED显示屏的金属外壳应与LED显示屏的钢架一起接地，且显示屏整体系统的接地电阻应不大于1Ω.                               </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22</w:t>
            </w:r>
            <w:r>
              <w:rPr>
                <w:rFonts w:hint="eastAsia" w:ascii="仿宋" w:hAnsi="仿宋" w:eastAsia="仿宋" w:cs="仿宋"/>
                <w:color w:val="auto"/>
                <w:kern w:val="0"/>
                <w:sz w:val="24"/>
                <w:highlight w:val="none"/>
                <w:lang w:bidi="ar"/>
              </w:rPr>
              <w:t>、为了提高LED显示屏使用寿命，所投LED显示屏需通过以下灯珠试验：灯珠耐焊耐热试验：Tmax=260℃，回流焊 2 次；灯珠常温寿命试验：Tc=25℃ Ifr=10mA IFg=10mA Ifb=10mA通电 1000H；灯珠冷热冲击试验：-50℃～130℃各 15min 200 次，；灯珠高温贮存试验：Ta=100℃ 贮存 500H；灯珠抗静电（ESD）测试：HBM 模式：ESD＞20；灯珠漏电流试验：反向电压 Vr=10V漏电流 0.2uA；灯珠红墨水试验：回流焊1 次，纯红墨水常温浸泡 24H</w:t>
            </w:r>
          </w:p>
          <w:p w14:paraId="25060A0F">
            <w:pPr>
              <w:widowControl/>
              <w:numPr>
                <w:ilvl w:val="0"/>
                <w:numId w:val="0"/>
              </w:numPr>
              <w:jc w:val="left"/>
              <w:textAlignment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highlight w:val="none"/>
                <w:lang w:val="en-US" w:eastAsia="zh-CN" w:bidi="ar"/>
              </w:rPr>
              <w:t>23、</w:t>
            </w:r>
            <w:r>
              <w:rPr>
                <w:rFonts w:hint="eastAsia" w:ascii="仿宋" w:hAnsi="仿宋" w:eastAsia="仿宋" w:cs="仿宋"/>
                <w:color w:val="auto"/>
                <w:kern w:val="0"/>
                <w:sz w:val="24"/>
                <w:highlight w:val="none"/>
                <w:lang w:bidi="ar"/>
              </w:rPr>
              <w:t>E厅大屏配套控制卡，配套视频处理器，配套电源及线材辅材和安装调试</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959A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12.288</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21CB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53322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2084C7">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1.2F厅LEDP1.53</w:t>
            </w:r>
          </w:p>
        </w:tc>
      </w:tr>
      <w:tr w14:paraId="075BA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BC0D2">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EAFE4">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商品名称</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088DF">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主要性能指标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8D4B6">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数量</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B8C71">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单位</w:t>
            </w:r>
          </w:p>
        </w:tc>
      </w:tr>
      <w:tr w14:paraId="7DCFE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5B82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1D4E5">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F厅LED大屏</w:t>
            </w:r>
          </w:p>
        </w:tc>
        <w:tc>
          <w:tcPr>
            <w:tcW w:w="12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E2FD7">
            <w:pPr>
              <w:widowControl/>
              <w:numPr>
                <w:ilvl w:val="0"/>
                <w:numId w:val="7"/>
              </w:numPr>
              <w:jc w:val="left"/>
              <w:textAlignment w:val="center"/>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像素点间距：≤1.54mm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2、像素构成：表贴三合一1212（1R1G1B）；</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3、像素密度：≥422500点/㎡；</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4、白平衡亮度：≥500cd/㎡；；亮度调节功能：支持配套软件0-100%可调；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、亮度均匀性：≥98.5%；</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、色度均匀性：±0.001Cx，Cy之内；</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、色温：≥3000-20000可调；色温为 6500K 时，100%,75%,50%,25%四档电平白场调节色温误差≤100K。</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8</w:t>
            </w:r>
            <w:r>
              <w:rPr>
                <w:rFonts w:hint="eastAsia" w:ascii="仿宋" w:hAnsi="仿宋" w:eastAsia="仿宋" w:cs="仿宋"/>
                <w:color w:val="auto"/>
                <w:kern w:val="0"/>
                <w:sz w:val="24"/>
                <w:highlight w:val="none"/>
                <w:lang w:bidi="ar"/>
              </w:rPr>
              <w:t>、模组平整度：≤0.1mm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9</w:t>
            </w:r>
            <w:r>
              <w:rPr>
                <w:rFonts w:hint="eastAsia" w:ascii="仿宋" w:hAnsi="仿宋" w:eastAsia="仿宋" w:cs="仿宋"/>
                <w:color w:val="auto"/>
                <w:kern w:val="0"/>
                <w:sz w:val="24"/>
                <w:highlight w:val="none"/>
                <w:lang w:bidi="ar"/>
              </w:rPr>
              <w:t>、最高对比度：≥8000：1；</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0</w:t>
            </w:r>
            <w:r>
              <w:rPr>
                <w:rFonts w:hint="eastAsia" w:ascii="仿宋" w:hAnsi="仿宋" w:eastAsia="仿宋" w:cs="仿宋"/>
                <w:color w:val="auto"/>
                <w:kern w:val="0"/>
                <w:sz w:val="24"/>
                <w:highlight w:val="none"/>
                <w:lang w:bidi="ar"/>
              </w:rPr>
              <w:t>、视角（水平、垂直）：H≥170°，V≥170°；</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1</w:t>
            </w:r>
            <w:r>
              <w:rPr>
                <w:rFonts w:hint="eastAsia" w:ascii="仿宋" w:hAnsi="仿宋" w:eastAsia="仿宋" w:cs="仿宋"/>
                <w:color w:val="auto"/>
                <w:kern w:val="0"/>
                <w:sz w:val="24"/>
                <w:highlight w:val="none"/>
                <w:lang w:bidi="ar"/>
              </w:rPr>
              <w:t>、灰度等级：≥65536 级，信号处理深度≥16bit。亮度 100nit,灰度等级≥14bit,刷新≥2500HZ上;亮度 200nit,灰度等级16bit,刷新≥3200Hz上;亮度 500nit，灰度等级 16bit,刷新≥3840HZ 以上。</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2</w:t>
            </w:r>
            <w:r>
              <w:rPr>
                <w:rFonts w:hint="eastAsia" w:ascii="仿宋" w:hAnsi="仿宋" w:eastAsia="仿宋" w:cs="仿宋"/>
                <w:color w:val="auto"/>
                <w:kern w:val="0"/>
                <w:sz w:val="24"/>
                <w:highlight w:val="none"/>
                <w:lang w:bidi="ar"/>
              </w:rPr>
              <w:t>、换帧频率：50HZ&amp;60HZ，支持 120Hz~144Hz 等3D 显示技术。</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、刷新频率：≥3840Hz；</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4</w:t>
            </w:r>
            <w:r>
              <w:rPr>
                <w:rFonts w:hint="eastAsia" w:ascii="仿宋" w:hAnsi="仿宋" w:eastAsia="仿宋" w:cs="仿宋"/>
                <w:color w:val="auto"/>
                <w:kern w:val="0"/>
                <w:sz w:val="24"/>
                <w:highlight w:val="none"/>
                <w:lang w:bidi="ar"/>
              </w:rPr>
              <w:t>、电信端口传导共模（非对称） 骚扰电压限值（EMC）：符合GB/T9254-2021 Class A限值要求；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、阻燃（防火）：PCB的阻燃等级达到V-0级；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软件功能：可实时监控显示屏工作状态，具有故障自动告警功能，发生故障立即发消息到指定邮箱，及时处理;具有多点测温系统，均衡散热，防止局部温度过高造成色彩漂移，并提高显示屏寿命;LED显示屏具有电源温度控制系统，提供电源实时温度监控，超出设定温度自动报警，防止过温失效;支持视频、音频、图像、文字、Flash、Gif 等形式的媒体文件播放;支持Microsoft office 的Word、Excel、PPT显示;支持时钟、计时、天气预报显示;支持外部视频信号(TV、AV、S-Video、复合视频)播放。</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、具备发送系统输出信号热备份功能，可实现无延迟切换。电源备份(支持 N+1冗余备份或双电源备份,当其中一路电源故障时，另一路备份电源立即启动工作，保证屏幕正常显示)，支持采用双系统备份，两套发送卡和两套接收卡互为备份方式，任一套发送卡和接收卡故障不影响屏体正常显示，支持工作状态下热插拔维护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18</w:t>
            </w:r>
            <w:r>
              <w:rPr>
                <w:rFonts w:hint="eastAsia" w:ascii="仿宋" w:hAnsi="仿宋" w:eastAsia="仿宋" w:cs="仿宋"/>
                <w:color w:val="auto"/>
                <w:kern w:val="0"/>
                <w:sz w:val="24"/>
                <w:highlight w:val="none"/>
                <w:lang w:bidi="ar"/>
              </w:rPr>
              <w:t>、模组表面绝缘：模组表面绝缘应&gt;1000MQ，L&amp;N 到外壳表面绝缘测试，500V，120s电阻值&gt;2MQ；</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19</w:t>
            </w:r>
            <w:r>
              <w:rPr>
                <w:rFonts w:hint="eastAsia" w:ascii="仿宋" w:hAnsi="仿宋" w:eastAsia="仿宋" w:cs="仿宋"/>
                <w:color w:val="auto"/>
                <w:kern w:val="0"/>
                <w:sz w:val="24"/>
                <w:highlight w:val="none"/>
                <w:lang w:bidi="ar"/>
              </w:rPr>
              <w:t>、功耗：≤598W/㎡，平均功耗：≤300W/㎡；</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20</w:t>
            </w:r>
            <w:r>
              <w:rPr>
                <w:rFonts w:hint="eastAsia" w:ascii="仿宋" w:hAnsi="仿宋" w:eastAsia="仿宋" w:cs="仿宋"/>
                <w:color w:val="auto"/>
                <w:kern w:val="0"/>
                <w:sz w:val="24"/>
                <w:highlight w:val="none"/>
                <w:lang w:bidi="ar"/>
              </w:rPr>
              <w:t>、蓝光安全：蓝光对皮肤和眼睛紫外线危害、宽波段的光源对视网膜的曝辐射值检测 Ld(11mrad)、Lb(100mrad)、L(11mrad)、Ethr、dmin 要求符合 GB/T 20145-2006 标准；</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21</w:t>
            </w:r>
            <w:r>
              <w:rPr>
                <w:rFonts w:hint="eastAsia" w:ascii="仿宋" w:hAnsi="仿宋" w:eastAsia="仿宋" w:cs="仿宋"/>
                <w:color w:val="auto"/>
                <w:kern w:val="0"/>
                <w:sz w:val="24"/>
                <w:highlight w:val="none"/>
                <w:lang w:bidi="ar"/>
              </w:rPr>
              <w:t xml:space="preserve">、所投LED显示屏需通过抗电强度试验：在交流到电源入端与金属外框或可触及的金属结构件(与保护接地连接)间施加50Hz基本正弦波、1500V(有效值)的测试电压，1min满足，LED显示屏应有保护接地端子，单个LED星示屏模组的接地电阻应不大于0.1Ω，多个拼接的LED显示屏的金属外壳应与LED显示屏的钢架一起接地，且显示屏整体系统的接地电阻应不大于1Ω.                               </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22</w:t>
            </w:r>
            <w:r>
              <w:rPr>
                <w:rFonts w:hint="eastAsia" w:ascii="仿宋" w:hAnsi="仿宋" w:eastAsia="仿宋" w:cs="仿宋"/>
                <w:color w:val="auto"/>
                <w:kern w:val="0"/>
                <w:sz w:val="24"/>
                <w:highlight w:val="none"/>
                <w:lang w:bidi="ar"/>
              </w:rPr>
              <w:t>、为了提高LED显示屏使用寿命，所投LED显示屏需通过以下灯珠试验：灯珠耐焊耐热试验：Tmax=260℃，回流焊 2 次；灯珠常温寿命试验：Tc=25℃ Ifr=10mA IFg=10mA Ifb=10mA通电 1000H；灯珠冷热冲击试验：-50℃～130℃各 15min 200 次，；灯珠高温贮存试验：Ta=100℃ 贮存 500H；灯珠抗静电（ESD）测试：HBM 模式：ESD＞20；灯珠漏电流试验：反向电压 Vr=10V漏电流 0.2uA；灯珠红墨水试验：回流焊1 次，纯红墨水常温浸泡 24H</w:t>
            </w:r>
          </w:p>
          <w:p w14:paraId="60D47F7F">
            <w:pPr>
              <w:widowControl/>
              <w:numPr>
                <w:ilvl w:val="0"/>
                <w:numId w:val="0"/>
              </w:numPr>
              <w:jc w:val="left"/>
              <w:textAlignment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highlight w:val="none"/>
                <w:lang w:val="en-US" w:eastAsia="zh-CN" w:bidi="ar"/>
              </w:rPr>
              <w:t>23、F</w:t>
            </w:r>
            <w:r>
              <w:rPr>
                <w:rFonts w:hint="eastAsia" w:ascii="仿宋" w:hAnsi="仿宋" w:eastAsia="仿宋" w:cs="仿宋"/>
                <w:color w:val="auto"/>
                <w:kern w:val="0"/>
                <w:sz w:val="24"/>
                <w:highlight w:val="none"/>
                <w:lang w:bidi="ar"/>
              </w:rPr>
              <w:t xml:space="preserve">厅大屏配套控制卡，配套视频处理器，配套电源及线材辅材和安装调试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3CDE4">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18.43</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5A8E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77C2B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F7929C1">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1.3圆厅和F厅过道条屏</w:t>
            </w:r>
          </w:p>
        </w:tc>
      </w:tr>
      <w:tr w14:paraId="4944D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1D748">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E5E2F">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商品名称</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49AEB">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主要性能指标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5103D">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数量</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C5AD">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单位</w:t>
            </w:r>
          </w:p>
        </w:tc>
      </w:tr>
      <w:tr w14:paraId="68A53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4CD2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6C7EE">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圆厅LED显示屏P1.5</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4.16m*0.48m*4</w:t>
            </w:r>
          </w:p>
        </w:tc>
        <w:tc>
          <w:tcPr>
            <w:tcW w:w="12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EA188">
            <w:pPr>
              <w:keepNext w:val="0"/>
              <w:keepLines w:val="0"/>
              <w:widowControl/>
              <w:suppressLineNumbers w:val="0"/>
              <w:jc w:val="both"/>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szCs w:val="24"/>
                <w:highlight w:val="none"/>
                <w:lang w:val="en-US" w:eastAsia="zh-CN" w:bidi="ar"/>
              </w:rPr>
              <w:t>1、</w:t>
            </w:r>
            <w:r>
              <w:rPr>
                <w:rFonts w:hint="eastAsia" w:ascii="仿宋" w:hAnsi="仿宋" w:eastAsia="仿宋" w:cs="仿宋"/>
                <w:color w:val="auto"/>
                <w:kern w:val="0"/>
                <w:sz w:val="24"/>
                <w:highlight w:val="none"/>
                <w:lang w:bidi="ar"/>
              </w:rPr>
              <w:t>像素点间距：≤1.54mm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2、像素构成：表贴三合一1212（1R1G1B）；</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3、像素密度：≥422500点/㎡；</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4、白平衡亮度：≥500cd/㎡；；亮度调节功能：支持配套软件0-100%可调；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、亮度均匀性：≥98.5%；</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、色度均匀性：±0.001Cx，Cy之内；</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、色温：≥3000-20000可调；色温为 6500K 时，100%,75%,50%,25%四档电平白场调节色温误差≤100K。</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8</w:t>
            </w:r>
            <w:r>
              <w:rPr>
                <w:rFonts w:hint="eastAsia" w:ascii="仿宋" w:hAnsi="仿宋" w:eastAsia="仿宋" w:cs="仿宋"/>
                <w:color w:val="auto"/>
                <w:kern w:val="0"/>
                <w:sz w:val="24"/>
                <w:highlight w:val="none"/>
                <w:lang w:bidi="ar"/>
              </w:rPr>
              <w:t>、模组平整度：≤0.1mm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9</w:t>
            </w:r>
            <w:r>
              <w:rPr>
                <w:rFonts w:hint="eastAsia" w:ascii="仿宋" w:hAnsi="仿宋" w:eastAsia="仿宋" w:cs="仿宋"/>
                <w:color w:val="auto"/>
                <w:kern w:val="0"/>
                <w:sz w:val="24"/>
                <w:highlight w:val="none"/>
                <w:lang w:bidi="ar"/>
              </w:rPr>
              <w:t>、最高对比度：≥8000：1；</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0</w:t>
            </w:r>
            <w:r>
              <w:rPr>
                <w:rFonts w:hint="eastAsia" w:ascii="仿宋" w:hAnsi="仿宋" w:eastAsia="仿宋" w:cs="仿宋"/>
                <w:color w:val="auto"/>
                <w:kern w:val="0"/>
                <w:sz w:val="24"/>
                <w:highlight w:val="none"/>
                <w:lang w:bidi="ar"/>
              </w:rPr>
              <w:t>、视角（水平、垂直）：H≥170°，V≥170°；</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1</w:t>
            </w:r>
            <w:r>
              <w:rPr>
                <w:rFonts w:hint="eastAsia" w:ascii="仿宋" w:hAnsi="仿宋" w:eastAsia="仿宋" w:cs="仿宋"/>
                <w:color w:val="auto"/>
                <w:kern w:val="0"/>
                <w:sz w:val="24"/>
                <w:highlight w:val="none"/>
                <w:lang w:bidi="ar"/>
              </w:rPr>
              <w:t>、灰度等级：≥65536 级，信号处理深度≥16bit。亮度 100nit,灰度等级≥14bit,刷新≥2500HZ上;亮度 200nit,灰度等级16bit,刷新≥3200Hz上;亮度 500nit，灰度等级 16bit,刷新≥3840HZ 以上。</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2</w:t>
            </w:r>
            <w:r>
              <w:rPr>
                <w:rFonts w:hint="eastAsia" w:ascii="仿宋" w:hAnsi="仿宋" w:eastAsia="仿宋" w:cs="仿宋"/>
                <w:color w:val="auto"/>
                <w:kern w:val="0"/>
                <w:sz w:val="24"/>
                <w:highlight w:val="none"/>
                <w:lang w:bidi="ar"/>
              </w:rPr>
              <w:t>、换帧频率：50HZ&amp;60HZ，支持 120Hz~144Hz 等3D 显示技术。</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、刷新频率：≥3840Hz；</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4</w:t>
            </w:r>
            <w:r>
              <w:rPr>
                <w:rFonts w:hint="eastAsia" w:ascii="仿宋" w:hAnsi="仿宋" w:eastAsia="仿宋" w:cs="仿宋"/>
                <w:color w:val="auto"/>
                <w:kern w:val="0"/>
                <w:sz w:val="24"/>
                <w:highlight w:val="none"/>
                <w:lang w:bidi="ar"/>
              </w:rPr>
              <w:t>、电信端口传导共模（非对称） 骚扰电压限值（EMC）：符合GB/T9254-2021 Class A限值要求；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、阻燃（防火）：PCB的阻燃等级达到V-0级；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软件功能：可实时监控显示屏工作状态，具有故障自动告警功能，发生故障立即发消息到指定邮箱，及时处理;具有多点测温系统，均衡散热，防止局部温度过高造成色彩漂移，并提高显示屏寿命;LED显示屏具有电源温度控制系统，提供电源实时温度监控，超出设定温度自动报警，防止过温失效;支持视频、音频、图像、文字、Flash、Gif 等形式的媒体文件播放;支持Microsoft office 的Word、Excel、PPT显示;支持时钟、计时、天气预报显示;支持外部视频信号(TV、AV、S-Video、复合视频)播放。</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、具备发送系统输出信号热备份功能，可实现无延迟切换。电源备份(支持 N+1冗余备份或双电源备份,当其中一路电源故障时，另一路备份电源立即启动工作，保证屏幕正常显示)，支持采用双系统备份，两套发送卡和两套接收卡互为备份方式，任一套发送卡和接收卡故障不影响屏体正常显示，支持工作状态下热插拔维护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18</w:t>
            </w:r>
            <w:r>
              <w:rPr>
                <w:rFonts w:hint="eastAsia" w:ascii="仿宋" w:hAnsi="仿宋" w:eastAsia="仿宋" w:cs="仿宋"/>
                <w:color w:val="auto"/>
                <w:kern w:val="0"/>
                <w:sz w:val="24"/>
                <w:highlight w:val="none"/>
                <w:lang w:bidi="ar"/>
              </w:rPr>
              <w:t>、模组表面绝缘：模组表面绝缘应&gt;1000MQ，L&amp;N 到外壳表面绝缘测试，500V，120s电阻值&gt;2MQ；</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19</w:t>
            </w:r>
            <w:r>
              <w:rPr>
                <w:rFonts w:hint="eastAsia" w:ascii="仿宋" w:hAnsi="仿宋" w:eastAsia="仿宋" w:cs="仿宋"/>
                <w:color w:val="auto"/>
                <w:kern w:val="0"/>
                <w:sz w:val="24"/>
                <w:highlight w:val="none"/>
                <w:lang w:bidi="ar"/>
              </w:rPr>
              <w:t>、功耗：≤598W/㎡，平均功耗：≤300W/㎡；</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20</w:t>
            </w:r>
            <w:r>
              <w:rPr>
                <w:rFonts w:hint="eastAsia" w:ascii="仿宋" w:hAnsi="仿宋" w:eastAsia="仿宋" w:cs="仿宋"/>
                <w:color w:val="auto"/>
                <w:kern w:val="0"/>
                <w:sz w:val="24"/>
                <w:highlight w:val="none"/>
                <w:lang w:bidi="ar"/>
              </w:rPr>
              <w:t>、蓝光安全：蓝光对皮肤和眼睛紫外线危害、宽波段的光源对视网膜的曝辐射值检测 Ld(11mrad)、Lb(100mrad)、L(11mrad)、Ethr、dmin 要求符合 GB/T 20145-2006 标准；</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21</w:t>
            </w:r>
            <w:r>
              <w:rPr>
                <w:rFonts w:hint="eastAsia" w:ascii="仿宋" w:hAnsi="仿宋" w:eastAsia="仿宋" w:cs="仿宋"/>
                <w:color w:val="auto"/>
                <w:kern w:val="0"/>
                <w:sz w:val="24"/>
                <w:highlight w:val="none"/>
                <w:lang w:bidi="ar"/>
              </w:rPr>
              <w:t xml:space="preserve">、所投LED显示屏需通过抗电强度试验：在交流到电源入端与金属外框或可触及的金属结构件(与保护接地连接)间施加50Hz基本正弦波、1500V(有效值)的测试电压，1min满足，LED显示屏应有保护接地端子，单个LED星示屏模组的接地电阻应不大于0.1Ω，多个拼接的LED显示屏的金属外壳应与LED显示屏的钢架一起接地，且显示屏整体系统的接地电阻应不大于1Ω.                               </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22</w:t>
            </w:r>
            <w:r>
              <w:rPr>
                <w:rFonts w:hint="eastAsia" w:ascii="仿宋" w:hAnsi="仿宋" w:eastAsia="仿宋" w:cs="仿宋"/>
                <w:color w:val="auto"/>
                <w:kern w:val="0"/>
                <w:sz w:val="24"/>
                <w:highlight w:val="none"/>
                <w:lang w:bidi="ar"/>
              </w:rPr>
              <w:t xml:space="preserve">、为了提高LED显示屏使用寿命，所投LED显示屏需通过以下灯珠试验：灯珠耐焊耐热试验：Tmax=260℃，回流焊 2 次；灯珠常温寿命试验：Tc=25℃ Ifr=10mA IFg=10mA Ifb=10mA通电 1000H；灯珠冷热冲击试验：-50℃～130℃各 15min 200 次，；灯珠高温贮存试验：Ta=100℃ 贮存 500H；灯珠抗静电（ESD）测试：HBM 模式：ESD＞20；灯珠漏电流试验：反向电压 Vr=10V漏电流 0.2uA；灯珠红墨水试验：回流焊1 次，纯红墨水常温浸泡 24H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AC47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7.9872</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F6FED">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0EE8B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49F1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6CBF4">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F厅LED显示屏P1.5</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3.2m*0.64m</w:t>
            </w:r>
          </w:p>
        </w:tc>
        <w:tc>
          <w:tcPr>
            <w:tcW w:w="12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30055">
            <w:pPr>
              <w:keepNext w:val="0"/>
              <w:keepLines w:val="0"/>
              <w:widowControl/>
              <w:suppressLineNumbers w:val="0"/>
              <w:jc w:val="both"/>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szCs w:val="24"/>
                <w:highlight w:val="none"/>
                <w:lang w:val="en-US" w:eastAsia="zh-CN" w:bidi="ar"/>
              </w:rPr>
              <w:t>1、</w:t>
            </w:r>
            <w:r>
              <w:rPr>
                <w:rFonts w:hint="eastAsia" w:ascii="仿宋" w:hAnsi="仿宋" w:eastAsia="仿宋" w:cs="仿宋"/>
                <w:color w:val="auto"/>
                <w:kern w:val="0"/>
                <w:sz w:val="24"/>
                <w:highlight w:val="none"/>
                <w:lang w:bidi="ar"/>
              </w:rPr>
              <w:t>像素点间距：≤1.54mm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2、像素构成：表贴三合一1212（1R1G1B）；</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3、像素密度：≥422500点/㎡；</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4、白平衡亮度：≥500cd/㎡；；亮度调节功能：支持配套软件0-100%可调；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、亮度均匀性：≥98.5%；</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、色度均匀性：±0.001Cx，Cy之内；</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、色温：≥3000-20000可调；色温为 6500K 时，100%,75%,50%,25%四档电平白场调节色温误差≤100K。</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8</w:t>
            </w:r>
            <w:r>
              <w:rPr>
                <w:rFonts w:hint="eastAsia" w:ascii="仿宋" w:hAnsi="仿宋" w:eastAsia="仿宋" w:cs="仿宋"/>
                <w:color w:val="auto"/>
                <w:kern w:val="0"/>
                <w:sz w:val="24"/>
                <w:highlight w:val="none"/>
                <w:lang w:bidi="ar"/>
              </w:rPr>
              <w:t>、模组平整度：≤0.1mm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9</w:t>
            </w:r>
            <w:r>
              <w:rPr>
                <w:rFonts w:hint="eastAsia" w:ascii="仿宋" w:hAnsi="仿宋" w:eastAsia="仿宋" w:cs="仿宋"/>
                <w:color w:val="auto"/>
                <w:kern w:val="0"/>
                <w:sz w:val="24"/>
                <w:highlight w:val="none"/>
                <w:lang w:bidi="ar"/>
              </w:rPr>
              <w:t>、最高对比度：≥8000：1；</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0</w:t>
            </w:r>
            <w:r>
              <w:rPr>
                <w:rFonts w:hint="eastAsia" w:ascii="仿宋" w:hAnsi="仿宋" w:eastAsia="仿宋" w:cs="仿宋"/>
                <w:color w:val="auto"/>
                <w:kern w:val="0"/>
                <w:sz w:val="24"/>
                <w:highlight w:val="none"/>
                <w:lang w:bidi="ar"/>
              </w:rPr>
              <w:t>、视角（水平、垂直）：H≥170°，V≥170°；</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1</w:t>
            </w:r>
            <w:r>
              <w:rPr>
                <w:rFonts w:hint="eastAsia" w:ascii="仿宋" w:hAnsi="仿宋" w:eastAsia="仿宋" w:cs="仿宋"/>
                <w:color w:val="auto"/>
                <w:kern w:val="0"/>
                <w:sz w:val="24"/>
                <w:highlight w:val="none"/>
                <w:lang w:bidi="ar"/>
              </w:rPr>
              <w:t>、灰度等级：≥65536 级，信号处理深度≥16bit。亮度 100nit,灰度等级≥14bit,刷新≥2500HZ上;亮度 200nit,灰度等级16bit,刷新≥3200Hz上;亮度 500nit，灰度等级 16bit,刷新≥3840HZ 以上。</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2</w:t>
            </w:r>
            <w:r>
              <w:rPr>
                <w:rFonts w:hint="eastAsia" w:ascii="仿宋" w:hAnsi="仿宋" w:eastAsia="仿宋" w:cs="仿宋"/>
                <w:color w:val="auto"/>
                <w:kern w:val="0"/>
                <w:sz w:val="24"/>
                <w:highlight w:val="none"/>
                <w:lang w:bidi="ar"/>
              </w:rPr>
              <w:t>、换帧频率：50HZ&amp;60HZ，支持 120Hz~144Hz 等3D 显示技术。</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、刷新频率：≥3840Hz；</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4</w:t>
            </w:r>
            <w:r>
              <w:rPr>
                <w:rFonts w:hint="eastAsia" w:ascii="仿宋" w:hAnsi="仿宋" w:eastAsia="仿宋" w:cs="仿宋"/>
                <w:color w:val="auto"/>
                <w:kern w:val="0"/>
                <w:sz w:val="24"/>
                <w:highlight w:val="none"/>
                <w:lang w:bidi="ar"/>
              </w:rPr>
              <w:t>、电信端口传导共模（非对称） 骚扰电压限值（EMC）：符合GB/T9254-2021 Class A限值要求；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、阻燃（防火）：PCB的阻燃等级达到V-0级；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软件功能：可实时监控显示屏工作状态，具有故障自动告警功能，发生故障立即发消息到指定邮箱，及时处理;具有多点测温系统，均衡散热，防止局部温度过高造成色彩漂移，并提高显示屏寿命;LED显示屏具有电源温度控制系统，提供电源实时温度监控，超出设定温度自动报警，防止过温失效;支持视频、音频、图像、文字、Flash、Gif 等形式的媒体文件播放;支持Microsoft office 的Word、Excel、PPT显示;支持时钟、计时、天气预报显示;支持外部视频信号(TV、AV、S-Video、复合视频)播放。</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、具备发送系统输出信号热备份功能，可实现无延迟切换。电源备份(支持 N+1冗余备份或双电源备份,当其中一路电源故障时，另一路备份电源立即启动工作，保证屏幕正常显示)，支持采用双系统备份，两套发送卡和两套接收卡互为备份方式，任一套发送卡和接收卡故障不影响屏体正常显示，支持工作状态下热插拔维护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18</w:t>
            </w:r>
            <w:r>
              <w:rPr>
                <w:rFonts w:hint="eastAsia" w:ascii="仿宋" w:hAnsi="仿宋" w:eastAsia="仿宋" w:cs="仿宋"/>
                <w:color w:val="auto"/>
                <w:kern w:val="0"/>
                <w:sz w:val="24"/>
                <w:highlight w:val="none"/>
                <w:lang w:bidi="ar"/>
              </w:rPr>
              <w:t>、模组表面绝缘：模组表面绝缘应&gt;1000MQ，L&amp;N 到外壳表面绝缘测试，500V，120s电阻值&gt;2MQ；</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19</w:t>
            </w:r>
            <w:r>
              <w:rPr>
                <w:rFonts w:hint="eastAsia" w:ascii="仿宋" w:hAnsi="仿宋" w:eastAsia="仿宋" w:cs="仿宋"/>
                <w:color w:val="auto"/>
                <w:kern w:val="0"/>
                <w:sz w:val="24"/>
                <w:highlight w:val="none"/>
                <w:lang w:bidi="ar"/>
              </w:rPr>
              <w:t>、功耗：≤598W/㎡，平均功耗：≤300W/㎡；</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20</w:t>
            </w:r>
            <w:r>
              <w:rPr>
                <w:rFonts w:hint="eastAsia" w:ascii="仿宋" w:hAnsi="仿宋" w:eastAsia="仿宋" w:cs="仿宋"/>
                <w:color w:val="auto"/>
                <w:kern w:val="0"/>
                <w:sz w:val="24"/>
                <w:highlight w:val="none"/>
                <w:lang w:bidi="ar"/>
              </w:rPr>
              <w:t>、蓝光安全：蓝光对皮肤和眼睛紫外线危害、宽波段的光源对视网膜的曝辐射值检测 Ld(11mrad)、Lb(100mrad)、L(11mrad)、Ethr、dmin 要求符合 GB/T 20145-2006 标准；</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21</w:t>
            </w:r>
            <w:r>
              <w:rPr>
                <w:rFonts w:hint="eastAsia" w:ascii="仿宋" w:hAnsi="仿宋" w:eastAsia="仿宋" w:cs="仿宋"/>
                <w:color w:val="auto"/>
                <w:kern w:val="0"/>
                <w:sz w:val="24"/>
                <w:highlight w:val="none"/>
                <w:lang w:bidi="ar"/>
              </w:rPr>
              <w:t xml:space="preserve">、所投LED显示屏需通过抗电强度试验：在交流到电源入端与金属外框或可触及的金属结构件(与保护接地连接)间施加50Hz基本正弦波、1500V(有效值)的测试电压，1min满足，LED显示屏应有保护接地端子，单个LED星示屏模组的接地电阻应不大于0.1Ω，多个拼接的LED显示屏的金属外壳应与LED显示屏的钢架一起接地，且显示屏整体系统的接地电阻应不大于1Ω.                               </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22</w:t>
            </w:r>
            <w:r>
              <w:rPr>
                <w:rFonts w:hint="eastAsia" w:ascii="仿宋" w:hAnsi="仿宋" w:eastAsia="仿宋" w:cs="仿宋"/>
                <w:color w:val="auto"/>
                <w:kern w:val="0"/>
                <w:sz w:val="24"/>
                <w:highlight w:val="none"/>
                <w:lang w:bidi="ar"/>
              </w:rPr>
              <w:t xml:space="preserve">、为了提高LED显示屏使用寿命，所投LED显示屏需通过以下灯珠试验：灯珠耐焊耐热试验：Tmax=260℃，回流焊 2 次；灯珠常温寿命试验：Tc=25℃ Ifr=10mA IFg=10mA Ifb=10mA通电 1000H；灯珠冷热冲击试验：-50℃～130℃各 15min 200 次，；灯珠高温贮存试验：Ta=100℃ 贮存 500H；灯珠抗静电（ESD）测试：HBM 模式：ESD＞20；灯珠漏电流试验：反向电压 Vr=10V漏电流 0.2uA；灯珠红墨水试验：回流焊1 次，纯红墨水常温浸泡 24H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A406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2.048</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455C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43BDD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99B8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5DD54">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接收卡</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2A86A">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highlight w:val="none"/>
                <w:lang w:bidi="ar"/>
              </w:rPr>
              <w:t>1、单卡带载分辨率</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512×512@60Hz；</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2、无需转接板，单卡自带HUB75接口，更加稳定;</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3、支持逐点亮色度校正，可以对每个灯点的亮度和色度进行校正，有效消除色差，使整屏的亮度和色度达到高度均匀一致，提高显示屏的画质；</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4、通过软件调节，可以解决箱体或灯板之间因拼接导致的亮暗线问题</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5、配合支持3D功能的独立主控，在软件或独立主控的操作面板上开启3D功能，并设置3D参数，使画面显示3D效果；</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6、Mapping功能开启，在箱体上显示控制器编号、接收卡编号和网口信息，清晰获取接收卡的位置和走线方式；</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7、支持数据组mapping，以数据组为单位显示打屏画面，清晰获取每组数据在箱体的位置；</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8、可以监测自身的温度和电压，无需其他外设，在软件上可以查看接收卡的温度和电压；</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9、检测发送设备与接收卡间或接收卡与接收卡间的网络通讯质量，记录错误包数，协助排除网络通讯隐患；</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10、支持5pin液晶模块，用于显示接收卡的温度、电压、单次运行时间和总运行时间；</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11、</w:t>
            </w:r>
            <w:r>
              <w:rPr>
                <w:rFonts w:hint="eastAsia" w:ascii="仿宋" w:hAnsi="仿宋" w:eastAsia="仿宋" w:cs="仿宋"/>
                <w:color w:val="auto"/>
                <w:kern w:val="0"/>
                <w:sz w:val="24"/>
                <w:highlight w:val="none"/>
                <w:lang w:val="en-US" w:eastAsia="zh-CN" w:bidi="ar"/>
              </w:rPr>
              <w:t>在 LCT 上</w:t>
            </w:r>
            <w:r>
              <w:rPr>
                <w:rFonts w:hint="eastAsia" w:ascii="仿宋" w:hAnsi="仿宋" w:eastAsia="仿宋" w:cs="仿宋"/>
                <w:color w:val="auto"/>
                <w:kern w:val="0"/>
                <w:sz w:val="24"/>
                <w:highlight w:val="none"/>
                <w:lang w:bidi="ar"/>
              </w:rPr>
              <w:t>可以将指定图片设置为显示屏的开机画面、网线断开或无视频信号时的画面；</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12、RGB独立Gamma调节技术增加调节维度，通过对“红Gamma”、“绿Gamma”、“蓝Gamma”分别进行调节，有效控制显示屏低灰不均匀、白平衡漂移等问题，使画面更加真实，提高色彩调节的灵活性；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13、降低视频源在接收卡端的延迟，延迟低至1帧。(针对使用内建RAM的驱动IC的灯板)；</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14、支持回读接收卡的固件程序并保存到本地；</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16、检测发送卡设备与接收卡间或接收卡与接收卡间的网线连接，记录网线断开的次数；</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17、通过主备冗余机制增加接收卡间网线级联的可靠性。主备级联线路中，当其中一条线路出现故障时，另一条线路会即时工作，保证显示屏正常工作；</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18、通过电源指示灯和状态指示灯不同闪烁状态可以判断，屏体工作状态，无需软件；</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19、画面能以90°的倍数（0°/90°/180°/270°）旋转显示；</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5E55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22</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88A7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张</w:t>
            </w:r>
          </w:p>
        </w:tc>
      </w:tr>
      <w:tr w14:paraId="566CB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6D889">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C65A9">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处理器</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326A0">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highlight w:val="none"/>
                <w:lang w:bidi="ar"/>
              </w:rPr>
              <w:t>1、处理器主频≥1.8GHz，运行内存≥1GB、板载≥16GB，操作系统≥Android11</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2、支持 H.264、H.265、VP94K@60Hz 高清视频硬解码播放，支持1080P的视频硬解码</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3、接口带载：≥2路输出网口，≥130万像素点带载能力，≥1路USB3.0接口，支持U 盘节目导入播放</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4、支持千兆有线网络、支持立体音频输出</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5、支持 HDMI</w:t>
            </w:r>
            <w:r>
              <w:rPr>
                <w:rFonts w:hint="eastAsia" w:ascii="仿宋" w:hAnsi="仿宋" w:eastAsia="仿宋" w:cs="仿宋"/>
                <w:color w:val="auto"/>
                <w:kern w:val="0"/>
                <w:sz w:val="24"/>
                <w:highlight w:val="none"/>
                <w:lang w:val="en-US" w:eastAsia="zh-CN" w:bidi="ar"/>
              </w:rPr>
              <w:t xml:space="preserve"> </w:t>
            </w:r>
            <w:r>
              <w:rPr>
                <w:rFonts w:hint="eastAsia" w:ascii="仿宋" w:hAnsi="仿宋" w:eastAsia="仿宋" w:cs="仿宋"/>
                <w:color w:val="auto"/>
                <w:kern w:val="0"/>
                <w:sz w:val="24"/>
                <w:highlight w:val="none"/>
                <w:lang w:bidi="ar"/>
              </w:rPr>
              <w:t>LOOp、支持 HDMI输入模式及全屏自适应播放</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6、支持双wii(AP和station互相切换，使用同一个芯片)</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7、支持4G、5G联网功能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8、支持板载亮度传感器接口，支持自动和定时的智能亮度调节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9、支持PC 节目发布和显示屏控制、局域网节目发布和显示屏控制、手机节目发布和显示屏控制</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10、支持集群远程节目发布和显示屏控制、集群远程监控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11、支持连接传感器转接板，可以扩展连接多种传感器(如风速风向传感器，温湿度传感器，噪声传感器，PM2.5传感器等)</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12、支持内外视频源切换</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13、支持窗口打折: 文本 炫彩文字 图片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1F22E">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A1D9C">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619B8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E7AF2A">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1.4摄像头存储</w:t>
            </w:r>
          </w:p>
        </w:tc>
      </w:tr>
      <w:tr w14:paraId="356E3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7A9FB">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C5F5">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商品名称</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34E82">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主要性能指标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F9166">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数量</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A2214">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单位</w:t>
            </w:r>
          </w:p>
        </w:tc>
      </w:tr>
      <w:tr w14:paraId="700A6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1154">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A9E66">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网络摄像机</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66CD4">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摄像机像素≥200万半球网络摄像机 分辨率≥1920 × 1080 @25 fps，在该分辨率下可输出实时图像 支持背光补偿，强光抑制，3D数字降噪，≥120 dB宽动态，适应不同环境 支持Smart侦测：越界侦测，区域入侵侦测 支持萤石平台接入 采用高效阵列红外灯，使用寿命长，红外照射距离最远可达30 m ≥512 GB MicroSD/MicroSDHC/MicroSDXC卡本地存储 ≥支持1路报警输入，1路报警输出（报警输出最大支持DC12 V，30 mA），1路音频输入，1路音频输出 必须支持PoE供电 符合IP67，IK10，可靠性高  传感器类型：≥1/2.7" Progressive Scan CMOS 照度：彩色大于等于：0.005 Lux  宽动态≥：120 dB 调节角度：水平：0°~355°，垂直：0°~75°  景深范围：≥2.8 mm: 1 m~∞ 4 mm: 1.2 m~∞ 6 mm: 2.8 m~∞ 8 mm: 4.4 m~∞   焦距&amp;视场角：2.8 mm，水平视场角：108°，垂直视场角：59°，对角视场角：127° 4 mm，水平视场角：≥87°，垂直视场角：≥46°，对角视场角：≥105° 6 mm，水平视场角：≥54°，垂直视场角：≥29°，对角视场角：≥63° 8 mm，水平视场角：41°，垂直视场角：23°，对角视场角：48°   红外波长范围：850nm 补光灯类型：红外灯 补光距离：最远可达30 m  最大图像尺寸：1920 × 1080 视频压缩标准：主码流：H.265/H.264，支持超级智能编码 子码流：H.265/H.264/MJPEG  SD卡扩展：内置MicroSD/MicroSDHC/MicroSDXC 插槽，最大支持不低于512 GB 电源输出：DC12 V+poe，100 mA电源输出，建议用于拾音器供电 网络：1个RJ45 10 M/100 M自适应以太网口 音频：1路输入（Line in），最大输入幅值：3.3 Vpp，输入阻抗：4.7 kΩ，接口类型：非平衡 1路输出（Line out），最大输出幅值：3.3 Vpp，输出阻抗：100 Ω，接口类型：非平衡 报警：1路输入，1路输出（报警输出最大支持DC12 V，30 mA） 复位：支持  产品尺寸：Ø110.8 × 84.7 mm 包装尺寸：134 × 134 × 108 mm 设备重量：380 g 带包装重量：515 g 启动和工作温湿度：-30 ℃~60 ℃，湿度小于等于95%（无凝结） 电流及功耗：DC：12 V，0.55 A，最大功耗：大于等于6.6W PoE：IEEE 802.3af，CLASS 3，最大功耗：≥8.5 W 供电方式：DC：12 V ± 25%，支持防反接保护 PoE：IEEE 802.3af，CLASS 3 电源接口类型：≥Ø5.5 mm圆口 恢复出厂设置：支持RESET按键，支持客户端或浏览器恢复  防护：大于等于IP67，IK10，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DDFA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B2C1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0C004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1B586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B82AA">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硬盘录像机</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55390">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大于等于3U机架式大于等于16盘位嵌入式网络硬盘录像机，整机采用短机箱设计，至少搭载1+1冗余电源 【硬件规格】 存储接口：大于等于16个SATA接口，支持硬盘热插拔，可满配大于等于20TB硬盘 视频接口：大于等于4×HDMI，2×VGA 网络接口：大于等于4×RJ45 10/100/1000Mbps自适应以太网口 报警接口：大于等于16路报警输入，大于等于8路报警输出 串行接口：1路RS-232接口，2路半双工RS-485接口 USB接口：大于等于2×USB 2.0，4×USB 3.0 扩展接口：大于等于1×eSATA  【产品性能】 输入带宽：大于等于768Mbps（开启RAID后为512Mbps） 输出带宽：大于等于768Mbps（开启RAID后为512Mbps） 接入能力：128路H.264、H.265格式高清码流接入 解码能力：最大支持32×1080P 显示能力：最大支持大于等于8K+4K+1080P三异源输出 RAID模式：RAID0、RAID1、RAID5、RAID6、RAID10，支持全局热备盘。</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2A9C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0260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5A121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3D773">
            <w:pPr>
              <w:jc w:val="center"/>
              <w:rPr>
                <w:rFonts w:hint="eastAsia" w:ascii="仿宋" w:hAnsi="仿宋" w:eastAsia="仿宋" w:cs="仿宋"/>
                <w:i w:val="0"/>
                <w:iCs w:val="0"/>
                <w:color w:val="auto"/>
                <w:sz w:val="24"/>
                <w:szCs w:val="24"/>
                <w:highlight w:val="none"/>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9DE91">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硬盘录像机</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F8444">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整机采用短机箱设计，至少搭载1+1冗余电源 【硬件规格】 存储接口：大于等于24个SATA接口，支持硬盘热插拔，满配大于等于20TB硬盘 视频接口：大于等于4×HDMI，大于等于2×VGA 网络接口：大于等于4×RJ45 10/100/1000Mbps自适应以太网口 报警接口：大于等于16路报警输入，大于等于8路报警输出 串行接口：大于等于1路RS-232接口，大于等于2路半双工RS-485接口 USB接口：大于等于2×USB 2.0，4×USB 3.0 扩展接口：大于等于1×eSATA  【产品性能】 输入带宽：768Mbps（开启RAID后为512Mbps） 输出带宽：768Mbps（开启RAID后为512Mbps） 接入能力：大于等于128路H.264、H.265格式高清码流接入 解码能力：最大支持32×1080P 显示能力：最大支持大于等于8K+4K+1080P三异源输出 RAID模式：RAID0、RAID1、RAID5、RAID6、RAID10，支持全局热备盘。</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06019">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A5BC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6D2A7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09133">
            <w:pPr>
              <w:jc w:val="center"/>
              <w:rPr>
                <w:rFonts w:hint="eastAsia" w:ascii="仿宋" w:hAnsi="仿宋" w:eastAsia="仿宋" w:cs="仿宋"/>
                <w:i w:val="0"/>
                <w:iCs w:val="0"/>
                <w:color w:val="auto"/>
                <w:sz w:val="24"/>
                <w:szCs w:val="24"/>
                <w:highlight w:val="none"/>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59D3D">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存储硬盘</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BF3B3">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•支持≥8TB容量，≥3.5英寸，满足SATA3.0接口，≥5400RPM • 空气盘， CMR传统磁记录 • 传输速率不小于215MB/s，流畅存储视频有效防止丢帧 • 高级格式（AF）大于等于512e扇区技术，保障硬盘扇区4K对齐 • 需满足数据严苛的大于等于7*24小时运行可靠性、安全性的需求 • 应该支持3年有限质保服务 • 适用海拔范围小于等于-305m至3050m</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9DD32">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45</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91949">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个</w:t>
            </w:r>
          </w:p>
        </w:tc>
      </w:tr>
      <w:tr w14:paraId="2E8B0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2403C">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AFC38">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电脑</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AF5C9">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kern w:val="0"/>
                <w:sz w:val="24"/>
                <w:szCs w:val="24"/>
                <w:highlight w:val="none"/>
                <w:u w:val="none"/>
                <w:lang w:val="en-US" w:eastAsia="zh-CN" w:bidi="ar"/>
              </w:rPr>
              <w:t>主机英特尔CPU≥I5-12400，运行内存：DDR4-16GB运行内存，硬盘：512G，独立现卡显存：4G独显,操作系统W11, 显示器尺寸需≥21寸 分辨率1920*1080，配备无线键鼠套装</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D0C0E">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714F4">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00F8D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F0B6A31">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1.5安防管理平台</w:t>
            </w:r>
          </w:p>
        </w:tc>
      </w:tr>
      <w:tr w14:paraId="14108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22991">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BBDBA">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商品名称</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B841C">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主要性能指标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F202F">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数量</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D21CB">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单位</w:t>
            </w:r>
          </w:p>
        </w:tc>
      </w:tr>
      <w:tr w14:paraId="33E2E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2CA3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3D7A4">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安防管理平台</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EA547">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搭载≥第十代酷睿 CPU，≥16GB内存 DDR4高速内存，≥256GB SSD固态硬盘，预装正版WIN 10操作 系统 n 接口丰富，支持HDMI、DP高清音视频输出接口，独立音频输入/输出接口，双千兆网口，2个USB2.0+2个USB3.0接口 n 支持机架式安装，软硬一体，出厂预装海康互联客户端，设备扩容（一年）、消息推送VIP（1年）、智能 巡检VIP（1年）、数据存储VIP（1年）、大于等于9路长时预览（1年）支持接入大于等于1280路视频，大于等于512路门禁考勤，大于等于2048路网络设备，大于等于512路音频通道，大于等于2048路室内机，不低于32路访客机，大于等于512路消防设备， 大于等于32路消费机，配置不低于512个报警防区 n 支持视频监控、电视墙管理、门禁管理、访客管理、可视对讲、考勤管理、消费管理、广播系统、信息发布、消防系统、网络 管理、报警系统、智能巡检、智能分析、OA审批等系统或应用的“一体化”管理 n 支持本地、远程混合部署，业务应用无限距离 n 客户端/Web/APP/小程序多端协同，多用户在线，数据共享。</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838C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1A1D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套</w:t>
            </w:r>
          </w:p>
        </w:tc>
      </w:tr>
      <w:tr w14:paraId="64C6C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BA65D4D">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1.6解码器</w:t>
            </w:r>
          </w:p>
        </w:tc>
      </w:tr>
      <w:tr w14:paraId="3F83C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E95B3">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2EDA8">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商品名称</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8C29">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主要性能指标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43538">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数量</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1C446">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单位</w:t>
            </w:r>
          </w:p>
        </w:tc>
      </w:tr>
      <w:tr w14:paraId="7DDF2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8336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289F8">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解码器</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F6B86A6">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视频输入</w:t>
            </w:r>
          </w:p>
          <w:p w14:paraId="15AC6032">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支持电脑、视频会议终端等视频输入信号源，支持大于等于2路1080P@50/60 或1路4K@30，通过HDMI 1.4本地输入，HDMI可内嵌音频</w:t>
            </w:r>
          </w:p>
          <w:p w14:paraId="119949D9">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支持网络IPC、NVR等设备类型作为网络信号源输入</w:t>
            </w:r>
          </w:p>
          <w:p w14:paraId="73066021">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视频输出</w:t>
            </w:r>
          </w:p>
          <w:p w14:paraId="604D3330">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支持HDMI 1.4视频信号输出，大于等于支持4K分辨率（3840 × 2160@30 Hz）超高清输出；支持对接LED显示系统，视频输出最大的LED带载能力为单口大于等于260 W</w:t>
            </w:r>
          </w:p>
          <w:p w14:paraId="7E4E0395">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支持两种音频输出方式：HDMI内嵌音频和外置音频输出</w:t>
            </w:r>
          </w:p>
          <w:p w14:paraId="20914346">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视频编解码</w:t>
            </w:r>
          </w:p>
          <w:p w14:paraId="4F6E5045">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采用H.264/H.265编码标准，默认采用H.265，支持子码流及主码流编码</w:t>
            </w:r>
          </w:p>
          <w:p w14:paraId="44A953F6">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支持网络设备解码，支持H.264、H.265、Smart264、Smart265、MJPEG、HIK264等主流码流格式，支持PS、TS、ES、RTP等主流封装格式，支持子码流及主码流切换</w:t>
            </w:r>
          </w:p>
          <w:p w14:paraId="0E0A5F25">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至少最大支持3200w分辨率解码，具有256个解码通道，支持128路200W，或256路720P视频同时解码上墙</w:t>
            </w:r>
          </w:p>
          <w:p w14:paraId="1C8B461B">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支持加密码流、多轨码流、智能码流解码；支持码流修改和切换；支持解码异常提示</w:t>
            </w:r>
          </w:p>
          <w:p w14:paraId="5BFA1A3F">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电视墙功能</w:t>
            </w:r>
          </w:p>
          <w:p w14:paraId="5C326334">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支持单面电视墙拼接、开窗、窗口跨屏漫游、场景轮巡和窗口轮巡功能，单屏大于等于4个1080P或2个4K图层，单窗口支持大于等于1/4/6/8/9/16/25/36窗口分屏功能，整机最大支持大于等于64个场景，整机支持大于等于256个平台预案轮巡组</w:t>
            </w:r>
          </w:p>
          <w:p w14:paraId="336A72CE">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支持RTP\RTSP协议进行网络源预览，可通过客户端进行桌面投屏上墙</w:t>
            </w:r>
          </w:p>
          <w:p w14:paraId="03DA1BD5">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支持电视墙界面对网络信号源云台八个方向、自动扫描、光圈、调焦、聚焦、调用预置点等操作</w:t>
            </w:r>
          </w:p>
          <w:p w14:paraId="1140DFC4">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支持电视墙窗口开始/停止预览、开始/停止解码、开始/停止轮巡、打开/关闭声音、置顶、置底等操作</w:t>
            </w:r>
          </w:p>
          <w:p w14:paraId="3522FACB">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xml:space="preserve">音频输入接口：大于等于2路HDMI内嵌 </w:t>
            </w:r>
          </w:p>
          <w:p w14:paraId="18889A2D">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xml:space="preserve">视频输入接口：大于等于2路HDMI 1.4，大于等于不低于4K（仅奇数口） </w:t>
            </w:r>
          </w:p>
          <w:p w14:paraId="4EF5149F">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xml:space="preserve">视频输出接口类型：大于等于16路HDMI 1.4，支持4K </w:t>
            </w:r>
          </w:p>
          <w:p w14:paraId="3AB3D82E">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视频解码能力：H.264/H.265：支持8路3200 W，或8路2400 W，或16路1200 W，或32路800 W，或40路600W，或64路400 W，或128路1080P，或256路720P及以下分辨率实时解码（每4个输出口一组，共享解码能力）</w:t>
            </w:r>
          </w:p>
          <w:p w14:paraId="19DC7D48">
            <w:pPr>
              <w:keepNext w:val="0"/>
              <w:keepLines w:val="0"/>
              <w:widowControl/>
              <w:suppressLineNumbers w:val="0"/>
              <w:jc w:val="left"/>
              <w:textAlignment w:val="bottom"/>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xml:space="preserve">MJPEG：大于等于16路1080P及以下分辨率实时解码 </w:t>
            </w:r>
          </w:p>
          <w:p w14:paraId="0B3C2052">
            <w:pPr>
              <w:keepNext w:val="0"/>
              <w:keepLines w:val="0"/>
              <w:widowControl/>
              <w:suppressLineNumbers w:val="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 xml:space="preserve">音频输出接口：大于等于16路HDMI内嵌或大于等于DB15转BNC独立音频输出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3D3AC">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71534">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5FB45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7486082">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二、智慧叫号设施设备及系统整体升级改造工程</w:t>
            </w:r>
          </w:p>
        </w:tc>
      </w:tr>
      <w:tr w14:paraId="710E0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56082F6">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2.1取号呼叫评价设备及系统</w:t>
            </w:r>
          </w:p>
        </w:tc>
      </w:tr>
      <w:tr w14:paraId="405DE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750DC">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9AD75">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商品名称</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98C1B">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主要性能指标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B35FF">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数量</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C70F8">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单位</w:t>
            </w:r>
          </w:p>
        </w:tc>
      </w:tr>
      <w:tr w14:paraId="6E43C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833C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1F025">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触控一体机</w:t>
            </w:r>
          </w:p>
          <w:p w14:paraId="6283F1CE">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（立式取号机32寸竖屏）</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473C5">
            <w:pPr>
              <w:keepNext w:val="0"/>
              <w:keepLines w:val="0"/>
              <w:widowControl/>
              <w:suppressLineNumbers w:val="0"/>
              <w:jc w:val="left"/>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一：定制整机尺寸：宽 550×高 1650×厚 536.5（mm），通信方式 433全无线收发通信/局域网 控制模块 USB无线通信模块 80cm天线/可增加延长天线 通信能力 199个终端，0延时 打印机 80MM前置热敏打印 整机功率≤ 180W， 音响喇叭 2*10W，立体高低音音响， 输入电源 ：100-240v~(50/60Hz)/220V独立供电 ，包含外模块：身份证阅读器，二维码阅读器，摄像头 .  二、触摸显示参数 ，液晶面板尺寸 32英寸（16:9) 触摸类型 10点电容触摸 背光类型 D-LED 显示区域： 698.4(W)×392.85(H) mm，分辨率 1080*1920 ，亮度 中心点≥350 cd/㎡ 背光灯寿命 ＞50000小时 耐用性  〉承受6千万次单触摸  三、热敏打印参数 类型 定制专用80mm热敏</w:t>
            </w:r>
            <w:r>
              <w:rPr>
                <w:rFonts w:hint="eastAsia" w:ascii="仿宋" w:hAnsi="仿宋" w:eastAsia="仿宋" w:cs="仿宋"/>
                <w:b w:val="0"/>
                <w:bCs w:val="0"/>
                <w:i w:val="0"/>
                <w:iCs w:val="0"/>
                <w:color w:val="auto"/>
                <w:kern w:val="0"/>
                <w:sz w:val="24"/>
                <w:szCs w:val="24"/>
                <w:highlight w:val="none"/>
                <w:u w:val="none"/>
                <w:lang w:val="en-US" w:eastAsia="zh-CN" w:bidi="ar"/>
              </w:rPr>
              <w:t xml:space="preserve">打印机  外嵌式（前置开门） 接口类型 USB 切纸刀 自动切纸/100万刀 打印速度 150mm/秒  最大装纸： 80*80mm 打印头可靠性 &gt;=60万次 切刀频率 60次/分钟  </w:t>
            </w:r>
          </w:p>
          <w:p w14:paraId="3C14A559">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四、国产主机：国产CPU，八核心，主频≥2.7ghz，运行内存：16G，本地存储：256G，内置WIFI  操作系统：国产麒麟+Windows；</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44574">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FD0B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14196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A33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9E6F8">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智能识别取号系统</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6029C">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办事人员通过点击触摸取号机选择办理的业务事项，刷身份证实现身份识别和排队小票打印，按钮和选择菜单设计简明，直接选择一级菜单，从而减少办事人员的操作步骤，提高刷卡取号办件的效率，单个业务大厅单独部署，无需额外增加单独服务器，不受后台服务器的影响，系统更稳定。</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8559">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6338D">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套</w:t>
            </w:r>
          </w:p>
        </w:tc>
      </w:tr>
      <w:tr w14:paraId="52692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01C5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76103">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i w:val="0"/>
                <w:iCs w:val="0"/>
                <w:color w:val="auto"/>
                <w:kern w:val="0"/>
                <w:sz w:val="24"/>
                <w:szCs w:val="24"/>
                <w:highlight w:val="none"/>
                <w:u w:val="none"/>
                <w:lang w:val="en-US" w:eastAsia="zh-CN" w:bidi="ar"/>
              </w:rPr>
              <w:t>触控一体机</w:t>
            </w:r>
          </w:p>
          <w:p w14:paraId="116DD074">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（呼叫器）</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CF960">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卧式呼叫器 主机配置：CPU：四核ARM Cortex-A7，主频达1.3GHz，存储：1G+32G   GPU： RK3128四核 图像处理：内嵌高性能2D加速硬件；1080P多种格式视频解码，包含1080P H265硬件解码；1080P视频编码，支持H.264。 内存支持：支持LPDDR2、DDR3、DDR3L。  2 系统≥Android 7.1 显示：10.1英寸高清 IPS 屏，屏幕比例 16:10，分辨率 800*1280，对比度 800，亮，300cd/m2 网络：WiFi802.11b/g/n，蓝牙 4.0,  以太网 100M/1000M 接口：TF card TF 卡（支持最大 32GB） SD 卡 （支持最大 32GB）  USB Host USB 2.0 Host  RJ45 RJ45 Micro USB Micro USB OTG  耳机 3.5mm 立体声耳机输出 HDMI HDMI output  电源插孔 DC 电源输入  麦克风 支持  喇叭 2*1W  OSD 语言 中英文等多语言 OSD 操作，无条件支持第三方呼叫器APK，支持与现有政务行政审批系统对接</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975A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174</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6B499">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个</w:t>
            </w:r>
          </w:p>
        </w:tc>
      </w:tr>
      <w:tr w14:paraId="54D89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0B75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5CF3E">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窗口呼叫系统</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913DF">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嵌入式APK数据安装，安装于平板呼叫器中，支持顺呼，重呼，暂停，欢迎，业务转移、过号、优先呼叫，评价，显示推送呼叫器内容数据和触发评价数据，支持显示当前窗口等待人数，支持显示办理人员的工号；屏幕实时显示当前排队总量、待办人数，操作简单无学习成本，可搭配对讲麦克风使用。</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1D80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CB97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套</w:t>
            </w:r>
          </w:p>
        </w:tc>
      </w:tr>
      <w:tr w14:paraId="0837D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DB459">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140CE">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i w:val="0"/>
                <w:iCs w:val="0"/>
                <w:color w:val="auto"/>
                <w:kern w:val="0"/>
                <w:sz w:val="24"/>
                <w:szCs w:val="24"/>
                <w:highlight w:val="none"/>
                <w:u w:val="none"/>
                <w:lang w:val="en-US" w:eastAsia="zh-CN" w:bidi="ar"/>
              </w:rPr>
              <w:t>触控一体机</w:t>
            </w:r>
          </w:p>
          <w:p w14:paraId="17679AEB">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（评价器）</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7902D">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L型一体机主机配置：CPU：四核ARM Cortex-A7，主频达1.3GHz，存储：1G+32G  GPU： RK3128四核 图像处理：内嵌高性能2D加速硬件；1080P多种格式视频解码，包含1080P H265硬件解码；1080P视频编码，支持H.264。 内存支持：支持LPDDR2、DDR3、DDR3L。  2 系统≥Android 7.1 显示：10.1英寸高清 IPS 屏，屏幕比例 16:10，分辨率 800*1280，对比度 800，亮，300cd/m2 网络：WiFi802.11b/g/n，蓝牙 4.0,  以太网 100M/1000M 接口：TF card TF 卡（支持最大 32GB） SD 卡 （支持最大 32GB）  USB Host USB 2.0 Host  RJ45 RJ45 Micro USB Micro USB OTG  耳机 3.5mm 立体声耳机输出 HDMI HDMI output  电源插孔 DC 电源输入  麦克风 支持  喇叭 2*1W  OSD 语言 中英文等多语言 OSD 操作，无条件支持第三方呼叫器APK，支持与现有政务行政审批系统对接</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0653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174</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F1E1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02B82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29892">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547AD">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窗口评价系统</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327C7">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嵌入式APK数据安装，评价系统支持4个等级评价，包括非常满意、满意、一般、不满意的显示和评价，支持显示工作人员的姓名、工号、照片数据，支持显示政务服务中心的logo，支持显示日期和时间，支持发布紧急通知公告，支持宣传图片和宣传视频的滚动播放，评价数据同步后台归档，作为员工绩效考核依据。</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2639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F7DE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套</w:t>
            </w:r>
          </w:p>
        </w:tc>
      </w:tr>
      <w:tr w14:paraId="4F3EB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B7CF5F6">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2.2窗口显示设备及系统</w:t>
            </w:r>
          </w:p>
        </w:tc>
      </w:tr>
      <w:tr w14:paraId="7F99B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951F0">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B0A85">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商品名称</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8F4A2">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主要性能指标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55BBA">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数量</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7718E">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单位</w:t>
            </w:r>
          </w:p>
        </w:tc>
      </w:tr>
      <w:tr w14:paraId="31B28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F0D4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A52D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A厅LED叫号显示屏P1.5</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26.56m*0.48m*2</w:t>
            </w:r>
          </w:p>
        </w:tc>
        <w:tc>
          <w:tcPr>
            <w:tcW w:w="12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C6254">
            <w:pPr>
              <w:keepNext w:val="0"/>
              <w:keepLines w:val="0"/>
              <w:widowControl/>
              <w:numPr>
                <w:ilvl w:val="0"/>
                <w:numId w:val="0"/>
              </w:numPr>
              <w:suppressLineNumbers w:val="0"/>
              <w:jc w:val="left"/>
              <w:textAlignment w:val="bottom"/>
              <w:rPr>
                <w:rFonts w:hint="eastAsia" w:ascii="仿宋" w:hAnsi="仿宋" w:eastAsia="仿宋" w:cs="仿宋"/>
                <w:color w:val="auto"/>
                <w:kern w:val="0"/>
                <w:sz w:val="24"/>
                <w:highlight w:val="none"/>
                <w:lang w:val="en-US" w:eastAsia="zh-CN" w:bidi="ar"/>
              </w:rPr>
            </w:pPr>
            <w:r>
              <w:rPr>
                <w:rFonts w:hint="eastAsia" w:ascii="仿宋" w:hAnsi="仿宋" w:eastAsia="仿宋" w:cs="仿宋"/>
                <w:color w:val="auto"/>
                <w:kern w:val="0"/>
                <w:sz w:val="24"/>
                <w:szCs w:val="24"/>
                <w:highlight w:val="none"/>
                <w:lang w:val="en-US" w:eastAsia="zh-CN" w:bidi="ar"/>
              </w:rPr>
              <w:t>1、</w:t>
            </w:r>
            <w:r>
              <w:rPr>
                <w:rFonts w:hint="eastAsia" w:ascii="仿宋" w:hAnsi="仿宋" w:eastAsia="仿宋" w:cs="仿宋"/>
                <w:color w:val="auto"/>
                <w:kern w:val="0"/>
                <w:sz w:val="24"/>
                <w:highlight w:val="none"/>
                <w:lang w:bidi="ar"/>
              </w:rPr>
              <w:t>像素点间距：≤1.54mm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2、像素构成：表贴三合一1212（1R1G1B）；</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3、像素密度：≥422500点/㎡；</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4、白平衡亮度：≥500cd/㎡；；亮度调节功能：支持配套软件0-100%可调；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、亮度均匀性：≥98.5%；</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、色度均匀性：±0.001Cx，Cy之内；</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、色温：≥3000-20000可调；色温为 6500K 时，100%,75%,50%,25%四档电平白场调节色温误差≤100K。</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8</w:t>
            </w:r>
            <w:r>
              <w:rPr>
                <w:rFonts w:hint="eastAsia" w:ascii="仿宋" w:hAnsi="仿宋" w:eastAsia="仿宋" w:cs="仿宋"/>
                <w:color w:val="auto"/>
                <w:kern w:val="0"/>
                <w:sz w:val="24"/>
                <w:highlight w:val="none"/>
                <w:lang w:bidi="ar"/>
              </w:rPr>
              <w:t>、模组平整度：≤0.1mm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9</w:t>
            </w:r>
            <w:r>
              <w:rPr>
                <w:rFonts w:hint="eastAsia" w:ascii="仿宋" w:hAnsi="仿宋" w:eastAsia="仿宋" w:cs="仿宋"/>
                <w:color w:val="auto"/>
                <w:kern w:val="0"/>
                <w:sz w:val="24"/>
                <w:highlight w:val="none"/>
                <w:lang w:bidi="ar"/>
              </w:rPr>
              <w:t>、最高对比度：≥8000：1；</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0</w:t>
            </w:r>
            <w:r>
              <w:rPr>
                <w:rFonts w:hint="eastAsia" w:ascii="仿宋" w:hAnsi="仿宋" w:eastAsia="仿宋" w:cs="仿宋"/>
                <w:color w:val="auto"/>
                <w:kern w:val="0"/>
                <w:sz w:val="24"/>
                <w:highlight w:val="none"/>
                <w:lang w:bidi="ar"/>
              </w:rPr>
              <w:t>、视角（水平、垂直）：H≥170°，V≥170°；</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1</w:t>
            </w:r>
            <w:r>
              <w:rPr>
                <w:rFonts w:hint="eastAsia" w:ascii="仿宋" w:hAnsi="仿宋" w:eastAsia="仿宋" w:cs="仿宋"/>
                <w:color w:val="auto"/>
                <w:kern w:val="0"/>
                <w:sz w:val="24"/>
                <w:highlight w:val="none"/>
                <w:lang w:bidi="ar"/>
              </w:rPr>
              <w:t>、灰度等级：≥65536 级，信号处理深度≥16bit。亮度 100nit,灰度等级≥14bit,刷新≥2500HZ上;亮度 200nit,灰度等级16bit,刷新≥3200Hz上;亮度 500nit，灰度等级 16bit,刷新≥3840HZ 以上。</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2</w:t>
            </w:r>
            <w:r>
              <w:rPr>
                <w:rFonts w:hint="eastAsia" w:ascii="仿宋" w:hAnsi="仿宋" w:eastAsia="仿宋" w:cs="仿宋"/>
                <w:color w:val="auto"/>
                <w:kern w:val="0"/>
                <w:sz w:val="24"/>
                <w:highlight w:val="none"/>
                <w:lang w:bidi="ar"/>
              </w:rPr>
              <w:t>、换帧频率：50HZ&amp;60HZ，支持 120Hz~144Hz 等3D 显示技术。</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、刷新频率：≥3840Hz；</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4</w:t>
            </w:r>
            <w:r>
              <w:rPr>
                <w:rFonts w:hint="eastAsia" w:ascii="仿宋" w:hAnsi="仿宋" w:eastAsia="仿宋" w:cs="仿宋"/>
                <w:color w:val="auto"/>
                <w:kern w:val="0"/>
                <w:sz w:val="24"/>
                <w:highlight w:val="none"/>
                <w:lang w:bidi="ar"/>
              </w:rPr>
              <w:t>、电信端口传导共模（非对称） 骚扰电压限值（EMC）：符合GB/T9254-2021 Class A限值要求；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、阻燃（防火）：PCB的阻燃等级达到V-0级；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软件功能：可实时监控显示屏工作状态，具有故障自动告警功能，发生故障立即发消息到指定邮箱，及时处理;具有多点测温系统，均衡散热，防止局部温度过高造成色彩漂移，并提高显示屏寿命;LED显示屏具有电源温度控制系统，提供电源实时温度监控，超出设定温度自动报警，防止过温失效;支持视频、音频、图像、文字、Flash、Gif 等形式的媒体文件播放;支持Microsoft office 的Word、Excel、PPT显示;支持时钟、计时、天气预报显示;支持外部视频信号(TV、AV、S-Video、复合视频)播放。</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、具备发送系统输出信号热备份功能，可实现无延迟切换。电源备份(支持 N+1冗余备份或双电源备份,当其中一路电源故障时，另一路备份电源立即启动工作，保证屏幕正常显示)，支持采用双系统备份，两套发送卡和两套接收卡互为备份方式，任一套发送卡和接收卡故障不影响屏体正常显示，支持工作状态下热插拔维护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18</w:t>
            </w:r>
            <w:r>
              <w:rPr>
                <w:rFonts w:hint="eastAsia" w:ascii="仿宋" w:hAnsi="仿宋" w:eastAsia="仿宋" w:cs="仿宋"/>
                <w:color w:val="auto"/>
                <w:kern w:val="0"/>
                <w:sz w:val="24"/>
                <w:highlight w:val="none"/>
                <w:lang w:bidi="ar"/>
              </w:rPr>
              <w:t>、模组表面绝缘：模组表面绝缘应&gt;1000MQ，L&amp;N 到外壳表面绝缘测试，500V，120s电阻值&gt;2MQ；</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19</w:t>
            </w:r>
            <w:r>
              <w:rPr>
                <w:rFonts w:hint="eastAsia" w:ascii="仿宋" w:hAnsi="仿宋" w:eastAsia="仿宋" w:cs="仿宋"/>
                <w:color w:val="auto"/>
                <w:kern w:val="0"/>
                <w:sz w:val="24"/>
                <w:highlight w:val="none"/>
                <w:lang w:bidi="ar"/>
              </w:rPr>
              <w:t>、功耗：≤598W/㎡，平均功耗：≤300W/㎡；</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20</w:t>
            </w:r>
            <w:r>
              <w:rPr>
                <w:rFonts w:hint="eastAsia" w:ascii="仿宋" w:hAnsi="仿宋" w:eastAsia="仿宋" w:cs="仿宋"/>
                <w:color w:val="auto"/>
                <w:kern w:val="0"/>
                <w:sz w:val="24"/>
                <w:highlight w:val="none"/>
                <w:lang w:bidi="ar"/>
              </w:rPr>
              <w:t>、蓝光安全：蓝光对皮肤和眼睛紫外线危害、宽波段的光源对视网膜的曝辐射值检测 Ld(11mrad)、Lb(100mrad)、L(11mrad)、Ethr、dmin 要求符合 GB/T 20145-2006 标准；</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21</w:t>
            </w:r>
            <w:r>
              <w:rPr>
                <w:rFonts w:hint="eastAsia" w:ascii="仿宋" w:hAnsi="仿宋" w:eastAsia="仿宋" w:cs="仿宋"/>
                <w:color w:val="auto"/>
                <w:kern w:val="0"/>
                <w:sz w:val="24"/>
                <w:highlight w:val="none"/>
                <w:lang w:bidi="ar"/>
              </w:rPr>
              <w:t xml:space="preserve">、所投LED显示屏需通过抗电强度试验：在交流到电源入端与金属外框或可触及的金属结构件(与保护接地连接)间施加50Hz基本正弦波、1500V(有效值)的测试电压，1min满足，LED显示屏应有保护接地端子，单个LED星示屏模组的接地电阻应不大于0.1Ω，多个拼接的LED显示屏的金属外壳应与LED显示屏的钢架一起接地，且显示屏整体系统的接地电阻应不大于1Ω.                               </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22</w:t>
            </w:r>
            <w:r>
              <w:rPr>
                <w:rFonts w:hint="eastAsia" w:ascii="仿宋" w:hAnsi="仿宋" w:eastAsia="仿宋" w:cs="仿宋"/>
                <w:color w:val="auto"/>
                <w:kern w:val="0"/>
                <w:sz w:val="24"/>
                <w:highlight w:val="none"/>
                <w:lang w:bidi="ar"/>
              </w:rPr>
              <w:t xml:space="preserve">、为了提高LED显示屏使用寿命，所投LED显示屏需通过以下灯珠试验：灯珠耐焊耐热试验：Tmax=260℃，回流焊 2 次；灯珠常温寿命试验：Tc=25℃ Ifr=10mA IFg=10mA Ifb=10mA通电 1000H；灯珠冷热冲击试验：-50℃～130℃各 15min 200 次，；灯珠高温贮存试验：Ta=100℃ 贮存 500H；灯珠抗静电（ESD）测试：HBM 模式：ESD＞20；灯珠漏电流试验：反向电压 Vr=10V漏电流 0.2uA；灯珠红墨水试验：回流焊1 次，纯红墨水常温浸泡 24H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5E4E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25.4976</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8E0C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3C400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F94F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BD23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B厅LED叫号显示屏P1.5</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21.44m*0.48m*2</w:t>
            </w:r>
          </w:p>
        </w:tc>
        <w:tc>
          <w:tcPr>
            <w:tcW w:w="12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32117">
            <w:pPr>
              <w:keepNext w:val="0"/>
              <w:keepLines w:val="0"/>
              <w:widowControl/>
              <w:suppressLineNumbers w:val="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szCs w:val="24"/>
                <w:highlight w:val="none"/>
                <w:lang w:val="en-US" w:eastAsia="zh-CN" w:bidi="ar"/>
              </w:rPr>
              <w:t>1、</w:t>
            </w:r>
            <w:r>
              <w:rPr>
                <w:rFonts w:hint="eastAsia" w:ascii="仿宋" w:hAnsi="仿宋" w:eastAsia="仿宋" w:cs="仿宋"/>
                <w:color w:val="auto"/>
                <w:kern w:val="0"/>
                <w:sz w:val="24"/>
                <w:highlight w:val="none"/>
                <w:lang w:bidi="ar"/>
              </w:rPr>
              <w:t>像素点间距：≤1.54mm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2、像素构成：表贴三合一1212（1R1G1B）；</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3、像素密度：≥422500点/㎡；</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4、白平衡亮度：≥500cd/㎡；；亮度调节功能：支持配套软件0-100%可调；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、亮度均匀性：≥98.5%；</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、色度均匀性：±0.001Cx，Cy之内；</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、色温：≥3000-20000可调；色温为 6500K 时，100%,75%,50%,25%四档电平白场调节色温误差≤100K。</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8</w:t>
            </w:r>
            <w:r>
              <w:rPr>
                <w:rFonts w:hint="eastAsia" w:ascii="仿宋" w:hAnsi="仿宋" w:eastAsia="仿宋" w:cs="仿宋"/>
                <w:color w:val="auto"/>
                <w:kern w:val="0"/>
                <w:sz w:val="24"/>
                <w:highlight w:val="none"/>
                <w:lang w:bidi="ar"/>
              </w:rPr>
              <w:t>、模组平整度：≤0.1mm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9</w:t>
            </w:r>
            <w:r>
              <w:rPr>
                <w:rFonts w:hint="eastAsia" w:ascii="仿宋" w:hAnsi="仿宋" w:eastAsia="仿宋" w:cs="仿宋"/>
                <w:color w:val="auto"/>
                <w:kern w:val="0"/>
                <w:sz w:val="24"/>
                <w:highlight w:val="none"/>
                <w:lang w:bidi="ar"/>
              </w:rPr>
              <w:t>、最高对比度：≥8000：1；</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0</w:t>
            </w:r>
            <w:r>
              <w:rPr>
                <w:rFonts w:hint="eastAsia" w:ascii="仿宋" w:hAnsi="仿宋" w:eastAsia="仿宋" w:cs="仿宋"/>
                <w:color w:val="auto"/>
                <w:kern w:val="0"/>
                <w:sz w:val="24"/>
                <w:highlight w:val="none"/>
                <w:lang w:bidi="ar"/>
              </w:rPr>
              <w:t>、视角（水平、垂直）：H≥170°，V≥170°；</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1</w:t>
            </w:r>
            <w:r>
              <w:rPr>
                <w:rFonts w:hint="eastAsia" w:ascii="仿宋" w:hAnsi="仿宋" w:eastAsia="仿宋" w:cs="仿宋"/>
                <w:color w:val="auto"/>
                <w:kern w:val="0"/>
                <w:sz w:val="24"/>
                <w:highlight w:val="none"/>
                <w:lang w:bidi="ar"/>
              </w:rPr>
              <w:t>、灰度等级：≥65536 级，信号处理深度≥16bit。亮度 100nit,灰度等级≥14bit,刷新≥2500HZ上;亮度 200nit,灰度等级16bit,刷新≥3200Hz上;亮度 500nit，灰度等级 16bit,刷新≥3840HZ 以上。</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2</w:t>
            </w:r>
            <w:r>
              <w:rPr>
                <w:rFonts w:hint="eastAsia" w:ascii="仿宋" w:hAnsi="仿宋" w:eastAsia="仿宋" w:cs="仿宋"/>
                <w:color w:val="auto"/>
                <w:kern w:val="0"/>
                <w:sz w:val="24"/>
                <w:highlight w:val="none"/>
                <w:lang w:bidi="ar"/>
              </w:rPr>
              <w:t>、换帧频率：50HZ&amp;60HZ，支持 120Hz~144Hz 等3D 显示技术。</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、刷新频率：≥3840Hz；</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4</w:t>
            </w:r>
            <w:r>
              <w:rPr>
                <w:rFonts w:hint="eastAsia" w:ascii="仿宋" w:hAnsi="仿宋" w:eastAsia="仿宋" w:cs="仿宋"/>
                <w:color w:val="auto"/>
                <w:kern w:val="0"/>
                <w:sz w:val="24"/>
                <w:highlight w:val="none"/>
                <w:lang w:bidi="ar"/>
              </w:rPr>
              <w:t>、电信端口传导共模（非对称） 骚扰电压限值（EMC）：符合GB/T9254-2021 Class A限值要求；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、阻燃（防火）：PCB的阻燃等级达到V-0级；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软件功能：可实时监控显示屏工作状态，具有故障自动告警功能，发生故障立即发消息到指定邮箱，及时处理;具有多点测温系统，均衡散热，防止局部温度过高造成色彩漂移，并提高显示屏寿命;LED显示屏具有电源温度控制系统，提供电源实时温度监控，超出设定温度自动报警，防止过温失效;支持视频、音频、图像、文字、Flash、Gif 等形式的媒体文件播放;支持Microsoft office 的Word、Excel、PPT显示;支持时钟、计时、天气预报显示;支持外部视频信号(TV、AV、S-Video、复合视频)播放。</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、具备发送系统输出信号热备份功能，可实现无延迟切换。电源备份(支持 N+1冗余备份或双电源备份,当其中一路电源故障时，另一路备份电源立即启动工作，保证屏幕正常显示)，支持采用双系统备份，两套发送卡和两套接收卡互为备份方式，任一套发送卡和接收卡故障不影响屏体正常显示，支持工作状态下热插拔维护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18</w:t>
            </w:r>
            <w:r>
              <w:rPr>
                <w:rFonts w:hint="eastAsia" w:ascii="仿宋" w:hAnsi="仿宋" w:eastAsia="仿宋" w:cs="仿宋"/>
                <w:color w:val="auto"/>
                <w:kern w:val="0"/>
                <w:sz w:val="24"/>
                <w:highlight w:val="none"/>
                <w:lang w:bidi="ar"/>
              </w:rPr>
              <w:t>、模组表面绝缘：模组表面绝缘应&gt;1000MQ，L&amp;N 到外壳表面绝缘测试，500V，120s电阻值&gt;2MQ；</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19</w:t>
            </w:r>
            <w:r>
              <w:rPr>
                <w:rFonts w:hint="eastAsia" w:ascii="仿宋" w:hAnsi="仿宋" w:eastAsia="仿宋" w:cs="仿宋"/>
                <w:color w:val="auto"/>
                <w:kern w:val="0"/>
                <w:sz w:val="24"/>
                <w:highlight w:val="none"/>
                <w:lang w:bidi="ar"/>
              </w:rPr>
              <w:t>、功耗：≤598W/㎡，平均功耗：≤300W/㎡；</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20</w:t>
            </w:r>
            <w:r>
              <w:rPr>
                <w:rFonts w:hint="eastAsia" w:ascii="仿宋" w:hAnsi="仿宋" w:eastAsia="仿宋" w:cs="仿宋"/>
                <w:color w:val="auto"/>
                <w:kern w:val="0"/>
                <w:sz w:val="24"/>
                <w:highlight w:val="none"/>
                <w:lang w:bidi="ar"/>
              </w:rPr>
              <w:t>、蓝光安全：蓝光对皮肤和眼睛紫外线危害、宽波段的光源对视网膜的曝辐射值检测 Ld(11mrad)、Lb(100mrad)、L(11mrad)、Ethr、dmin 要求符合 GB/T 20145-2006 标准；</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21</w:t>
            </w:r>
            <w:r>
              <w:rPr>
                <w:rFonts w:hint="eastAsia" w:ascii="仿宋" w:hAnsi="仿宋" w:eastAsia="仿宋" w:cs="仿宋"/>
                <w:color w:val="auto"/>
                <w:kern w:val="0"/>
                <w:sz w:val="24"/>
                <w:highlight w:val="none"/>
                <w:lang w:bidi="ar"/>
              </w:rPr>
              <w:t xml:space="preserve">、所投LED显示屏需通过抗电强度试验：在交流到电源入端与金属外框或可触及的金属结构件(与保护接地连接)间施加50Hz基本正弦波、1500V(有效值)的测试电压，1min满足，LED显示屏应有保护接地端子，单个LED星示屏模组的接地电阻应不大于0.1Ω，多个拼接的LED显示屏的金属外壳应与LED显示屏的钢架一起接地，且显示屏整体系统的接地电阻应不大于1Ω.                               </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22</w:t>
            </w:r>
            <w:r>
              <w:rPr>
                <w:rFonts w:hint="eastAsia" w:ascii="仿宋" w:hAnsi="仿宋" w:eastAsia="仿宋" w:cs="仿宋"/>
                <w:color w:val="auto"/>
                <w:kern w:val="0"/>
                <w:sz w:val="24"/>
                <w:highlight w:val="none"/>
                <w:lang w:bidi="ar"/>
              </w:rPr>
              <w:t xml:space="preserve">、为了提高LED显示屏使用寿命，所投LED显示屏需通过以下灯珠试验：灯珠耐焊耐热试验：Tmax=260℃，回流焊 2 次；灯珠常温寿命试验：Tc=25℃ Ifr=10mA IFg=10mA Ifb=10mA通电 1000H；灯珠冷热冲击试验：-50℃～130℃各 15min 200 次，；灯珠高温贮存试验：Ta=100℃ 贮存 500H；灯珠抗静电（ESD）测试：HBM 模式：ESD＞20；灯珠漏电流试验：反向电压 Vr=10V漏电流 0.2uA；灯珠红墨水试验：回流焊1 次，纯红墨水常温浸泡 24H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A817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20.5824</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C716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7ABF2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5A1DB2">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3E48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C厅LED叫号显示屏P1.5</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15.68m*0.48m</w:t>
            </w:r>
          </w:p>
        </w:tc>
        <w:tc>
          <w:tcPr>
            <w:tcW w:w="12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FFC00">
            <w:pPr>
              <w:keepNext w:val="0"/>
              <w:keepLines w:val="0"/>
              <w:widowControl/>
              <w:suppressLineNumbers w:val="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szCs w:val="24"/>
                <w:highlight w:val="none"/>
                <w:lang w:val="en-US" w:eastAsia="zh-CN" w:bidi="ar"/>
              </w:rPr>
              <w:t>1、</w:t>
            </w:r>
            <w:r>
              <w:rPr>
                <w:rFonts w:hint="eastAsia" w:ascii="仿宋" w:hAnsi="仿宋" w:eastAsia="仿宋" w:cs="仿宋"/>
                <w:color w:val="auto"/>
                <w:kern w:val="0"/>
                <w:sz w:val="24"/>
                <w:highlight w:val="none"/>
                <w:lang w:bidi="ar"/>
              </w:rPr>
              <w:t>像素点间距：≤1.54mm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2、像素构成：表贴三合一1212（1R1G1B）；</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3、像素密度：≥422500点/㎡；</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4、白平衡亮度：≥500cd/㎡；；亮度调节功能：支持配套软件0-100%可调；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、亮度均匀性：≥98.5%；</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、色度均匀性：±0.001Cx，Cy之内；</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、色温：≥3000-20000可调；色温为 6500K 时，100%,75%,50%,25%四档电平白场调节色温误差≤100K。</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8</w:t>
            </w:r>
            <w:r>
              <w:rPr>
                <w:rFonts w:hint="eastAsia" w:ascii="仿宋" w:hAnsi="仿宋" w:eastAsia="仿宋" w:cs="仿宋"/>
                <w:color w:val="auto"/>
                <w:kern w:val="0"/>
                <w:sz w:val="24"/>
                <w:highlight w:val="none"/>
                <w:lang w:bidi="ar"/>
              </w:rPr>
              <w:t>、模组平整度：≤0.1mm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9</w:t>
            </w:r>
            <w:r>
              <w:rPr>
                <w:rFonts w:hint="eastAsia" w:ascii="仿宋" w:hAnsi="仿宋" w:eastAsia="仿宋" w:cs="仿宋"/>
                <w:color w:val="auto"/>
                <w:kern w:val="0"/>
                <w:sz w:val="24"/>
                <w:highlight w:val="none"/>
                <w:lang w:bidi="ar"/>
              </w:rPr>
              <w:t>、最高对比度：≥8000：1；</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0</w:t>
            </w:r>
            <w:r>
              <w:rPr>
                <w:rFonts w:hint="eastAsia" w:ascii="仿宋" w:hAnsi="仿宋" w:eastAsia="仿宋" w:cs="仿宋"/>
                <w:color w:val="auto"/>
                <w:kern w:val="0"/>
                <w:sz w:val="24"/>
                <w:highlight w:val="none"/>
                <w:lang w:bidi="ar"/>
              </w:rPr>
              <w:t>、视角（水平、垂直）：H≥170°，V≥170°；</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1</w:t>
            </w:r>
            <w:r>
              <w:rPr>
                <w:rFonts w:hint="eastAsia" w:ascii="仿宋" w:hAnsi="仿宋" w:eastAsia="仿宋" w:cs="仿宋"/>
                <w:color w:val="auto"/>
                <w:kern w:val="0"/>
                <w:sz w:val="24"/>
                <w:highlight w:val="none"/>
                <w:lang w:bidi="ar"/>
              </w:rPr>
              <w:t>、灰度等级：≥65536 级，信号处理深度≥16bit。亮度 100nit,灰度等级≥14bit,刷新≥2500HZ上;亮度 200nit,灰度等级16bit,刷新≥3200Hz上;亮度 500nit，灰度等级 16bit,刷新≥3840HZ 以上。</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2</w:t>
            </w:r>
            <w:r>
              <w:rPr>
                <w:rFonts w:hint="eastAsia" w:ascii="仿宋" w:hAnsi="仿宋" w:eastAsia="仿宋" w:cs="仿宋"/>
                <w:color w:val="auto"/>
                <w:kern w:val="0"/>
                <w:sz w:val="24"/>
                <w:highlight w:val="none"/>
                <w:lang w:bidi="ar"/>
              </w:rPr>
              <w:t>、换帧频率：50HZ&amp;60HZ，支持 120Hz~144Hz 等3D 显示技术。</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、刷新频率：≥3840Hz；</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4</w:t>
            </w:r>
            <w:r>
              <w:rPr>
                <w:rFonts w:hint="eastAsia" w:ascii="仿宋" w:hAnsi="仿宋" w:eastAsia="仿宋" w:cs="仿宋"/>
                <w:color w:val="auto"/>
                <w:kern w:val="0"/>
                <w:sz w:val="24"/>
                <w:highlight w:val="none"/>
                <w:lang w:bidi="ar"/>
              </w:rPr>
              <w:t>、电信端口传导共模（非对称） 骚扰电压限值（EMC）：符合GB/T9254-2021 Class A限值要求；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、阻燃（防火）：PCB的阻燃等级达到V-0级；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软件功能：可实时监控显示屏工作状态，具有故障自动告警功能，发生故障立即发消息到指定邮箱，及时处理;具有多点测温系统，均衡散热，防止局部温度过高造成色彩漂移，并提高显示屏寿命;LED显示屏具有电源温度控制系统，提供电源实时温度监控，超出设定温度自动报警，防止过温失效;支持视频、音频、图像、文字、Flash、Gif 等形式的媒体文件播放;支持Microsoft office 的Word、Excel、PPT显示;支持时钟、计时、天气预报显示;支持外部视频信号(TV、AV、S-Video、复合视频)播放。</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、具备发送系统输出信号热备份功能，可实现无延迟切换。电源备份(支持 N+1冗余备份或双电源备份,当其中一路电源故障时，另一路备份电源立即启动工作，保证屏幕正常显示)，支持采用双系统备份，两套发送卡和两套接收卡互为备份方式，任一套发送卡和接收卡故障不影响屏体正常显示，支持工作状态下热插拔维护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18</w:t>
            </w:r>
            <w:r>
              <w:rPr>
                <w:rFonts w:hint="eastAsia" w:ascii="仿宋" w:hAnsi="仿宋" w:eastAsia="仿宋" w:cs="仿宋"/>
                <w:color w:val="auto"/>
                <w:kern w:val="0"/>
                <w:sz w:val="24"/>
                <w:highlight w:val="none"/>
                <w:lang w:bidi="ar"/>
              </w:rPr>
              <w:t>、模组表面绝缘：模组表面绝缘应&gt;1000MQ，L&amp;N 到外壳表面绝缘测试，500V，120s电阻值&gt;2MQ；</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19</w:t>
            </w:r>
            <w:r>
              <w:rPr>
                <w:rFonts w:hint="eastAsia" w:ascii="仿宋" w:hAnsi="仿宋" w:eastAsia="仿宋" w:cs="仿宋"/>
                <w:color w:val="auto"/>
                <w:kern w:val="0"/>
                <w:sz w:val="24"/>
                <w:highlight w:val="none"/>
                <w:lang w:bidi="ar"/>
              </w:rPr>
              <w:t>、功耗：≤598W/㎡，平均功耗：≤300W/㎡；</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20</w:t>
            </w:r>
            <w:r>
              <w:rPr>
                <w:rFonts w:hint="eastAsia" w:ascii="仿宋" w:hAnsi="仿宋" w:eastAsia="仿宋" w:cs="仿宋"/>
                <w:color w:val="auto"/>
                <w:kern w:val="0"/>
                <w:sz w:val="24"/>
                <w:highlight w:val="none"/>
                <w:lang w:bidi="ar"/>
              </w:rPr>
              <w:t>、蓝光安全：蓝光对皮肤和眼睛紫外线危害、宽波段的光源对视网膜的曝辐射值检测 Ld(11mrad)、Lb(100mrad)、L(11mrad)、Ethr、dmin 要求符合 GB/T 20145-2006 标准；</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21</w:t>
            </w:r>
            <w:r>
              <w:rPr>
                <w:rFonts w:hint="eastAsia" w:ascii="仿宋" w:hAnsi="仿宋" w:eastAsia="仿宋" w:cs="仿宋"/>
                <w:color w:val="auto"/>
                <w:kern w:val="0"/>
                <w:sz w:val="24"/>
                <w:highlight w:val="none"/>
                <w:lang w:bidi="ar"/>
              </w:rPr>
              <w:t xml:space="preserve">、所投LED显示屏需通过抗电强度试验：在交流到电源入端与金属外框或可触及的金属结构件(与保护接地连接)间施加50Hz基本正弦波、1500V(有效值)的测试电压，1min满足，LED显示屏应有保护接地端子，单个LED星示屏模组的接地电阻应不大于0.1Ω，多个拼接的LED显示屏的金属外壳应与LED显示屏的钢架一起接地，且显示屏整体系统的接地电阻应不大于1Ω.                               </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22</w:t>
            </w:r>
            <w:r>
              <w:rPr>
                <w:rFonts w:hint="eastAsia" w:ascii="仿宋" w:hAnsi="仿宋" w:eastAsia="仿宋" w:cs="仿宋"/>
                <w:color w:val="auto"/>
                <w:kern w:val="0"/>
                <w:sz w:val="24"/>
                <w:highlight w:val="none"/>
                <w:lang w:bidi="ar"/>
              </w:rPr>
              <w:t xml:space="preserve">、为了提高LED显示屏使用寿命，所投LED显示屏需通过以下灯珠试验：灯珠耐焊耐热试验：Tmax=260℃，回流焊 2 次；灯珠常温寿命试验：Tc=25℃ Ifr=10mA IFg=10mA Ifb=10mA通电 1000H；灯珠冷热冲击试验：-50℃～130℃各 15min 200 次，；灯珠高温贮存试验：Ta=100℃ 贮存 500H；灯珠抗静电（ESD）测试：HBM 模式：ESD＞20；灯珠漏电流试验：反向电压 Vr=10V漏电流 0.2uA；灯珠红墨水试验：回流焊1 次，纯红墨水常温浸泡 24H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9B5E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7.5264</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29D74">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25104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F64F4">
            <w:pPr>
              <w:jc w:val="center"/>
              <w:rPr>
                <w:rFonts w:hint="eastAsia" w:ascii="仿宋" w:hAnsi="仿宋" w:eastAsia="仿宋" w:cs="仿宋"/>
                <w:i w:val="0"/>
                <w:iCs w:val="0"/>
                <w:color w:val="auto"/>
                <w:sz w:val="24"/>
                <w:szCs w:val="24"/>
                <w:highlight w:val="none"/>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8CA2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C厅LED叫号显示屏P1.5</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8.32m*0.48m</w:t>
            </w:r>
          </w:p>
        </w:tc>
        <w:tc>
          <w:tcPr>
            <w:tcW w:w="12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EE0B8">
            <w:pPr>
              <w:keepNext w:val="0"/>
              <w:keepLines w:val="0"/>
              <w:widowControl/>
              <w:suppressLineNumbers w:val="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szCs w:val="24"/>
                <w:highlight w:val="none"/>
                <w:lang w:val="en-US" w:eastAsia="zh-CN" w:bidi="ar"/>
              </w:rPr>
              <w:t>1、</w:t>
            </w:r>
            <w:r>
              <w:rPr>
                <w:rFonts w:hint="eastAsia" w:ascii="仿宋" w:hAnsi="仿宋" w:eastAsia="仿宋" w:cs="仿宋"/>
                <w:color w:val="auto"/>
                <w:kern w:val="0"/>
                <w:sz w:val="24"/>
                <w:highlight w:val="none"/>
                <w:lang w:bidi="ar"/>
              </w:rPr>
              <w:t>像素点间距：≤1.54mm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2、像素构成：表贴三合一1212（1R1G1B）；</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3、像素密度：≥422500点/㎡；</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4、白平衡亮度：≥500cd/㎡；；亮度调节功能：支持配套软件0-100%可调；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、亮度均匀性：≥98.5%；</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、色度均匀性：±0.001Cx，Cy之内；</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、色温：≥3000-20000可调；色温为 6500K 时，100%,75%,50%,25%四档电平白场调节色温误差≤100K。</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8</w:t>
            </w:r>
            <w:r>
              <w:rPr>
                <w:rFonts w:hint="eastAsia" w:ascii="仿宋" w:hAnsi="仿宋" w:eastAsia="仿宋" w:cs="仿宋"/>
                <w:color w:val="auto"/>
                <w:kern w:val="0"/>
                <w:sz w:val="24"/>
                <w:highlight w:val="none"/>
                <w:lang w:bidi="ar"/>
              </w:rPr>
              <w:t>、模组平整度：≤0.1mm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9</w:t>
            </w:r>
            <w:r>
              <w:rPr>
                <w:rFonts w:hint="eastAsia" w:ascii="仿宋" w:hAnsi="仿宋" w:eastAsia="仿宋" w:cs="仿宋"/>
                <w:color w:val="auto"/>
                <w:kern w:val="0"/>
                <w:sz w:val="24"/>
                <w:highlight w:val="none"/>
                <w:lang w:bidi="ar"/>
              </w:rPr>
              <w:t>、最高对比度：≥8000：1；</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0</w:t>
            </w:r>
            <w:r>
              <w:rPr>
                <w:rFonts w:hint="eastAsia" w:ascii="仿宋" w:hAnsi="仿宋" w:eastAsia="仿宋" w:cs="仿宋"/>
                <w:color w:val="auto"/>
                <w:kern w:val="0"/>
                <w:sz w:val="24"/>
                <w:highlight w:val="none"/>
                <w:lang w:bidi="ar"/>
              </w:rPr>
              <w:t>、视角（水平、垂直）：H≥170°，V≥170°；</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1</w:t>
            </w:r>
            <w:r>
              <w:rPr>
                <w:rFonts w:hint="eastAsia" w:ascii="仿宋" w:hAnsi="仿宋" w:eastAsia="仿宋" w:cs="仿宋"/>
                <w:color w:val="auto"/>
                <w:kern w:val="0"/>
                <w:sz w:val="24"/>
                <w:highlight w:val="none"/>
                <w:lang w:bidi="ar"/>
              </w:rPr>
              <w:t>、灰度等级：≥65536 级，信号处理深度≥16bit。亮度 100nit,灰度等级≥14bit,刷新≥2500HZ上;亮度 200nit,灰度等级16bit,刷新≥3200Hz上;亮度 500nit，灰度等级 16bit,刷新≥3840HZ 以上。</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2</w:t>
            </w:r>
            <w:r>
              <w:rPr>
                <w:rFonts w:hint="eastAsia" w:ascii="仿宋" w:hAnsi="仿宋" w:eastAsia="仿宋" w:cs="仿宋"/>
                <w:color w:val="auto"/>
                <w:kern w:val="0"/>
                <w:sz w:val="24"/>
                <w:highlight w:val="none"/>
                <w:lang w:bidi="ar"/>
              </w:rPr>
              <w:t>、换帧频率：50HZ&amp;60HZ，支持 120Hz~144Hz 等3D 显示技术。</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、刷新频率：≥3840Hz；</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4</w:t>
            </w:r>
            <w:r>
              <w:rPr>
                <w:rFonts w:hint="eastAsia" w:ascii="仿宋" w:hAnsi="仿宋" w:eastAsia="仿宋" w:cs="仿宋"/>
                <w:color w:val="auto"/>
                <w:kern w:val="0"/>
                <w:sz w:val="24"/>
                <w:highlight w:val="none"/>
                <w:lang w:bidi="ar"/>
              </w:rPr>
              <w:t>、电信端口传导共模（非对称） 骚扰电压限值（EMC）：符合GB/T9254-2021 Class A限值要求；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、阻燃（防火）：PCB的阻燃等级达到V-0级；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软件功能：可实时监控显示屏工作状态，具有故障自动告警功能，发生故障立即发消息到指定邮箱，及时处理;具有多点测温系统，均衡散热，防止局部温度过高造成色彩漂移，并提高显示屏寿命;LED显示屏具有电源温度控制系统，提供电源实时温度监控，超出设定温度自动报警，防止过温失效;支持视频、音频、图像、文字、Flash、Gif 等形式的媒体文件播放;支持Microsoft office 的Word、Excel、PPT显示;支持时钟、计时、天气预报显示;支持外部视频信号(TV、AV、S-Video、复合视频)播放。</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、具备发送系统输出信号热备份功能，可实现无延迟切换。电源备份(支持 N+1冗余备份或双电源备份,当其中一路电源故障时，另一路备份电源立即启动工作，保证屏幕正常显示)，支持采用双系统备份，两套发送卡和两套接收卡互为备份方式，任一套发送卡和接收卡故障不影响屏体正常显示，支持工作状态下热插拔维护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18</w:t>
            </w:r>
            <w:r>
              <w:rPr>
                <w:rFonts w:hint="eastAsia" w:ascii="仿宋" w:hAnsi="仿宋" w:eastAsia="仿宋" w:cs="仿宋"/>
                <w:color w:val="auto"/>
                <w:kern w:val="0"/>
                <w:sz w:val="24"/>
                <w:highlight w:val="none"/>
                <w:lang w:bidi="ar"/>
              </w:rPr>
              <w:t>、模组表面绝缘：模组表面绝缘应&gt;1000MQ，L&amp;N 到外壳表面绝缘测试，500V，120s电阻值&gt;2MQ；</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19</w:t>
            </w:r>
            <w:r>
              <w:rPr>
                <w:rFonts w:hint="eastAsia" w:ascii="仿宋" w:hAnsi="仿宋" w:eastAsia="仿宋" w:cs="仿宋"/>
                <w:color w:val="auto"/>
                <w:kern w:val="0"/>
                <w:sz w:val="24"/>
                <w:highlight w:val="none"/>
                <w:lang w:bidi="ar"/>
              </w:rPr>
              <w:t>、功耗：≤598W/㎡，平均功耗：≤300W/㎡；</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20</w:t>
            </w:r>
            <w:r>
              <w:rPr>
                <w:rFonts w:hint="eastAsia" w:ascii="仿宋" w:hAnsi="仿宋" w:eastAsia="仿宋" w:cs="仿宋"/>
                <w:color w:val="auto"/>
                <w:kern w:val="0"/>
                <w:sz w:val="24"/>
                <w:highlight w:val="none"/>
                <w:lang w:bidi="ar"/>
              </w:rPr>
              <w:t>、蓝光安全：蓝光对皮肤和眼睛紫外线危害、宽波段的光源对视网膜的曝辐射值检测 Ld(11mrad)、Lb(100mrad)、L(11mrad)、Ethr、dmin 要求符合 GB/T 20145-2006 标准；</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21</w:t>
            </w:r>
            <w:r>
              <w:rPr>
                <w:rFonts w:hint="eastAsia" w:ascii="仿宋" w:hAnsi="仿宋" w:eastAsia="仿宋" w:cs="仿宋"/>
                <w:color w:val="auto"/>
                <w:kern w:val="0"/>
                <w:sz w:val="24"/>
                <w:highlight w:val="none"/>
                <w:lang w:bidi="ar"/>
              </w:rPr>
              <w:t xml:space="preserve">、所投LED显示屏需通过抗电强度试验：在交流到电源入端与金属外框或可触及的金属结构件(与保护接地连接)间施加50Hz基本正弦波、1500V(有效值)的测试电压，1min满足，LED显示屏应有保护接地端子，单个LED星示屏模组的接地电阻应不大于0.1Ω，多个拼接的LED显示屏的金属外壳应与LED显示屏的钢架一起接地，且显示屏整体系统的接地电阻应不大于1Ω.                               </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22</w:t>
            </w:r>
            <w:r>
              <w:rPr>
                <w:rFonts w:hint="eastAsia" w:ascii="仿宋" w:hAnsi="仿宋" w:eastAsia="仿宋" w:cs="仿宋"/>
                <w:color w:val="auto"/>
                <w:kern w:val="0"/>
                <w:sz w:val="24"/>
                <w:highlight w:val="none"/>
                <w:lang w:bidi="ar"/>
              </w:rPr>
              <w:t xml:space="preserve">、为了提高LED显示屏使用寿命，所投LED显示屏需通过以下灯珠试验：灯珠耐焊耐热试验：Tmax=260℃，回流焊 2 次；灯珠常温寿命试验：Tc=25℃ Ifr=10mA IFg=10mA Ifb=10mA通电 1000H；灯珠冷热冲击试验：-50℃～130℃各 15min 200 次，；灯珠高温贮存试验：Ta=100℃ 贮存 500H；灯珠抗静电（ESD）测试：HBM 模式：ESD＞20；灯珠漏电流试验：反向电压 Vr=10V漏电流 0.2uA；灯珠红墨水试验：回流焊1 次，纯红墨水常温浸泡 24H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FCEB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3.9963</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1DAE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33E30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16959">
            <w:pPr>
              <w:jc w:val="center"/>
              <w:rPr>
                <w:rFonts w:hint="eastAsia" w:ascii="仿宋" w:hAnsi="仿宋" w:eastAsia="仿宋" w:cs="仿宋"/>
                <w:i w:val="0"/>
                <w:iCs w:val="0"/>
                <w:color w:val="auto"/>
                <w:sz w:val="24"/>
                <w:szCs w:val="24"/>
                <w:highlight w:val="none"/>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EF3DC">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C厅LED叫号显示屏P1.5</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7.04m*0.48m</w:t>
            </w:r>
          </w:p>
        </w:tc>
        <w:tc>
          <w:tcPr>
            <w:tcW w:w="12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B4F61">
            <w:pPr>
              <w:keepNext w:val="0"/>
              <w:keepLines w:val="0"/>
              <w:widowControl/>
              <w:suppressLineNumbers w:val="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szCs w:val="24"/>
                <w:highlight w:val="none"/>
                <w:lang w:val="en-US" w:eastAsia="zh-CN" w:bidi="ar"/>
              </w:rPr>
              <w:t>1、</w:t>
            </w:r>
            <w:r>
              <w:rPr>
                <w:rFonts w:hint="eastAsia" w:ascii="仿宋" w:hAnsi="仿宋" w:eastAsia="仿宋" w:cs="仿宋"/>
                <w:color w:val="auto"/>
                <w:kern w:val="0"/>
                <w:sz w:val="24"/>
                <w:highlight w:val="none"/>
                <w:lang w:bidi="ar"/>
              </w:rPr>
              <w:t>像素点间距：≤1.54mm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2、像素构成：表贴三合一1212（1R1G1B）；</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3、像素密度：≥422500点/㎡；</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4、白平衡亮度：≥500cd/㎡；；亮度调节功能：支持配套软件0-100%可调；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、亮度均匀性：≥98.5%；</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、色度均匀性：±0.001Cx，Cy之内；</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、色温：≥3000-20000可调；色温为 6500K 时，100%,75%,50%,25%四档电平白场调节色温误差≤100K。</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8</w:t>
            </w:r>
            <w:r>
              <w:rPr>
                <w:rFonts w:hint="eastAsia" w:ascii="仿宋" w:hAnsi="仿宋" w:eastAsia="仿宋" w:cs="仿宋"/>
                <w:color w:val="auto"/>
                <w:kern w:val="0"/>
                <w:sz w:val="24"/>
                <w:highlight w:val="none"/>
                <w:lang w:bidi="ar"/>
              </w:rPr>
              <w:t>、模组平整度：≤0.1mm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9</w:t>
            </w:r>
            <w:r>
              <w:rPr>
                <w:rFonts w:hint="eastAsia" w:ascii="仿宋" w:hAnsi="仿宋" w:eastAsia="仿宋" w:cs="仿宋"/>
                <w:color w:val="auto"/>
                <w:kern w:val="0"/>
                <w:sz w:val="24"/>
                <w:highlight w:val="none"/>
                <w:lang w:bidi="ar"/>
              </w:rPr>
              <w:t>、最高对比度：≥8000：1；</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0</w:t>
            </w:r>
            <w:r>
              <w:rPr>
                <w:rFonts w:hint="eastAsia" w:ascii="仿宋" w:hAnsi="仿宋" w:eastAsia="仿宋" w:cs="仿宋"/>
                <w:color w:val="auto"/>
                <w:kern w:val="0"/>
                <w:sz w:val="24"/>
                <w:highlight w:val="none"/>
                <w:lang w:bidi="ar"/>
              </w:rPr>
              <w:t>、视角（水平、垂直）：H≥170°，V≥170°；</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1</w:t>
            </w:r>
            <w:r>
              <w:rPr>
                <w:rFonts w:hint="eastAsia" w:ascii="仿宋" w:hAnsi="仿宋" w:eastAsia="仿宋" w:cs="仿宋"/>
                <w:color w:val="auto"/>
                <w:kern w:val="0"/>
                <w:sz w:val="24"/>
                <w:highlight w:val="none"/>
                <w:lang w:bidi="ar"/>
              </w:rPr>
              <w:t>、灰度等级：≥65536 级，信号处理深度≥16bit。亮度 100nit,灰度等级≥14bit,刷新≥2500HZ上;亮度 200nit,灰度等级16bit,刷新≥3200Hz上;亮度 500nit，灰度等级 16bit,刷新≥3840HZ 以上。</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2</w:t>
            </w:r>
            <w:r>
              <w:rPr>
                <w:rFonts w:hint="eastAsia" w:ascii="仿宋" w:hAnsi="仿宋" w:eastAsia="仿宋" w:cs="仿宋"/>
                <w:color w:val="auto"/>
                <w:kern w:val="0"/>
                <w:sz w:val="24"/>
                <w:highlight w:val="none"/>
                <w:lang w:bidi="ar"/>
              </w:rPr>
              <w:t>、换帧频率：50HZ&amp;60HZ，支持 120Hz~144Hz 等3D 显示技术。</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、刷新频率：≥3840Hz；</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4</w:t>
            </w:r>
            <w:r>
              <w:rPr>
                <w:rFonts w:hint="eastAsia" w:ascii="仿宋" w:hAnsi="仿宋" w:eastAsia="仿宋" w:cs="仿宋"/>
                <w:color w:val="auto"/>
                <w:kern w:val="0"/>
                <w:sz w:val="24"/>
                <w:highlight w:val="none"/>
                <w:lang w:bidi="ar"/>
              </w:rPr>
              <w:t>、电信端口传导共模（非对称） 骚扰电压限值（EMC）：符合GB/T9254-2021 Class A限值要求；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、阻燃（防火）：PCB的阻燃等级达到V-0级；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软件功能：可实时监控显示屏工作状态，具有故障自动告警功能，发生故障立即发消息到指定邮箱，及时处理;具有多点测温系统，均衡散热，防止局部温度过高造成色彩漂移，并提高显示屏寿命;LED显示屏具有电源温度控制系统，提供电源实时温度监控，超出设定温度自动报警，防止过温失效;支持视频、音频、图像、文字、Flash、Gif 等形式的媒体文件播放;支持Microsoft office 的Word、Excel、PPT显示;支持时钟、计时、天气预报显示;支持外部视频信号(TV、AV、S-Video、复合视频)播放。</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、具备发送系统输出信号热备份功能，可实现无延迟切换。电源备份(支持 N+1冗余备份或双电源备份,当其中一路电源故障时，另一路备份电源立即启动工作，保证屏幕正常显示)，支持采用双系统备份，两套发送卡和两套接收卡互为备份方式，任一套发送卡和接收卡故障不影响屏体正常显示，支持工作状态下热插拔维护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18</w:t>
            </w:r>
            <w:r>
              <w:rPr>
                <w:rFonts w:hint="eastAsia" w:ascii="仿宋" w:hAnsi="仿宋" w:eastAsia="仿宋" w:cs="仿宋"/>
                <w:color w:val="auto"/>
                <w:kern w:val="0"/>
                <w:sz w:val="24"/>
                <w:highlight w:val="none"/>
                <w:lang w:bidi="ar"/>
              </w:rPr>
              <w:t>、模组表面绝缘：模组表面绝缘应&gt;1000MQ，L&amp;N 到外壳表面绝缘测试，500V，120s电阻值&gt;2MQ；</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19</w:t>
            </w:r>
            <w:r>
              <w:rPr>
                <w:rFonts w:hint="eastAsia" w:ascii="仿宋" w:hAnsi="仿宋" w:eastAsia="仿宋" w:cs="仿宋"/>
                <w:color w:val="auto"/>
                <w:kern w:val="0"/>
                <w:sz w:val="24"/>
                <w:highlight w:val="none"/>
                <w:lang w:bidi="ar"/>
              </w:rPr>
              <w:t>、功耗：≤598W/㎡，平均功耗：≤300W/㎡；</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20</w:t>
            </w:r>
            <w:r>
              <w:rPr>
                <w:rFonts w:hint="eastAsia" w:ascii="仿宋" w:hAnsi="仿宋" w:eastAsia="仿宋" w:cs="仿宋"/>
                <w:color w:val="auto"/>
                <w:kern w:val="0"/>
                <w:sz w:val="24"/>
                <w:highlight w:val="none"/>
                <w:lang w:bidi="ar"/>
              </w:rPr>
              <w:t>、蓝光安全：蓝光对皮肤和眼睛紫外线危害、宽波段的光源对视网膜的曝辐射值检测 Ld(11mrad)、Lb(100mrad)、L(11mrad)、Ethr、dmin 要求符合 GB/T 20145-2006 标准；</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21</w:t>
            </w:r>
            <w:r>
              <w:rPr>
                <w:rFonts w:hint="eastAsia" w:ascii="仿宋" w:hAnsi="仿宋" w:eastAsia="仿宋" w:cs="仿宋"/>
                <w:color w:val="auto"/>
                <w:kern w:val="0"/>
                <w:sz w:val="24"/>
                <w:highlight w:val="none"/>
                <w:lang w:bidi="ar"/>
              </w:rPr>
              <w:t xml:space="preserve">、所投LED显示屏需通过抗电强度试验：在交流到电源入端与金属外框或可触及的金属结构件(与保护接地连接)间施加50Hz基本正弦波、1500V(有效值)的测试电压，1min满足，LED显示屏应有保护接地端子，单个LED星示屏模组的接地电阻应不大于0.1Ω，多个拼接的LED显示屏的金属外壳应与LED显示屏的钢架一起接地，且显示屏整体系统的接地电阻应不大于1Ω.                               </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22</w:t>
            </w:r>
            <w:r>
              <w:rPr>
                <w:rFonts w:hint="eastAsia" w:ascii="仿宋" w:hAnsi="仿宋" w:eastAsia="仿宋" w:cs="仿宋"/>
                <w:color w:val="auto"/>
                <w:kern w:val="0"/>
                <w:sz w:val="24"/>
                <w:highlight w:val="none"/>
                <w:lang w:bidi="ar"/>
              </w:rPr>
              <w:t xml:space="preserve">、为了提高LED显示屏使用寿命，所投LED显示屏需通过以下灯珠试验：灯珠耐焊耐热试验：Tmax=260℃，回流焊 2 次；灯珠常温寿命试验：Tc=25℃ Ifr=10mA IFg=10mA Ifb=10mA通电 1000H；灯珠冷热冲击试验：-50℃～130℃各 15min 200 次，；灯珠高温贮存试验：Ta=100℃ 贮存 500H；灯珠抗静电（ESD）测试：HBM 模式：ESD＞20；灯珠漏电流试验：反向电压 Vr=10V漏电流 0.2uA；灯珠红墨水试验：回流焊1 次，纯红墨水常温浸泡 24H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EB6F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3.552</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D0E14">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08543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CFDB6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372F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D厅LED叫号显示屏P1.5</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31.04m*0.48m</w:t>
            </w:r>
          </w:p>
        </w:tc>
        <w:tc>
          <w:tcPr>
            <w:tcW w:w="12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2CB86">
            <w:pPr>
              <w:keepNext w:val="0"/>
              <w:keepLines w:val="0"/>
              <w:widowControl/>
              <w:suppressLineNumbers w:val="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szCs w:val="24"/>
                <w:highlight w:val="none"/>
                <w:lang w:val="en-US" w:eastAsia="zh-CN" w:bidi="ar"/>
              </w:rPr>
              <w:t>1、</w:t>
            </w:r>
            <w:r>
              <w:rPr>
                <w:rFonts w:hint="eastAsia" w:ascii="仿宋" w:hAnsi="仿宋" w:eastAsia="仿宋" w:cs="仿宋"/>
                <w:color w:val="auto"/>
                <w:kern w:val="0"/>
                <w:sz w:val="24"/>
                <w:highlight w:val="none"/>
                <w:lang w:bidi="ar"/>
              </w:rPr>
              <w:t>像素点间距：≤1.54mm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2、像素构成：表贴三合一1212（1R1G1B）；</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3、像素密度：≥422500点/㎡；</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4、白平衡亮度：≥500cd/㎡；；亮度调节功能：支持配套软件0-100%可调；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、亮度均匀性：≥98.5%；</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、色度均匀性：±0.001Cx，Cy之内；</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、色温：≥3000-20000可调；色温为 6500K 时，100%,75%,50%,25%四档电平白场调节色温误差≤100K。</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8</w:t>
            </w:r>
            <w:r>
              <w:rPr>
                <w:rFonts w:hint="eastAsia" w:ascii="仿宋" w:hAnsi="仿宋" w:eastAsia="仿宋" w:cs="仿宋"/>
                <w:color w:val="auto"/>
                <w:kern w:val="0"/>
                <w:sz w:val="24"/>
                <w:highlight w:val="none"/>
                <w:lang w:bidi="ar"/>
              </w:rPr>
              <w:t>、模组平整度：≤0.1mm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9</w:t>
            </w:r>
            <w:r>
              <w:rPr>
                <w:rFonts w:hint="eastAsia" w:ascii="仿宋" w:hAnsi="仿宋" w:eastAsia="仿宋" w:cs="仿宋"/>
                <w:color w:val="auto"/>
                <w:kern w:val="0"/>
                <w:sz w:val="24"/>
                <w:highlight w:val="none"/>
                <w:lang w:bidi="ar"/>
              </w:rPr>
              <w:t>、最高对比度：≥8000：1；</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0</w:t>
            </w:r>
            <w:r>
              <w:rPr>
                <w:rFonts w:hint="eastAsia" w:ascii="仿宋" w:hAnsi="仿宋" w:eastAsia="仿宋" w:cs="仿宋"/>
                <w:color w:val="auto"/>
                <w:kern w:val="0"/>
                <w:sz w:val="24"/>
                <w:highlight w:val="none"/>
                <w:lang w:bidi="ar"/>
              </w:rPr>
              <w:t>、视角（水平、垂直）：H≥170°，V≥170°；</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1</w:t>
            </w:r>
            <w:r>
              <w:rPr>
                <w:rFonts w:hint="eastAsia" w:ascii="仿宋" w:hAnsi="仿宋" w:eastAsia="仿宋" w:cs="仿宋"/>
                <w:color w:val="auto"/>
                <w:kern w:val="0"/>
                <w:sz w:val="24"/>
                <w:highlight w:val="none"/>
                <w:lang w:bidi="ar"/>
              </w:rPr>
              <w:t>、灰度等级：≥65536 级，信号处理深度≥16bit。亮度 100nit,灰度等级≥14bit,刷新≥2500HZ上;亮度 200nit,灰度等级16bit,刷新≥3200Hz上;亮度 500nit，灰度等级 16bit,刷新≥3840HZ 以上。</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2</w:t>
            </w:r>
            <w:r>
              <w:rPr>
                <w:rFonts w:hint="eastAsia" w:ascii="仿宋" w:hAnsi="仿宋" w:eastAsia="仿宋" w:cs="仿宋"/>
                <w:color w:val="auto"/>
                <w:kern w:val="0"/>
                <w:sz w:val="24"/>
                <w:highlight w:val="none"/>
                <w:lang w:bidi="ar"/>
              </w:rPr>
              <w:t>、换帧频率：50HZ&amp;60HZ，支持 120Hz~144Hz 等3D 显示技术。</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、刷新频率：≥3840Hz；</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4</w:t>
            </w:r>
            <w:r>
              <w:rPr>
                <w:rFonts w:hint="eastAsia" w:ascii="仿宋" w:hAnsi="仿宋" w:eastAsia="仿宋" w:cs="仿宋"/>
                <w:color w:val="auto"/>
                <w:kern w:val="0"/>
                <w:sz w:val="24"/>
                <w:highlight w:val="none"/>
                <w:lang w:bidi="ar"/>
              </w:rPr>
              <w:t>、电信端口传导共模（非对称） 骚扰电压限值（EMC）：符合GB/T9254-2021 Class A限值要求；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、阻燃（防火）：PCB的阻燃等级达到V-0级；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软件功能：可实时监控显示屏工作状态，具有故障自动告警功能，发生故障立即发消息到指定邮箱，及时处理;具有多点测温系统，均衡散热，防止局部温度过高造成色彩漂移，并提高显示屏寿命;LED显示屏具有电源温度控制系统，提供电源实时温度监控，超出设定温度自动报警，防止过温失效;支持视频、音频、图像、文字、Flash、Gif 等形式的媒体文件播放;支持Microsoft office 的Word、Excel、PPT显示;支持时钟、计时、天气预报显示;支持外部视频信号(TV、AV、S-Video、复合视频)播放。</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、具备发送系统输出信号热备份功能，可实现无延迟切换。电源备份(支持 N+1冗余备份或双电源备份,当其中一路电源故障时，另一路备份电源立即启动工作，保证屏幕正常显示)，支持采用双系统备份，两套发送卡和两套接收卡互为备份方式，任一套发送卡和接收卡故障不影响屏体正常显示，支持工作状态下热插拔维护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18</w:t>
            </w:r>
            <w:r>
              <w:rPr>
                <w:rFonts w:hint="eastAsia" w:ascii="仿宋" w:hAnsi="仿宋" w:eastAsia="仿宋" w:cs="仿宋"/>
                <w:color w:val="auto"/>
                <w:kern w:val="0"/>
                <w:sz w:val="24"/>
                <w:highlight w:val="none"/>
                <w:lang w:bidi="ar"/>
              </w:rPr>
              <w:t>、模组表面绝缘：模组表面绝缘应&gt;1000MQ，L&amp;N 到外壳表面绝缘测试，500V，120s电阻值&gt;2MQ；</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19</w:t>
            </w:r>
            <w:r>
              <w:rPr>
                <w:rFonts w:hint="eastAsia" w:ascii="仿宋" w:hAnsi="仿宋" w:eastAsia="仿宋" w:cs="仿宋"/>
                <w:color w:val="auto"/>
                <w:kern w:val="0"/>
                <w:sz w:val="24"/>
                <w:highlight w:val="none"/>
                <w:lang w:bidi="ar"/>
              </w:rPr>
              <w:t>、功耗：≤598W/㎡，平均功耗：≤300W/㎡；</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20</w:t>
            </w:r>
            <w:r>
              <w:rPr>
                <w:rFonts w:hint="eastAsia" w:ascii="仿宋" w:hAnsi="仿宋" w:eastAsia="仿宋" w:cs="仿宋"/>
                <w:color w:val="auto"/>
                <w:kern w:val="0"/>
                <w:sz w:val="24"/>
                <w:highlight w:val="none"/>
                <w:lang w:bidi="ar"/>
              </w:rPr>
              <w:t>、蓝光安全：蓝光对皮肤和眼睛紫外线危害、宽波段的光源对视网膜的曝辐射值检测 Ld(11mrad)、Lb(100mrad)、L(11mrad)、Ethr、dmin 要求符合 GB/T 20145-2006 标准；</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21</w:t>
            </w:r>
            <w:r>
              <w:rPr>
                <w:rFonts w:hint="eastAsia" w:ascii="仿宋" w:hAnsi="仿宋" w:eastAsia="仿宋" w:cs="仿宋"/>
                <w:color w:val="auto"/>
                <w:kern w:val="0"/>
                <w:sz w:val="24"/>
                <w:highlight w:val="none"/>
                <w:lang w:bidi="ar"/>
              </w:rPr>
              <w:t xml:space="preserve">、所投LED显示屏需通过抗电强度试验：在交流到电源入端与金属外框或可触及的金属结构件(与保护接地连接)间施加50Hz基本正弦波、1500V(有效值)的测试电压，1min满足，LED显示屏应有保护接地端子，单个LED星示屏模组的接地电阻应不大于0.1Ω，多个拼接的LED显示屏的金属外壳应与LED显示屏的钢架一起接地，且显示屏整体系统的接地电阻应不大于1Ω.                               </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22</w:t>
            </w:r>
            <w:r>
              <w:rPr>
                <w:rFonts w:hint="eastAsia" w:ascii="仿宋" w:hAnsi="仿宋" w:eastAsia="仿宋" w:cs="仿宋"/>
                <w:color w:val="auto"/>
                <w:kern w:val="0"/>
                <w:sz w:val="24"/>
                <w:highlight w:val="none"/>
                <w:lang w:bidi="ar"/>
              </w:rPr>
              <w:t xml:space="preserve">、为了提高LED显示屏使用寿命，所投LED显示屏需通过以下灯珠试验：灯珠耐焊耐热试验：Tmax=260℃，回流焊 2 次；灯珠常温寿命试验：Tc=25℃ Ifr=10mA IFg=10mA Ifb=10mA通电 1000H；灯珠冷热冲击试验：-50℃～130℃各 15min 200 次，；灯珠高温贮存试验：Ta=100℃ 贮存 500H；灯珠抗静电（ESD）测试：HBM 模式：ESD＞20；灯珠漏电流试验：反向电压 Vr=10V漏电流 0.2uA；灯珠红墨水试验：回流焊1 次，纯红墨水常温浸泡 24H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2516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14.8992</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613D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20169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4AB6B">
            <w:pPr>
              <w:jc w:val="center"/>
              <w:rPr>
                <w:rFonts w:hint="eastAsia" w:ascii="仿宋" w:hAnsi="仿宋" w:eastAsia="仿宋" w:cs="仿宋"/>
                <w:i w:val="0"/>
                <w:iCs w:val="0"/>
                <w:color w:val="auto"/>
                <w:sz w:val="24"/>
                <w:szCs w:val="24"/>
                <w:highlight w:val="none"/>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F9DC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D厅LED叫号显示屏P1.5</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（25.28+2.56m）*0.48m</w:t>
            </w:r>
          </w:p>
        </w:tc>
        <w:tc>
          <w:tcPr>
            <w:tcW w:w="12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47680">
            <w:pPr>
              <w:keepNext w:val="0"/>
              <w:keepLines w:val="0"/>
              <w:widowControl/>
              <w:suppressLineNumbers w:val="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szCs w:val="24"/>
                <w:highlight w:val="none"/>
                <w:lang w:val="en-US" w:eastAsia="zh-CN" w:bidi="ar"/>
              </w:rPr>
              <w:t>1、</w:t>
            </w:r>
            <w:r>
              <w:rPr>
                <w:rFonts w:hint="eastAsia" w:ascii="仿宋" w:hAnsi="仿宋" w:eastAsia="仿宋" w:cs="仿宋"/>
                <w:color w:val="auto"/>
                <w:kern w:val="0"/>
                <w:sz w:val="24"/>
                <w:highlight w:val="none"/>
                <w:lang w:bidi="ar"/>
              </w:rPr>
              <w:t>像素点间距：≤1.54mm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2、像素构成：表贴三合一1212（1R1G1B）；</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3、像素密度：≥422500点/㎡；</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4、白平衡亮度：≥500cd/㎡；；亮度调节功能：支持配套软件0-100%可调；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、亮度均匀性：≥98.5%；</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、色度均匀性：±0.001Cx，Cy之内；</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、色温：≥3000-20000可调；色温为 6500K 时，100%,75%,50%,25%四档电平白场调节色温误差≤100K。</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8</w:t>
            </w:r>
            <w:r>
              <w:rPr>
                <w:rFonts w:hint="eastAsia" w:ascii="仿宋" w:hAnsi="仿宋" w:eastAsia="仿宋" w:cs="仿宋"/>
                <w:color w:val="auto"/>
                <w:kern w:val="0"/>
                <w:sz w:val="24"/>
                <w:highlight w:val="none"/>
                <w:lang w:bidi="ar"/>
              </w:rPr>
              <w:t>、模组平整度：≤0.1mm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9</w:t>
            </w:r>
            <w:r>
              <w:rPr>
                <w:rFonts w:hint="eastAsia" w:ascii="仿宋" w:hAnsi="仿宋" w:eastAsia="仿宋" w:cs="仿宋"/>
                <w:color w:val="auto"/>
                <w:kern w:val="0"/>
                <w:sz w:val="24"/>
                <w:highlight w:val="none"/>
                <w:lang w:bidi="ar"/>
              </w:rPr>
              <w:t>、最高对比度：≥8000：1；</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0</w:t>
            </w:r>
            <w:r>
              <w:rPr>
                <w:rFonts w:hint="eastAsia" w:ascii="仿宋" w:hAnsi="仿宋" w:eastAsia="仿宋" w:cs="仿宋"/>
                <w:color w:val="auto"/>
                <w:kern w:val="0"/>
                <w:sz w:val="24"/>
                <w:highlight w:val="none"/>
                <w:lang w:bidi="ar"/>
              </w:rPr>
              <w:t>、视角（水平、垂直）：H≥170°，V≥170°；</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1</w:t>
            </w:r>
            <w:r>
              <w:rPr>
                <w:rFonts w:hint="eastAsia" w:ascii="仿宋" w:hAnsi="仿宋" w:eastAsia="仿宋" w:cs="仿宋"/>
                <w:color w:val="auto"/>
                <w:kern w:val="0"/>
                <w:sz w:val="24"/>
                <w:highlight w:val="none"/>
                <w:lang w:bidi="ar"/>
              </w:rPr>
              <w:t>、灰度等级：≥65536 级，信号处理深度≥16bit。亮度 100nit,灰度等级≥14bit,刷新≥2500HZ上;亮度 200nit,灰度等级16bit,刷新≥3200Hz上;亮度 500nit，灰度等级 16bit,刷新≥3840HZ 以上。</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2</w:t>
            </w:r>
            <w:r>
              <w:rPr>
                <w:rFonts w:hint="eastAsia" w:ascii="仿宋" w:hAnsi="仿宋" w:eastAsia="仿宋" w:cs="仿宋"/>
                <w:color w:val="auto"/>
                <w:kern w:val="0"/>
                <w:sz w:val="24"/>
                <w:highlight w:val="none"/>
                <w:lang w:bidi="ar"/>
              </w:rPr>
              <w:t>、换帧频率：50HZ&amp;60HZ，支持 120Hz~144Hz 等3D 显示技术。</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、刷新频率：≥3840Hz；</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4</w:t>
            </w:r>
            <w:r>
              <w:rPr>
                <w:rFonts w:hint="eastAsia" w:ascii="仿宋" w:hAnsi="仿宋" w:eastAsia="仿宋" w:cs="仿宋"/>
                <w:color w:val="auto"/>
                <w:kern w:val="0"/>
                <w:sz w:val="24"/>
                <w:highlight w:val="none"/>
                <w:lang w:bidi="ar"/>
              </w:rPr>
              <w:t>、电信端口传导共模（非对称） 骚扰电压限值（EMC）：符合GB/T9254-2021 Class A限值要求；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、阻燃（防火）：PCB的阻燃等级达到V-0级；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软件功能：可实时监控显示屏工作状态，具有故障自动告警功能，发生故障立即发消息到指定邮箱，及时处理;具有多点测温系统，均衡散热，防止局部温度过高造成色彩漂移，并提高显示屏寿命;LED显示屏具有电源温度控制系统，提供电源实时温度监控，超出设定温度自动报警，防止过温失效;支持视频、音频、图像、文字、Flash、Gif 等形式的媒体文件播放;支持Microsoft office 的Word、Excel、PPT显示;支持时钟、计时、天气预报显示;支持外部视频信号(TV、AV、S-Video、复合视频)播放。</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、具备发送系统输出信号热备份功能，可实现无延迟切换。电源备份(支持 N+1冗余备份或双电源备份,当其中一路电源故障时，另一路备份电源立即启动工作，保证屏幕正常显示)，支持采用双系统备份，两套发送卡和两套接收卡互为备份方式，任一套发送卡和接收卡故障不影响屏体正常显示，支持工作状态下热插拔维护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18</w:t>
            </w:r>
            <w:r>
              <w:rPr>
                <w:rFonts w:hint="eastAsia" w:ascii="仿宋" w:hAnsi="仿宋" w:eastAsia="仿宋" w:cs="仿宋"/>
                <w:color w:val="auto"/>
                <w:kern w:val="0"/>
                <w:sz w:val="24"/>
                <w:highlight w:val="none"/>
                <w:lang w:bidi="ar"/>
              </w:rPr>
              <w:t>、模组表面绝缘：模组表面绝缘应&gt;1000MQ，L&amp;N 到外壳表面绝缘测试，500V，120s电阻值&gt;2MQ；</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19</w:t>
            </w:r>
            <w:r>
              <w:rPr>
                <w:rFonts w:hint="eastAsia" w:ascii="仿宋" w:hAnsi="仿宋" w:eastAsia="仿宋" w:cs="仿宋"/>
                <w:color w:val="auto"/>
                <w:kern w:val="0"/>
                <w:sz w:val="24"/>
                <w:highlight w:val="none"/>
                <w:lang w:bidi="ar"/>
              </w:rPr>
              <w:t>、功耗：≤598W/㎡，平均功耗：≤300W/㎡；</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20</w:t>
            </w:r>
            <w:r>
              <w:rPr>
                <w:rFonts w:hint="eastAsia" w:ascii="仿宋" w:hAnsi="仿宋" w:eastAsia="仿宋" w:cs="仿宋"/>
                <w:color w:val="auto"/>
                <w:kern w:val="0"/>
                <w:sz w:val="24"/>
                <w:highlight w:val="none"/>
                <w:lang w:bidi="ar"/>
              </w:rPr>
              <w:t>、蓝光安全：蓝光对皮肤和眼睛紫外线危害、宽波段的光源对视网膜的曝辐射值检测 Ld(11mrad)、Lb(100mrad)、L(11mrad)、Ethr、dmin 要求符合 GB/T 20145-2006 标准；</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21</w:t>
            </w:r>
            <w:r>
              <w:rPr>
                <w:rFonts w:hint="eastAsia" w:ascii="仿宋" w:hAnsi="仿宋" w:eastAsia="仿宋" w:cs="仿宋"/>
                <w:color w:val="auto"/>
                <w:kern w:val="0"/>
                <w:sz w:val="24"/>
                <w:highlight w:val="none"/>
                <w:lang w:bidi="ar"/>
              </w:rPr>
              <w:t xml:space="preserve">、所投LED显示屏需通过抗电强度试验：在交流到电源入端与金属外框或可触及的金属结构件(与保护接地连接)间施加50Hz基本正弦波、1500V(有效值)的测试电压，1min满足，LED显示屏应有保护接地端子，单个LED星示屏模组的接地电阻应不大于0.1Ω，多个拼接的LED显示屏的金属外壳应与LED显示屏的钢架一起接地，且显示屏整体系统的接地电阻应不大于1Ω.                               </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22</w:t>
            </w:r>
            <w:r>
              <w:rPr>
                <w:rFonts w:hint="eastAsia" w:ascii="仿宋" w:hAnsi="仿宋" w:eastAsia="仿宋" w:cs="仿宋"/>
                <w:color w:val="auto"/>
                <w:kern w:val="0"/>
                <w:sz w:val="24"/>
                <w:highlight w:val="none"/>
                <w:lang w:bidi="ar"/>
              </w:rPr>
              <w:t xml:space="preserve">、为了提高LED显示屏使用寿命，所投LED显示屏需通过以下灯珠试验：灯珠耐焊耐热试验：Tmax=260℃，回流焊 2 次；灯珠常温寿命试验：Tc=25℃ Ifr=10mA IFg=10mA Ifb=10mA通电 1000H；灯珠冷热冲击试验：-50℃～130℃各 15min 200 次，；灯珠高温贮存试验：Ta=100℃ 贮存 500H；灯珠抗静电（ESD）测试：HBM 模式：ESD＞20；灯珠漏电流试验：反向电压 Vr=10V漏电流 0.2uA；灯珠红墨水试验：回流焊1 次，纯红墨水常温浸泡 24H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A39FD">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13.3632</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4EB5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1E5CA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B5D7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FE45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E厅LED叫号显示屏P1.5</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26.24m*0.48m*2</w:t>
            </w:r>
          </w:p>
        </w:tc>
        <w:tc>
          <w:tcPr>
            <w:tcW w:w="12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09FEB">
            <w:pPr>
              <w:keepNext w:val="0"/>
              <w:keepLines w:val="0"/>
              <w:widowControl/>
              <w:suppressLineNumbers w:val="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szCs w:val="24"/>
                <w:highlight w:val="none"/>
                <w:lang w:val="en-US" w:eastAsia="zh-CN" w:bidi="ar"/>
              </w:rPr>
              <w:t>1、</w:t>
            </w:r>
            <w:r>
              <w:rPr>
                <w:rFonts w:hint="eastAsia" w:ascii="仿宋" w:hAnsi="仿宋" w:eastAsia="仿宋" w:cs="仿宋"/>
                <w:color w:val="auto"/>
                <w:kern w:val="0"/>
                <w:sz w:val="24"/>
                <w:highlight w:val="none"/>
                <w:lang w:bidi="ar"/>
              </w:rPr>
              <w:t>像素点间距：≤1.54mm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2、像素构成：表贴三合一1212（1R1G1B）；</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3、像素密度：≥422500点/㎡；</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4、白平衡亮度：≥500cd/㎡；；亮度调节功能：支持配套软件0-100%可调；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、亮度均匀性：≥98.5%；</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、色度均匀性：±0.001Cx，Cy之内；</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、色温：≥3000-20000可调；色温为 6500K 时，100%,75%,50%,25%四档电平白场调节色温误差≤100K。</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8</w:t>
            </w:r>
            <w:r>
              <w:rPr>
                <w:rFonts w:hint="eastAsia" w:ascii="仿宋" w:hAnsi="仿宋" w:eastAsia="仿宋" w:cs="仿宋"/>
                <w:color w:val="auto"/>
                <w:kern w:val="0"/>
                <w:sz w:val="24"/>
                <w:highlight w:val="none"/>
                <w:lang w:bidi="ar"/>
              </w:rPr>
              <w:t>、模组平整度：≤0.1mm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9</w:t>
            </w:r>
            <w:r>
              <w:rPr>
                <w:rFonts w:hint="eastAsia" w:ascii="仿宋" w:hAnsi="仿宋" w:eastAsia="仿宋" w:cs="仿宋"/>
                <w:color w:val="auto"/>
                <w:kern w:val="0"/>
                <w:sz w:val="24"/>
                <w:highlight w:val="none"/>
                <w:lang w:bidi="ar"/>
              </w:rPr>
              <w:t>、最高对比度：≥8000：1；</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0</w:t>
            </w:r>
            <w:r>
              <w:rPr>
                <w:rFonts w:hint="eastAsia" w:ascii="仿宋" w:hAnsi="仿宋" w:eastAsia="仿宋" w:cs="仿宋"/>
                <w:color w:val="auto"/>
                <w:kern w:val="0"/>
                <w:sz w:val="24"/>
                <w:highlight w:val="none"/>
                <w:lang w:bidi="ar"/>
              </w:rPr>
              <w:t>、视角（水平、垂直）：H≥170°，V≥170°；</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1</w:t>
            </w:r>
            <w:r>
              <w:rPr>
                <w:rFonts w:hint="eastAsia" w:ascii="仿宋" w:hAnsi="仿宋" w:eastAsia="仿宋" w:cs="仿宋"/>
                <w:color w:val="auto"/>
                <w:kern w:val="0"/>
                <w:sz w:val="24"/>
                <w:highlight w:val="none"/>
                <w:lang w:bidi="ar"/>
              </w:rPr>
              <w:t>、灰度等级：≥65536 级，信号处理深度≥16bit。亮度 100nit,灰度等级≥14bit,刷新≥2500HZ上;亮度 200nit,灰度等级16bit,刷新≥3200Hz上;亮度 500nit，灰度等级 16bit,刷新≥3840HZ 以上。</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2</w:t>
            </w:r>
            <w:r>
              <w:rPr>
                <w:rFonts w:hint="eastAsia" w:ascii="仿宋" w:hAnsi="仿宋" w:eastAsia="仿宋" w:cs="仿宋"/>
                <w:color w:val="auto"/>
                <w:kern w:val="0"/>
                <w:sz w:val="24"/>
                <w:highlight w:val="none"/>
                <w:lang w:bidi="ar"/>
              </w:rPr>
              <w:t>、换帧频率：50HZ&amp;60HZ，支持 120Hz~144Hz 等3D 显示技术。</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、刷新频率：≥3840Hz；</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4</w:t>
            </w:r>
            <w:r>
              <w:rPr>
                <w:rFonts w:hint="eastAsia" w:ascii="仿宋" w:hAnsi="仿宋" w:eastAsia="仿宋" w:cs="仿宋"/>
                <w:color w:val="auto"/>
                <w:kern w:val="0"/>
                <w:sz w:val="24"/>
                <w:highlight w:val="none"/>
                <w:lang w:bidi="ar"/>
              </w:rPr>
              <w:t>、电信端口传导共模（非对称） 骚扰电压限值（EMC）：符合GB/T9254-2021 Class A限值要求；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、阻燃（防火）：PCB的阻燃等级达到V-0级；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软件功能：可实时监控显示屏工作状态，具有故障自动告警功能，发生故障立即发消息到指定邮箱，及时处理;具有多点测温系统，均衡散热，防止局部温度过高造成色彩漂移，并提高显示屏寿命;LED显示屏具有电源温度控制系统，提供电源实时温度监控，超出设定温度自动报警，防止过温失效;支持视频、音频、图像、文字、Flash、Gif 等形式的媒体文件播放;支持Microsoft office 的Word、Excel、PPT显示;支持时钟、计时、天气预报显示;支持外部视频信号(TV、AV、S-Video、复合视频)播放。</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、具备发送系统输出信号热备份功能，可实现无延迟切换。电源备份(支持 N+1冗余备份或双电源备份,当其中一路电源故障时，另一路备份电源立即启动工作，保证屏幕正常显示)，支持采用双系统备份，两套发送卡和两套接收卡互为备份方式，任一套发送卡和接收卡故障不影响屏体正常显示，支持工作状态下热插拔维护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18</w:t>
            </w:r>
            <w:r>
              <w:rPr>
                <w:rFonts w:hint="eastAsia" w:ascii="仿宋" w:hAnsi="仿宋" w:eastAsia="仿宋" w:cs="仿宋"/>
                <w:color w:val="auto"/>
                <w:kern w:val="0"/>
                <w:sz w:val="24"/>
                <w:highlight w:val="none"/>
                <w:lang w:bidi="ar"/>
              </w:rPr>
              <w:t>、模组表面绝缘：模组表面绝缘应&gt;1000MQ，L&amp;N 到外壳表面绝缘测试，500V，120s电阻值&gt;2MQ；</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19</w:t>
            </w:r>
            <w:r>
              <w:rPr>
                <w:rFonts w:hint="eastAsia" w:ascii="仿宋" w:hAnsi="仿宋" w:eastAsia="仿宋" w:cs="仿宋"/>
                <w:color w:val="auto"/>
                <w:kern w:val="0"/>
                <w:sz w:val="24"/>
                <w:highlight w:val="none"/>
                <w:lang w:bidi="ar"/>
              </w:rPr>
              <w:t>、功耗：≤598W/㎡，平均功耗：≤300W/㎡；</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20</w:t>
            </w:r>
            <w:r>
              <w:rPr>
                <w:rFonts w:hint="eastAsia" w:ascii="仿宋" w:hAnsi="仿宋" w:eastAsia="仿宋" w:cs="仿宋"/>
                <w:color w:val="auto"/>
                <w:kern w:val="0"/>
                <w:sz w:val="24"/>
                <w:highlight w:val="none"/>
                <w:lang w:bidi="ar"/>
              </w:rPr>
              <w:t>、蓝光安全：蓝光对皮肤和眼睛紫外线危害、宽波段的光源对视网膜的曝辐射值检测 Ld(11mrad)、Lb(100mrad)、L(11mrad)、Ethr、dmin 要求符合 GB/T 20145-2006 标准；</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21</w:t>
            </w:r>
            <w:r>
              <w:rPr>
                <w:rFonts w:hint="eastAsia" w:ascii="仿宋" w:hAnsi="仿宋" w:eastAsia="仿宋" w:cs="仿宋"/>
                <w:color w:val="auto"/>
                <w:kern w:val="0"/>
                <w:sz w:val="24"/>
                <w:highlight w:val="none"/>
                <w:lang w:bidi="ar"/>
              </w:rPr>
              <w:t xml:space="preserve">、所投LED显示屏需通过抗电强度试验：在交流到电源入端与金属外框或可触及的金属结构件(与保护接地连接)间施加50Hz基本正弦波、1500V(有效值)的测试电压，1min满足，LED显示屏应有保护接地端子，单个LED星示屏模组的接地电阻应不大于0.1Ω，多个拼接的LED显示屏的金属外壳应与LED显示屏的钢架一起接地，且显示屏整体系统的接地电阻应不大于1Ω.                               </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22</w:t>
            </w:r>
            <w:r>
              <w:rPr>
                <w:rFonts w:hint="eastAsia" w:ascii="仿宋" w:hAnsi="仿宋" w:eastAsia="仿宋" w:cs="仿宋"/>
                <w:color w:val="auto"/>
                <w:kern w:val="0"/>
                <w:sz w:val="24"/>
                <w:highlight w:val="none"/>
                <w:lang w:bidi="ar"/>
              </w:rPr>
              <w:t xml:space="preserve">、为了提高LED显示屏使用寿命，所投LED显示屏需通过以下灯珠试验：灯珠耐焊耐热试验：Tmax=260℃，回流焊 2 次；灯珠常温寿命试验：Tc=25℃ Ifr=10mA IFg=10mA Ifb=10mA通电 1000H；灯珠冷热冲击试验：-50℃～130℃各 15min 200 次，；灯珠高温贮存试验：Ta=100℃ 贮存 500H；灯珠抗静电（ESD）测试：HBM 模式：ESD＞20；灯珠漏电流试验：反向电压 Vr=10V漏电流 0.2uA；灯珠红墨水试验：回流焊1 次，纯红墨水常温浸泡 24H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583E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25.1904</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F638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56119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0AF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CD8B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F厅LED叫号显示屏P1.5</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31.36m*0.48m*2</w:t>
            </w:r>
          </w:p>
        </w:tc>
        <w:tc>
          <w:tcPr>
            <w:tcW w:w="12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1D930">
            <w:pPr>
              <w:keepNext w:val="0"/>
              <w:keepLines w:val="0"/>
              <w:widowControl/>
              <w:suppressLineNumbers w:val="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szCs w:val="24"/>
                <w:highlight w:val="none"/>
                <w:lang w:val="en-US" w:eastAsia="zh-CN" w:bidi="ar"/>
              </w:rPr>
              <w:t>1、</w:t>
            </w:r>
            <w:r>
              <w:rPr>
                <w:rFonts w:hint="eastAsia" w:ascii="仿宋" w:hAnsi="仿宋" w:eastAsia="仿宋" w:cs="仿宋"/>
                <w:color w:val="auto"/>
                <w:kern w:val="0"/>
                <w:sz w:val="24"/>
                <w:highlight w:val="none"/>
                <w:lang w:bidi="ar"/>
              </w:rPr>
              <w:t>像素点间距：≤1.54mm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2、像素构成：表贴三合一1212（1R1G1B）；</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3、像素密度：≥422500点/㎡；</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4、白平衡亮度：≥500cd/㎡；；亮度调节功能：支持配套软件0-100%可调；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、亮度均匀性：≥98.5%；</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、色度均匀性：±0.001Cx，Cy之内；</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、色温：≥3000-20000可调；色温为 6500K 时，100%,75%,50%,25%四档电平白场调节色温误差≤100K。</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8</w:t>
            </w:r>
            <w:r>
              <w:rPr>
                <w:rFonts w:hint="eastAsia" w:ascii="仿宋" w:hAnsi="仿宋" w:eastAsia="仿宋" w:cs="仿宋"/>
                <w:color w:val="auto"/>
                <w:kern w:val="0"/>
                <w:sz w:val="24"/>
                <w:highlight w:val="none"/>
                <w:lang w:bidi="ar"/>
              </w:rPr>
              <w:t>、模组平整度：≤0.1mm</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9</w:t>
            </w:r>
            <w:r>
              <w:rPr>
                <w:rFonts w:hint="eastAsia" w:ascii="仿宋" w:hAnsi="仿宋" w:eastAsia="仿宋" w:cs="仿宋"/>
                <w:color w:val="auto"/>
                <w:kern w:val="0"/>
                <w:sz w:val="24"/>
                <w:highlight w:val="none"/>
                <w:lang w:bidi="ar"/>
              </w:rPr>
              <w:t>、最高对比度：≥8000：1；</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0</w:t>
            </w:r>
            <w:r>
              <w:rPr>
                <w:rFonts w:hint="eastAsia" w:ascii="仿宋" w:hAnsi="仿宋" w:eastAsia="仿宋" w:cs="仿宋"/>
                <w:color w:val="auto"/>
                <w:kern w:val="0"/>
                <w:sz w:val="24"/>
                <w:highlight w:val="none"/>
                <w:lang w:bidi="ar"/>
              </w:rPr>
              <w:t>、视角（水平、垂直）：H≥170°，V≥170°；</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1</w:t>
            </w:r>
            <w:r>
              <w:rPr>
                <w:rFonts w:hint="eastAsia" w:ascii="仿宋" w:hAnsi="仿宋" w:eastAsia="仿宋" w:cs="仿宋"/>
                <w:color w:val="auto"/>
                <w:kern w:val="0"/>
                <w:sz w:val="24"/>
                <w:highlight w:val="none"/>
                <w:lang w:bidi="ar"/>
              </w:rPr>
              <w:t>、灰度等级：≥65536 级，信号处理深度≥16bit。亮度 100nit,灰度等级≥14bit,刷新≥2500HZ上;亮度 200nit,灰度等级16bit,刷新≥3200Hz上;亮度 500nit，灰度等级 16bit,刷新≥3840HZ 以上。</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2</w:t>
            </w:r>
            <w:r>
              <w:rPr>
                <w:rFonts w:hint="eastAsia" w:ascii="仿宋" w:hAnsi="仿宋" w:eastAsia="仿宋" w:cs="仿宋"/>
                <w:color w:val="auto"/>
                <w:kern w:val="0"/>
                <w:sz w:val="24"/>
                <w:highlight w:val="none"/>
                <w:lang w:bidi="ar"/>
              </w:rPr>
              <w:t>、换帧频率：50HZ&amp;60HZ，支持 120Hz~144Hz 等3D 显示技术。</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、刷新频率：≥3840Hz；</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4</w:t>
            </w:r>
            <w:r>
              <w:rPr>
                <w:rFonts w:hint="eastAsia" w:ascii="仿宋" w:hAnsi="仿宋" w:eastAsia="仿宋" w:cs="仿宋"/>
                <w:color w:val="auto"/>
                <w:kern w:val="0"/>
                <w:sz w:val="24"/>
                <w:highlight w:val="none"/>
                <w:lang w:bidi="ar"/>
              </w:rPr>
              <w:t>、电信端口传导共模（非对称） 骚扰电压限值（EMC）：符合GB/T9254-2021 Class A限值要求；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、阻燃（防火）：PCB的阻燃等级达到V-0级；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软件功能：可实时监控显示屏工作状态，具有故障自动告警功能，发生故障立即发消息到指定邮箱，及时处理;具有多点测温系统，均衡散热，防止局部温度过高造成色彩漂移，并提高显示屏寿命;LED显示屏具有电源温度控制系统，提供电源实时温度监控，超出设定温度自动报警，防止过温失效;支持视频、音频、图像、文字、Flash、Gif 等形式的媒体文件播放;支持Microsoft office 的Word、Excel、PPT显示;支持时钟、计时、天气预报显示;支持外部视频信号(TV、AV、S-Video、复合视频)播放。</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、具备发送系统输出信号热备份功能，可实现无延迟切换。电源备份(支持 N+1冗余备份或双电源备份,当其中一路电源故障时，另一路备份电源立即启动工作，保证屏幕正常显示)，支持采用双系统备份，两套发送卡和两套接收卡互为备份方式，任一套发送卡和接收卡故障不影响屏体正常显示，支持工作状态下热插拔维护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18</w:t>
            </w:r>
            <w:r>
              <w:rPr>
                <w:rFonts w:hint="eastAsia" w:ascii="仿宋" w:hAnsi="仿宋" w:eastAsia="仿宋" w:cs="仿宋"/>
                <w:color w:val="auto"/>
                <w:kern w:val="0"/>
                <w:sz w:val="24"/>
                <w:highlight w:val="none"/>
                <w:lang w:bidi="ar"/>
              </w:rPr>
              <w:t>、模组表面绝缘：模组表面绝缘应&gt;1000MQ，L&amp;N 到外壳表面绝缘测试，500V，120s电阻值&gt;2MQ；</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19</w:t>
            </w:r>
            <w:r>
              <w:rPr>
                <w:rFonts w:hint="eastAsia" w:ascii="仿宋" w:hAnsi="仿宋" w:eastAsia="仿宋" w:cs="仿宋"/>
                <w:color w:val="auto"/>
                <w:kern w:val="0"/>
                <w:sz w:val="24"/>
                <w:highlight w:val="none"/>
                <w:lang w:bidi="ar"/>
              </w:rPr>
              <w:t>、功耗：≤598W/㎡，平均功耗：≤300W/㎡；</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20</w:t>
            </w:r>
            <w:r>
              <w:rPr>
                <w:rFonts w:hint="eastAsia" w:ascii="仿宋" w:hAnsi="仿宋" w:eastAsia="仿宋" w:cs="仿宋"/>
                <w:color w:val="auto"/>
                <w:kern w:val="0"/>
                <w:sz w:val="24"/>
                <w:highlight w:val="none"/>
                <w:lang w:bidi="ar"/>
              </w:rPr>
              <w:t>、蓝光安全：蓝光对皮肤和眼睛紫外线危害、宽波段的光源对视网膜的曝辐射值检测 Ld(11mrad)、Lb(100mrad)、L(11mrad)、Ethr、dmin 要求符合 GB/T 20145-2006 标准；</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21</w:t>
            </w:r>
            <w:r>
              <w:rPr>
                <w:rFonts w:hint="eastAsia" w:ascii="仿宋" w:hAnsi="仿宋" w:eastAsia="仿宋" w:cs="仿宋"/>
                <w:color w:val="auto"/>
                <w:kern w:val="0"/>
                <w:sz w:val="24"/>
                <w:highlight w:val="none"/>
                <w:lang w:bidi="ar"/>
              </w:rPr>
              <w:t xml:space="preserve">、所投LED显示屏需通过抗电强度试验：在交流到电源入端与金属外框或可触及的金属结构件(与保护接地连接)间施加50Hz基本正弦波、1500V(有效值)的测试电压，1min满足，LED显示屏应有保护接地端子，单个LED星示屏模组的接地电阻应不大于0.1Ω，多个拼接的LED显示屏的金属外壳应与LED显示屏的钢架一起接地，且显示屏整体系统的接地电阻应不大于1Ω.                               </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val="en-US" w:eastAsia="zh-CN" w:bidi="ar"/>
              </w:rPr>
              <w:t>22</w:t>
            </w:r>
            <w:r>
              <w:rPr>
                <w:rFonts w:hint="eastAsia" w:ascii="仿宋" w:hAnsi="仿宋" w:eastAsia="仿宋" w:cs="仿宋"/>
                <w:color w:val="auto"/>
                <w:kern w:val="0"/>
                <w:sz w:val="24"/>
                <w:highlight w:val="none"/>
                <w:lang w:bidi="ar"/>
              </w:rPr>
              <w:t xml:space="preserve">、为了提高LED显示屏使用寿命，所投LED显示屏需通过以下灯珠试验：灯珠耐焊耐热试验：Tmax=260℃，回流焊 2 次；灯珠常温寿命试验：Tc=25℃ Ifr=10mA IFg=10mA Ifb=10mA通电 1000H；灯珠冷热冲击试验：-50℃～130℃各 15min 200 次，；灯珠高温贮存试验：Ta=100℃ 贮存 500H；灯珠抗静电（ESD）测试：HBM 模式：ESD＞20；灯珠漏电流试验：反向电压 Vr=10V漏电流 0.2uA；灯珠红墨水试验：回流焊1 次，纯红墨水常温浸泡 24H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8E01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30.1056</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EFAB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1B6F4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0791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B136A">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窗口显示系统</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4492D">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含13套APP可视化软件，硬件支持4k输出，高性能、低功耗的四核应用处理器,搭载 Android 11.0/Linux 系统，主频高达≥1.8GHz。嵌入式 3D GPU(ARM Mali-G52 2EE)使 RK3566 与 OpenGL ES 1.1/2.0/3.2、OpenCL 2.0 和 Vulkan1.1 完全兼容。运行内存≥2GB，本地存储≥16GB，集成了 LVDS、MIPI、百兆以太网、WIFI、蓝牙，5W*2 功放、TF 卡扩展、红外遥控、串口/IO扩展、HDMI 输出、MIC、背光供电等功能，大大简化了整机设计。内置可视化终端显示软件支持与现有大厅排队管理系统与信息发布系统数据对接和通讯交互 客户端注册及加密，支持显示当前办理窗口的人员信息包括姓名、工号和部门，支持叫号信息的即时显示，同时支持以下多媒体格式的显示：包括文件类型： 视频：MPEG1/2/4,WMV,AVI,VOB 图片：JPG,PNG,GIF,SWF(Flash)其它：FLASH,PPT,TXT ,HTML</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1D81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E6BB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套</w:t>
            </w:r>
          </w:p>
        </w:tc>
      </w:tr>
      <w:tr w14:paraId="6674D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FB93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50639">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接收卡</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F71E8">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highlight w:val="none"/>
                <w:lang w:bidi="ar"/>
              </w:rPr>
              <w:t>1、单卡带载分辨率</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512×512@60Hz；</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2、无需转接板，单卡自带HUB75接口，更加稳定;</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3、支持逐点亮色度校正，可以对每个灯点的亮度和色度进行校正，有效消除色差，使整屏的亮度和色度达到高度均匀一致，提高显示屏的画质；</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4、通过软件调节，可以解决箱体或灯板之间因拼接导致的亮暗线问题</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5、配合支持3D功能的独立主控，在软件或独立主控的操作面板上开启3D功能，并设置3D参数，使画面显示3D效果；</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6、Mapping功能开启，在箱体上显示控制器编号、接收卡编号和网口信息，清晰获取接收卡的位置和走线方式；</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7、支持数据组mapping，以数据组为单位显示打屏画面，清晰获取每组数据在箱体的位置；</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8、可以监测自身的温度和电压，无需其他外设，在软件上可以查看接收卡的温度和电压；</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9、检测发送设备与接收卡间或接收卡与接收卡间的网络通讯质量，记录错误包数，协助排除网络通讯隐患；</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10、支持5pin液晶模块，用于显示接收卡的温度、电压、单次运行时间和总运行时间；</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11、</w:t>
            </w:r>
            <w:r>
              <w:rPr>
                <w:rFonts w:hint="eastAsia" w:ascii="仿宋" w:hAnsi="仿宋" w:eastAsia="仿宋" w:cs="仿宋"/>
                <w:color w:val="auto"/>
                <w:kern w:val="0"/>
                <w:sz w:val="24"/>
                <w:highlight w:val="none"/>
                <w:lang w:val="en-US" w:eastAsia="zh-CN" w:bidi="ar"/>
              </w:rPr>
              <w:t>在 LCT 上</w:t>
            </w:r>
            <w:r>
              <w:rPr>
                <w:rFonts w:hint="eastAsia" w:ascii="仿宋" w:hAnsi="仿宋" w:eastAsia="仿宋" w:cs="仿宋"/>
                <w:color w:val="auto"/>
                <w:kern w:val="0"/>
                <w:sz w:val="24"/>
                <w:highlight w:val="none"/>
                <w:lang w:bidi="ar"/>
              </w:rPr>
              <w:t>可以将指定图片设置为显示屏的开机画面、网线断开或无视频信号时的画面；</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12、RGB独立Gamma调节技术增加调节维度，通过对“红Gamma”、“绿Gamma”、“蓝Gamma”分别进行调节，有效控制显示屏低灰不均匀、白平衡漂移等问题，使画面更加真实，提高色彩调节的灵活性；</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13、降低视频源在接收卡端的延迟，延迟低至1帧。(针对使用内建RAM的驱动IC的灯板)；</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14、支持回读接收卡的固件程序并保存到本地；</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16、检测发送卡设备与接收卡间或接收卡与接收卡间的网线连接，记录网线断开的次数；</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17、通过主备冗余机制增加接收卡间网线级联的可靠性。主备级联线路中，当其中一条线路出现故障时，另一条线路会即时工作，保证显示屏正常工作；</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18、通过电源指示灯和状态指示灯不同闪烁状态可以判断，屏体工作状态，无需软件；</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19、画面能以90°的倍数（0°/90°/180°/270°）旋转显示；</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360F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239</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F31C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张</w:t>
            </w:r>
          </w:p>
        </w:tc>
      </w:tr>
      <w:tr w14:paraId="5EB58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DC0F9">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9</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436CE">
            <w:pPr>
              <w:keepNext w:val="0"/>
              <w:keepLines w:val="0"/>
              <w:widowControl/>
              <w:numPr>
                <w:ilvl w:val="0"/>
                <w:numId w:val="0"/>
              </w:numPr>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lang w:val="en-US" w:eastAsia="zh-CN" w:bidi="ar"/>
              </w:rPr>
              <w:t>A.</w:t>
            </w:r>
            <w:r>
              <w:rPr>
                <w:rFonts w:hint="eastAsia" w:ascii="仿宋" w:hAnsi="仿宋" w:eastAsia="仿宋" w:cs="仿宋"/>
                <w:i w:val="0"/>
                <w:iCs w:val="0"/>
                <w:color w:val="auto"/>
                <w:kern w:val="0"/>
                <w:sz w:val="24"/>
                <w:szCs w:val="24"/>
                <w:highlight w:val="none"/>
                <w:u w:val="none"/>
                <w:lang w:val="en-US" w:eastAsia="zh-CN" w:bidi="ar"/>
              </w:rPr>
              <w:t>D.E厅处理器</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68D31">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highlight w:val="none"/>
                <w:lang w:bidi="ar"/>
              </w:rPr>
              <w:t>1、采用标准金属结构机箱，机箱为后挂耳结构，上盖无螺钉安装:外壳防护等级符合GBIT 4280-2017中IP20的要求;采用纯硬件 FPGA 架构设计、运行稳定、可靠、高效。</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2、输入接口</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1路HDMI2.0+LOOP,</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2路HDMI1.3，</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1路USB3.0，支持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4096*2160@60HZ</w:t>
            </w:r>
            <w:r>
              <w:rPr>
                <w:rFonts w:hint="eastAsia" w:ascii="仿宋" w:hAnsi="仿宋" w:eastAsia="仿宋" w:cs="仿宋"/>
                <w:color w:val="auto"/>
                <w:kern w:val="0"/>
                <w:sz w:val="24"/>
                <w:highlight w:val="none"/>
                <w:lang w:val="en-US" w:eastAsia="zh-CN" w:bidi="ar"/>
              </w:rPr>
              <w:t>信号输入</w:t>
            </w:r>
            <w:r>
              <w:rPr>
                <w:rFonts w:hint="eastAsia" w:ascii="仿宋" w:hAnsi="仿宋" w:eastAsia="仿宋" w:cs="仿宋"/>
                <w:color w:val="auto"/>
                <w:kern w:val="0"/>
                <w:sz w:val="24"/>
                <w:highlight w:val="none"/>
                <w:lang w:bidi="ar"/>
              </w:rPr>
              <w:t>。</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3、视频输出支持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10路千兆网口输出，</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1路10G-OPT光口，带载</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650万像素。</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4、音频输入支持视频口伴随音频输入及独立输入两种模式，音频输出支持网口扩展输出及3.5mm独立音频口输出；</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5、支持输入源备份功能，主源丢失下，无需人为操作可自动切换至备源显示，切换过程无黑屏；</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6、可支持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144HZ高帧率输入输出，输出支持插帧、抽帧、倍频（2倍频、3倍频、4倍频）功能，可将30HZ信号，倍频至120HZ输出；</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7、图层能力：支持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6个2K图层或</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1个4K图层+2个2K图层，全部图层大小和位置可单独调节。4K接口输入2K信号，按2K图层计算图层资源；</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8、支持通过</w:t>
            </w:r>
            <w:r>
              <w:rPr>
                <w:rFonts w:hint="eastAsia" w:ascii="仿宋" w:hAnsi="仿宋" w:eastAsia="仿宋" w:cs="仿宋"/>
                <w:color w:val="auto"/>
                <w:kern w:val="0"/>
                <w:sz w:val="24"/>
                <w:highlight w:val="none"/>
                <w:lang w:val="en-US" w:eastAsia="zh-CN" w:bidi="ar"/>
              </w:rPr>
              <w:t>一套</w:t>
            </w:r>
            <w:r>
              <w:rPr>
                <w:rFonts w:hint="eastAsia" w:ascii="仿宋" w:hAnsi="仿宋" w:eastAsia="仿宋" w:cs="仿宋"/>
                <w:color w:val="auto"/>
                <w:kern w:val="0"/>
                <w:sz w:val="24"/>
                <w:highlight w:val="none"/>
                <w:lang w:bidi="ar"/>
              </w:rPr>
              <w:t>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9、支持U盘即插即播功能，支持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4K级（3840*2160@60fps）图片和视频的流畅播放，播放列表计切换效果支持自定义编排，支持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20余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10、标配全彩液晶，搭配实体按键，极大的方便了设备整体状态的监控及设备功能的控制:设备功能按键及丝印信息采用全中文提示，项目上无需粘贴额外的标签纸加以区分，清晰直观;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11、支持2种用户模式，标准模式和专业模式，满足不同角色对显示屏的分权管理，使用更加放心；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12、支持微信小程序快捷控制，包括亮度调节、输出画质调节、待机模式、画面冻结、场景切换、U盘播放等功能；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13、支持平板对控制器进行快捷控制，包括亮度调节、图层布局调节、画面冻结、黑屏、场景切换、音量大小、OSD开关等功能；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14、支持创建多个设备还原点，将当前设备的配屏，场景，输出等参数存储为还原点，当系统工作异常时，可根据还原点一键快速还原；</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15、支持控制设备白名单，可通过MAC地址限制控制设备，非白名单内设备无法控制设备，不允许对设备进行操作；</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16、MTBF≥150000小时，MTTR平均修复</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10分钟可用度大于 99%，整机寿</w:t>
            </w:r>
            <w:r>
              <w:rPr>
                <w:rFonts w:hint="eastAsia" w:ascii="仿宋" w:hAnsi="仿宋" w:eastAsia="仿宋" w:cs="仿宋"/>
                <w:color w:val="auto"/>
                <w:kern w:val="0"/>
                <w:sz w:val="24"/>
                <w:highlight w:val="none"/>
                <w:lang w:val="en-US" w:eastAsia="zh-CN" w:bidi="ar"/>
              </w:rPr>
              <w:t>命≥</w:t>
            </w:r>
            <w:r>
              <w:rPr>
                <w:rFonts w:hint="eastAsia" w:ascii="仿宋" w:hAnsi="仿宋" w:eastAsia="仿宋" w:cs="仿宋"/>
                <w:color w:val="auto"/>
                <w:kern w:val="0"/>
                <w:sz w:val="24"/>
                <w:highlight w:val="none"/>
                <w:lang w:bidi="ar"/>
              </w:rPr>
              <w:t>150000小时。产品稳定性高、性能卓越、纯硬件结构，上电即可正常工作，无需做任何其它设</w:t>
            </w:r>
            <w:r>
              <w:rPr>
                <w:rFonts w:hint="eastAsia" w:ascii="仿宋" w:hAnsi="仿宋" w:eastAsia="仿宋" w:cs="仿宋"/>
                <w:color w:val="auto"/>
                <w:kern w:val="0"/>
                <w:sz w:val="24"/>
                <w:highlight w:val="none"/>
                <w:lang w:val="en-US" w:eastAsia="zh-CN" w:bidi="ar"/>
              </w:rPr>
              <w:t>置</w:t>
            </w:r>
            <w:r>
              <w:rPr>
                <w:rFonts w:hint="eastAsia" w:ascii="仿宋" w:hAnsi="仿宋" w:eastAsia="仿宋" w:cs="仿宋"/>
                <w:color w:val="auto"/>
                <w:kern w:val="0"/>
                <w:sz w:val="24"/>
                <w:highlight w:val="none"/>
                <w:lang w:bidi="ar"/>
              </w:rPr>
              <w:t>。</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17、设备控制支持BS架构，可兼容多种操作系统包括但不限于：Windows、MAC OS、深度 Linux、银河麒麟、统信 UOS中标麒麟(NeoKylin)、优麒麟(UbuntuKylin)、凝思磐石、红旗 Linux 等;</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E53A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E626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3C54B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A6014">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95B3B">
            <w:pPr>
              <w:keepNext w:val="0"/>
              <w:keepLines w:val="0"/>
              <w:widowControl/>
              <w:numPr>
                <w:ilvl w:val="0"/>
                <w:numId w:val="0"/>
              </w:numPr>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D.F厅处理器</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7430">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highlight w:val="none"/>
                <w:lang w:bidi="ar"/>
              </w:rPr>
              <w:t>1、采用标准金属结构机箱，机箱为后挂耳结构，上盖无螺钉安装:外壳防护等级符合GBIT 4280-2017中IP20的要求;采用纯硬件 FPGA 架构设计、运行稳定、可靠、高效。</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2、输入接口</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1路HDMI2.0+LOOP,</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2路HDMI1.3，</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1路USB3.0，支持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4096*2160@60HZ</w:t>
            </w:r>
            <w:r>
              <w:rPr>
                <w:rFonts w:hint="eastAsia" w:ascii="仿宋" w:hAnsi="仿宋" w:eastAsia="仿宋" w:cs="仿宋"/>
                <w:color w:val="auto"/>
                <w:kern w:val="0"/>
                <w:sz w:val="24"/>
                <w:highlight w:val="none"/>
                <w:lang w:val="en-US" w:eastAsia="zh-CN" w:bidi="ar"/>
              </w:rPr>
              <w:t>信号输入</w:t>
            </w:r>
            <w:r>
              <w:rPr>
                <w:rFonts w:hint="eastAsia" w:ascii="仿宋" w:hAnsi="仿宋" w:eastAsia="仿宋" w:cs="仿宋"/>
                <w:color w:val="auto"/>
                <w:kern w:val="0"/>
                <w:sz w:val="24"/>
                <w:highlight w:val="none"/>
                <w:lang w:bidi="ar"/>
              </w:rPr>
              <w:t>。</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3、视频输出支持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12路千兆网口输出，</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2路10G-OPT光口，带载</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780万像素。</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4、音频输入支持视频口伴随音频输入及独立输入两种模式，音频输出支持网口扩展输出及3.5mm独立音频口输出；</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5、支持输入源备份功能，主源丢失下，无需人为操作可自动切换至备源显示，切换过程无黑屏；</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6、可支持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144HZ高帧率输入输出，输出支持插帧、抽帧、倍频（2倍频、3倍频、4倍频）功能，可将30HZ信号，倍频至120HZ输出；</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7、图层能力：</w:t>
            </w:r>
            <w:r>
              <w:rPr>
                <w:rFonts w:hint="eastAsia" w:ascii="仿宋" w:hAnsi="仿宋" w:eastAsia="仿宋" w:cs="仿宋"/>
                <w:color w:val="auto"/>
                <w:kern w:val="0"/>
                <w:sz w:val="28"/>
                <w:szCs w:val="28"/>
                <w:highlight w:val="none"/>
                <w:lang w:bidi="ar"/>
              </w:rPr>
              <w:t>支持</w:t>
            </w:r>
            <w:r>
              <w:rPr>
                <w:rFonts w:hint="eastAsia" w:ascii="仿宋" w:hAnsi="仿宋" w:eastAsia="仿宋" w:cs="仿宋"/>
                <w:color w:val="auto"/>
                <w:kern w:val="0"/>
                <w:sz w:val="28"/>
                <w:szCs w:val="28"/>
                <w:highlight w:val="none"/>
                <w:lang w:val="en-US" w:eastAsia="zh-CN" w:bidi="ar"/>
              </w:rPr>
              <w:t>≥</w:t>
            </w:r>
            <w:r>
              <w:rPr>
                <w:rFonts w:hint="eastAsia" w:ascii="仿宋" w:hAnsi="仿宋" w:eastAsia="仿宋" w:cs="仿宋"/>
                <w:color w:val="auto"/>
                <w:kern w:val="0"/>
                <w:sz w:val="24"/>
                <w:highlight w:val="none"/>
                <w:lang w:bidi="ar"/>
              </w:rPr>
              <w:t>6个2K图层或</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1个4K图层+2个2K图层，全部图层大小和位置可单独调节。4K接口输入2K信号，按2K图层计算图层资源；</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9、支持U盘即插即播功能，图片和视频的流畅播放，播放列表计切换效果支持自定义编排，支持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20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10、标配全彩液晶，搭配实体按键，极大的方便了设备整体状态的监控及设备功能的控制:设备功能按键及丝印信息采用全中文提示，项目上无需粘贴额外的标签纸加以区分，清晰直观;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11、支持2种用户模式，标准模式和专业模式，满足不同角色对显示屏的分权管理，使用更加放心；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12、支持微信小程序快捷控制，包括亮度调节、输出画质调节、待机模式、画面冻结、场景切换、U盘播放等功能；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13、支持平板对控制器进行快捷控制，包括亮度调节、图层布局调节、画面冻结、黑屏、场景切换、音量大小、OSD开关等功能；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14、支持创建多个设备还原点，将当前设备的配屏，场景，输出等参数存储为还原点，当系统工作异常时，可根据还原点一键快速还原；</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15、支持控制设备白名单，可通过MAC地址限制控制设备，非白名单内设备无法控制设备，不允许对设备进行操作；</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16、MTBF≥150000小时，MTTR平均修复</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10分钟可用度大于 99%，整机寿</w:t>
            </w:r>
            <w:r>
              <w:rPr>
                <w:rFonts w:hint="eastAsia" w:ascii="仿宋" w:hAnsi="仿宋" w:eastAsia="仿宋" w:cs="仿宋"/>
                <w:color w:val="auto"/>
                <w:kern w:val="0"/>
                <w:sz w:val="24"/>
                <w:highlight w:val="none"/>
                <w:lang w:val="en-US" w:eastAsia="zh-CN" w:bidi="ar"/>
              </w:rPr>
              <w:t>命≥</w:t>
            </w:r>
            <w:r>
              <w:rPr>
                <w:rFonts w:hint="eastAsia" w:ascii="仿宋" w:hAnsi="仿宋" w:eastAsia="仿宋" w:cs="仿宋"/>
                <w:color w:val="auto"/>
                <w:kern w:val="0"/>
                <w:sz w:val="24"/>
                <w:highlight w:val="none"/>
                <w:lang w:bidi="ar"/>
              </w:rPr>
              <w:t>150000小时。产品稳定性高、性能卓越、纯硬件结构，上电即可正常工作，无需做任何其它</w:t>
            </w:r>
            <w:r>
              <w:rPr>
                <w:rFonts w:hint="eastAsia" w:ascii="仿宋" w:hAnsi="仿宋" w:eastAsia="仿宋" w:cs="仿宋"/>
                <w:color w:val="auto"/>
                <w:kern w:val="0"/>
                <w:sz w:val="24"/>
                <w:highlight w:val="none"/>
                <w:lang w:val="en-US" w:eastAsia="zh-CN" w:bidi="ar"/>
              </w:rPr>
              <w:t>设置</w:t>
            </w:r>
            <w:r>
              <w:rPr>
                <w:rFonts w:hint="eastAsia" w:ascii="仿宋" w:hAnsi="仿宋" w:eastAsia="仿宋" w:cs="仿宋"/>
                <w:color w:val="auto"/>
                <w:kern w:val="0"/>
                <w:sz w:val="24"/>
                <w:highlight w:val="none"/>
                <w:lang w:bidi="ar"/>
              </w:rPr>
              <w:t>。</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17、设备控制支持BS架构，可兼容多种操作系统包括但不限于：Windows、MAC OS、深度 Linux、银河麒麟、统信 UOS中标麒麟(NeoKylin)、优麒麟(UbuntuKylin)、凝思磐石、红旗 Linux 等;</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B6BC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C9BE9">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266C7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1232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11</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9977E">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C厅处理器</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FCF99">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highlight w:val="none"/>
                <w:lang w:bidi="ar"/>
              </w:rPr>
              <w:t>1、采用金属结构机箱，机箱为后挂耳结构，上盖无螺钉安装:外壳防护等级符合GBIT 4280-2017中IP20的要求;采用纯硬件 FPGA 架构设计、运行稳定、可靠、高效。</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2、输入接口</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1路HDMI2.0+LOOP,</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2路HDMI1.3，</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1路USB3.0，支持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4096*2160@60HZ</w:t>
            </w:r>
            <w:r>
              <w:rPr>
                <w:rFonts w:hint="eastAsia" w:ascii="仿宋" w:hAnsi="仿宋" w:eastAsia="仿宋" w:cs="仿宋"/>
                <w:color w:val="auto"/>
                <w:kern w:val="0"/>
                <w:sz w:val="24"/>
                <w:highlight w:val="none"/>
                <w:lang w:val="en-US" w:eastAsia="zh-CN" w:bidi="ar"/>
              </w:rPr>
              <w:t>信号输入</w:t>
            </w:r>
            <w:r>
              <w:rPr>
                <w:rFonts w:hint="eastAsia" w:ascii="仿宋" w:hAnsi="仿宋" w:eastAsia="仿宋" w:cs="仿宋"/>
                <w:color w:val="auto"/>
                <w:kern w:val="0"/>
                <w:sz w:val="24"/>
                <w:highlight w:val="none"/>
                <w:lang w:bidi="ar"/>
              </w:rPr>
              <w:t>。</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3、视频输出支持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6路千兆网口输出，</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1路10G-OPT光口，带载</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390万像素，最宽支持10240,最高8192。</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4、音频输入支持视频口伴随音频输入及独立输入两种模式，音频输出支持网口扩展输出及3.5mm独立音频口输出；</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5、支持输入源备份功能，主源丢失下，无需人为操作可自动切换至备源显示，切换过程无黑屏；</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6、可支持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144HZ高帧率输入输出，输出支持插帧、抽帧、倍频（2倍频、3倍频、4倍频）功能，可将30HZ信号，倍频至120HZ输出；</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7、图层能力：支持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6个2K图层或</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1个4K图层+2个2K图层，全部图层大小和位置可单独调节。4K接口输入2K信号，按2K图层计算图层资源；</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9、支持U盘即插即播功能，最大支持4K级（3840*2160@60fps）图片和视频的流畅播放，播放列表计切换效果支持自定义编排，支持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20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10、标配全彩液晶，搭配实体按键，极大的方便了设备整体状态的监控及设备功能的控制:设备功能按键及丝印信息采用全中文提示，项目上无需粘贴额外的标签纸加以区分，清晰直观;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11、支持2种用户模式，标准模式和专业模式，满足不同角色对显示屏的分权管理，使用更加放心；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12、支持微信小程序快捷控制，包括亮度调节、输出画质调节、待机模式、画面冻结、场景切换、U盘播放等功能；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13、支持平板对控制器进行快捷控制，包括亮度调节、图层布局调节、画面冻结、黑屏、场景切换、音量大小、OSD开关等功能；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14、支持创建多个设备还原点，将当前设备的配屏，场景，输出等参数存储为还原点，当系统工作异常时，可根据还原点一键快速还原；</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15、支持控制设备白名单，可通过MAC地址限制控制设备，非白名单内设备无法控制设备，不允许对设备进行操作；</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16、MTBF≥150000小时，MTTR平均修复</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10分钟可用度大于 99%，整机寿</w:t>
            </w:r>
            <w:r>
              <w:rPr>
                <w:rFonts w:hint="eastAsia" w:ascii="仿宋" w:hAnsi="仿宋" w:eastAsia="仿宋" w:cs="仿宋"/>
                <w:color w:val="auto"/>
                <w:kern w:val="0"/>
                <w:sz w:val="24"/>
                <w:highlight w:val="none"/>
                <w:lang w:val="en-US" w:eastAsia="zh-CN" w:bidi="ar"/>
              </w:rPr>
              <w:t>命≥</w:t>
            </w:r>
            <w:r>
              <w:rPr>
                <w:rFonts w:hint="eastAsia" w:ascii="仿宋" w:hAnsi="仿宋" w:eastAsia="仿宋" w:cs="仿宋"/>
                <w:color w:val="auto"/>
                <w:kern w:val="0"/>
                <w:sz w:val="24"/>
                <w:highlight w:val="none"/>
                <w:lang w:bidi="ar"/>
              </w:rPr>
              <w:t>150000小时。产品稳定性高、性能卓越、纯硬件结构，上电即可正常工作，无需做任何其它</w:t>
            </w:r>
            <w:r>
              <w:rPr>
                <w:rFonts w:hint="eastAsia" w:ascii="仿宋" w:hAnsi="仿宋" w:eastAsia="仿宋" w:cs="仿宋"/>
                <w:color w:val="auto"/>
                <w:kern w:val="0"/>
                <w:sz w:val="24"/>
                <w:highlight w:val="none"/>
                <w:lang w:val="en-US" w:eastAsia="zh-CN" w:bidi="ar"/>
              </w:rPr>
              <w:t>设置</w:t>
            </w:r>
            <w:r>
              <w:rPr>
                <w:rFonts w:hint="eastAsia" w:ascii="仿宋" w:hAnsi="仿宋" w:eastAsia="仿宋" w:cs="仿宋"/>
                <w:color w:val="auto"/>
                <w:kern w:val="0"/>
                <w:sz w:val="24"/>
                <w:highlight w:val="none"/>
                <w:lang w:bidi="ar"/>
              </w:rPr>
              <w:t>。</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17、设备控制支持BS架构，可兼容多种操作系统包括但不限于：Windows、MAC OS、深度 Linux、银河麒麟、统信 UOS中标麒麟(NeoKylin)、优麒麟(UbuntuKylin)、凝思磐石、红旗 Linux 等;</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3E12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DF53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5E202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2209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0547A">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C厅处理器</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EE58A">
            <w:pPr>
              <w:widowControl/>
              <w:numPr>
                <w:ilvl w:val="0"/>
                <w:numId w:val="0"/>
              </w:numPr>
              <w:jc w:val="left"/>
              <w:textAlignment w:val="center"/>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val="en-US" w:eastAsia="zh-CN" w:bidi="ar"/>
              </w:rPr>
              <w:t>1、</w:t>
            </w:r>
            <w:r>
              <w:rPr>
                <w:rFonts w:hint="eastAsia" w:ascii="仿宋" w:hAnsi="仿宋" w:eastAsia="仿宋" w:cs="仿宋"/>
                <w:color w:val="auto"/>
                <w:kern w:val="0"/>
                <w:sz w:val="24"/>
                <w:highlight w:val="none"/>
                <w:lang w:bidi="ar"/>
              </w:rPr>
              <w:t>支持多路输入接口：</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 路 DVI，</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 路 HDMI，</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 路 VGA，</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 路 USB ，</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 路 CVBS，以适用各种前端输入信号；</w:t>
            </w:r>
          </w:p>
          <w:p w14:paraId="754DEBC7">
            <w:pPr>
              <w:widowControl/>
              <w:numPr>
                <w:ilvl w:val="0"/>
                <w:numId w:val="0"/>
              </w:numPr>
              <w:ind w:leftChars="0"/>
              <w:jc w:val="left"/>
              <w:textAlignment w:val="center"/>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val="en-US" w:eastAsia="zh-CN" w:bidi="ar"/>
              </w:rPr>
              <w:t>2、</w:t>
            </w:r>
            <w:r>
              <w:rPr>
                <w:rFonts w:hint="eastAsia" w:ascii="仿宋" w:hAnsi="仿宋" w:eastAsia="仿宋" w:cs="仿宋"/>
                <w:color w:val="auto"/>
                <w:kern w:val="0"/>
                <w:sz w:val="24"/>
                <w:highlight w:val="none"/>
                <w:lang w:bidi="ar"/>
              </w:rPr>
              <w:t>发送卡和视频处理器二合一，减少系统连线，有效提升系统的稳定性及兼容性；</w:t>
            </w:r>
          </w:p>
          <w:p w14:paraId="6E6DA097">
            <w:pPr>
              <w:widowControl/>
              <w:numPr>
                <w:ilvl w:val="0"/>
                <w:numId w:val="0"/>
              </w:numPr>
              <w:ind w:leftChars="0"/>
              <w:jc w:val="left"/>
              <w:textAlignment w:val="center"/>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支持插入U盘播放；</w:t>
            </w:r>
          </w:p>
          <w:p w14:paraId="694BF8D0">
            <w:pPr>
              <w:widowControl/>
              <w:numPr>
                <w:ilvl w:val="0"/>
                <w:numId w:val="0"/>
              </w:numPr>
              <w:ind w:leftChars="0"/>
              <w:jc w:val="left"/>
              <w:textAlignment w:val="center"/>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val="en-US" w:eastAsia="zh-CN" w:bidi="ar"/>
              </w:rPr>
              <w:t>4、</w:t>
            </w:r>
            <w:r>
              <w:rPr>
                <w:rFonts w:hint="eastAsia" w:ascii="仿宋" w:hAnsi="仿宋" w:eastAsia="仿宋" w:cs="仿宋"/>
                <w:color w:val="auto"/>
                <w:kern w:val="0"/>
                <w:sz w:val="24"/>
                <w:highlight w:val="none"/>
                <w:lang w:bidi="ar"/>
              </w:rPr>
              <w:t xml:space="preserve">设备前面板配备直观的 </w:t>
            </w:r>
            <w:r>
              <w:rPr>
                <w:rFonts w:hint="eastAsia" w:ascii="仿宋" w:hAnsi="仿宋" w:eastAsia="仿宋" w:cs="仿宋"/>
                <w:color w:val="auto"/>
                <w:kern w:val="0"/>
                <w:sz w:val="24"/>
                <w:highlight w:val="none"/>
                <w:lang w:val="en-US" w:eastAsia="zh-CN" w:bidi="ar"/>
              </w:rPr>
              <w:t>液晶</w:t>
            </w:r>
            <w:r>
              <w:rPr>
                <w:rFonts w:hint="eastAsia" w:ascii="仿宋" w:hAnsi="仿宋" w:eastAsia="仿宋" w:cs="仿宋"/>
                <w:color w:val="auto"/>
                <w:kern w:val="0"/>
                <w:sz w:val="24"/>
                <w:highlight w:val="none"/>
                <w:lang w:bidi="ar"/>
              </w:rPr>
              <w:t xml:space="preserve"> 显示界面，可实时显示型号、ip地址、窗口及信号源的分辨率、网口的状态、屏幕大小及帧频、USB 连接或网线连接状态和屏体亮度；</w:t>
            </w:r>
          </w:p>
          <w:p w14:paraId="5735292A">
            <w:pPr>
              <w:widowControl/>
              <w:numPr>
                <w:ilvl w:val="0"/>
                <w:numId w:val="0"/>
              </w:numPr>
              <w:ind w:leftChars="0"/>
              <w:jc w:val="left"/>
              <w:textAlignment w:val="center"/>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val="en-US" w:eastAsia="zh-CN" w:bidi="ar"/>
              </w:rPr>
              <w:t>5、</w:t>
            </w:r>
            <w:r>
              <w:rPr>
                <w:rFonts w:hint="eastAsia" w:ascii="仿宋" w:hAnsi="仿宋" w:eastAsia="仿宋" w:cs="仿宋"/>
                <w:color w:val="auto"/>
                <w:kern w:val="0"/>
                <w:sz w:val="24"/>
                <w:highlight w:val="none"/>
                <w:lang w:bidi="ar"/>
              </w:rPr>
              <w:t>支持配合多功能卡，实现对屏体电源的手动控制，自动控制，以及软件控制，灵活简单。</w:t>
            </w:r>
          </w:p>
          <w:p w14:paraId="62CC46BF">
            <w:pPr>
              <w:widowControl/>
              <w:numPr>
                <w:ilvl w:val="0"/>
                <w:numId w:val="0"/>
              </w:numPr>
              <w:ind w:leftChars="0"/>
              <w:jc w:val="left"/>
              <w:textAlignment w:val="center"/>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val="en-US" w:eastAsia="zh-CN" w:bidi="ar"/>
              </w:rPr>
              <w:t>6、</w:t>
            </w:r>
            <w:r>
              <w:rPr>
                <w:rFonts w:hint="eastAsia" w:ascii="仿宋" w:hAnsi="仿宋" w:eastAsia="仿宋" w:cs="仿宋"/>
                <w:color w:val="auto"/>
                <w:kern w:val="0"/>
                <w:sz w:val="24"/>
                <w:highlight w:val="none"/>
                <w:lang w:bidi="ar"/>
              </w:rPr>
              <w:t>支持 DVI、HDMI 的输入分辨率自定义调节。</w:t>
            </w:r>
          </w:p>
          <w:p w14:paraId="788EB90F">
            <w:pPr>
              <w:widowControl/>
              <w:numPr>
                <w:ilvl w:val="0"/>
                <w:numId w:val="0"/>
              </w:numPr>
              <w:ind w:leftChars="0"/>
              <w:jc w:val="left"/>
              <w:textAlignment w:val="center"/>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val="en-US" w:eastAsia="zh-CN" w:bidi="ar"/>
              </w:rPr>
              <w:t>7、</w:t>
            </w:r>
            <w:r>
              <w:rPr>
                <w:rFonts w:hint="eastAsia" w:ascii="仿宋" w:hAnsi="仿宋" w:eastAsia="仿宋" w:cs="仿宋"/>
                <w:color w:val="auto"/>
                <w:kern w:val="0"/>
                <w:sz w:val="24"/>
                <w:highlight w:val="none"/>
                <w:lang w:bidi="ar"/>
              </w:rPr>
              <w:t>支持逐点亮度校正，可以对每个灯点的亮度和色度进行采集校正，有效消除色差，使整屏的亮度和色度达到高度均匀一致，提高显示屏的画质。</w:t>
            </w:r>
          </w:p>
          <w:p w14:paraId="14B10C7A">
            <w:pPr>
              <w:widowControl/>
              <w:numPr>
                <w:ilvl w:val="0"/>
                <w:numId w:val="0"/>
              </w:numPr>
              <w:ind w:leftChars="0"/>
              <w:jc w:val="left"/>
              <w:textAlignment w:val="center"/>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val="en-US" w:eastAsia="zh-CN" w:bidi="ar"/>
              </w:rPr>
              <w:t>8、</w:t>
            </w:r>
            <w:r>
              <w:rPr>
                <w:rFonts w:hint="eastAsia" w:ascii="仿宋" w:hAnsi="仿宋" w:eastAsia="仿宋" w:cs="仿宋"/>
                <w:color w:val="auto"/>
                <w:kern w:val="0"/>
                <w:sz w:val="24"/>
                <w:highlight w:val="none"/>
                <w:lang w:bidi="ar"/>
              </w:rPr>
              <w:t>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4个千兆网口输出，带载</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260万像素。</w:t>
            </w:r>
          </w:p>
          <w:p w14:paraId="62F848A0">
            <w:pPr>
              <w:widowControl/>
              <w:numPr>
                <w:ilvl w:val="0"/>
                <w:numId w:val="0"/>
              </w:numPr>
              <w:ind w:leftChars="0"/>
              <w:jc w:val="left"/>
              <w:textAlignment w:val="center"/>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val="en-US" w:eastAsia="zh-CN" w:bidi="ar"/>
              </w:rPr>
              <w:t>9</w:t>
            </w:r>
            <w:r>
              <w:rPr>
                <w:rFonts w:hint="eastAsia" w:ascii="仿宋" w:hAnsi="仿宋" w:eastAsia="仿宋" w:cs="仿宋"/>
                <w:color w:val="auto"/>
                <w:kern w:val="0"/>
                <w:sz w:val="24"/>
                <w:highlight w:val="none"/>
                <w:lang w:bidi="ar"/>
              </w:rPr>
              <w:t>、支持创建</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6个用户场景作为模板保存，方便快速调用。</w:t>
            </w:r>
          </w:p>
          <w:p w14:paraId="4995704D">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highlight w:val="none"/>
                <w:lang w:bidi="ar"/>
              </w:rPr>
              <w:t>1</w:t>
            </w:r>
            <w:r>
              <w:rPr>
                <w:rFonts w:hint="eastAsia" w:ascii="仿宋" w:hAnsi="仿宋" w:eastAsia="仿宋" w:cs="仿宋"/>
                <w:color w:val="auto"/>
                <w:kern w:val="0"/>
                <w:sz w:val="24"/>
                <w:highlight w:val="none"/>
                <w:lang w:val="en-US" w:eastAsia="zh-CN" w:bidi="ar"/>
              </w:rPr>
              <w:t>0</w:t>
            </w:r>
            <w:r>
              <w:rPr>
                <w:rFonts w:hint="eastAsia" w:ascii="仿宋" w:hAnsi="仿宋" w:eastAsia="仿宋" w:cs="仿宋"/>
                <w:color w:val="auto"/>
                <w:kern w:val="0"/>
                <w:sz w:val="24"/>
                <w:highlight w:val="none"/>
                <w:lang w:bidi="ar"/>
              </w:rPr>
              <w:t>、支持通过中控设备进行统一控制。</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AFA6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E3AB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0428C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DFA5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13</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BB770">
            <w:pPr>
              <w:keepNext w:val="0"/>
              <w:keepLines w:val="0"/>
              <w:pageBreakBefore w:val="0"/>
              <w:widowControl/>
              <w:numPr>
                <w:ilvl w:val="0"/>
                <w:numId w:val="0"/>
              </w:numPr>
              <w:suppressLineNumbers w:val="0"/>
              <w:kinsoku/>
              <w:wordWrap/>
              <w:overflowPunct/>
              <w:topLinePunct w:val="0"/>
              <w:autoSpaceDE/>
              <w:autoSpaceDN/>
              <w:bidi w:val="0"/>
              <w:adjustRightInd/>
              <w:snapToGrid/>
              <w:ind w:leftChars="0" w:firstLine="0" w:firstLineChars="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B厅处理器</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3A4DD">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kern w:val="0"/>
                <w:sz w:val="24"/>
                <w:highlight w:val="none"/>
                <w:lang w:bidi="ar"/>
              </w:rPr>
              <w:t>1、采用金属结构机箱，机箱为后挂耳结构，上盖无螺钉安装:外壳防护等级符合GBIT 4280-2017中IP20的要求;采用纯硬件 FPGA 架构设计、运行稳定、可靠、高效。</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2、输入接口</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1路HDMI2.0+LOOP,</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2路HDMI1.3，</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1路USB3.0，支持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4096*2160@60HZ信号输入。</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3、视频输出支持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8路千兆网口输出，</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1路10G-OPT光口，带载</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520万像素。</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4、音频输入支持视频口伴随音频输入及独立输入两种模式，音频输出支持网口扩展输出及3.5mm独立音频口输出；</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5、支持输入源备份功能，主源丢失下，无需人为操作可自动切换至备源显示，切换过程无黑屏；</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6、可支持144HZ高帧率输入输出，输出支持插帧、抽帧、倍频（2倍频、3倍频、4倍频）功能，可将30HZ信号，倍频至120HZ输出；</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7、图层能力：支持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6个2K图层或</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1个4K图层+2个2K图层，全部图层大小和位置可单独调节。4K接口输入2K信号，按2K图层计算图层资源；</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9、支持U盘即插即播功能，图片和视频的流畅播放，播放列表计切换效果支持自定义编排，支持</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20余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10、标配全彩液晶，搭配实体按键，极大的方便了设备整体状态的监控及设备功能的控制:设备功能按键及丝印信息采用全中文提示，项目上无需粘贴额外的标签纸加以区分，清晰直观;</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11、支持2种用户模式，标准模式和专业模式，满足不同角色对显示屏的分权管理，使用更加放心；</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12、支持微信小程序快捷控制，包括亮度调节、输出画质调节、待机模式、画面冻结、场景切换、U盘播放等功能；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13、支持平板对控制器进行快捷控制，包括亮度调节、图层布局调节、画面冻结、黑屏、场景切换、音量大小、OSD开关等功能；</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14、支持创建多个设备还原点，将当前设备的配屏，场景，输出等参数存储为还原点，当系统工作异常时，可根据还原点一键快速还原；</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15、支持控制设备白名单，可通过MAC地址限制控制设备，非白名单内设备无法控制设备，不允许对设备进行操作；</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16、MTBF≥150000小时，MTTR平均修复</w:t>
            </w:r>
            <w:r>
              <w:rPr>
                <w:rFonts w:hint="eastAsia" w:ascii="仿宋" w:hAnsi="仿宋" w:eastAsia="仿宋" w:cs="仿宋"/>
                <w:color w:val="auto"/>
                <w:kern w:val="0"/>
                <w:sz w:val="24"/>
                <w:highlight w:val="none"/>
                <w:lang w:val="en-US" w:eastAsia="zh-CN" w:bidi="ar"/>
              </w:rPr>
              <w:t>≤</w:t>
            </w:r>
            <w:r>
              <w:rPr>
                <w:rFonts w:hint="eastAsia" w:ascii="仿宋" w:hAnsi="仿宋" w:eastAsia="仿宋" w:cs="仿宋"/>
                <w:color w:val="auto"/>
                <w:kern w:val="0"/>
                <w:sz w:val="24"/>
                <w:highlight w:val="none"/>
                <w:lang w:bidi="ar"/>
              </w:rPr>
              <w:t>10分钟可用度大于 99%，整机寿</w:t>
            </w:r>
            <w:r>
              <w:rPr>
                <w:rFonts w:hint="eastAsia" w:ascii="仿宋" w:hAnsi="仿宋" w:eastAsia="仿宋" w:cs="仿宋"/>
                <w:color w:val="auto"/>
                <w:kern w:val="0"/>
                <w:sz w:val="24"/>
                <w:highlight w:val="none"/>
                <w:lang w:val="en-US" w:eastAsia="zh-CN" w:bidi="ar"/>
              </w:rPr>
              <w:t>命≥</w:t>
            </w:r>
            <w:r>
              <w:rPr>
                <w:rFonts w:hint="eastAsia" w:ascii="仿宋" w:hAnsi="仿宋" w:eastAsia="仿宋" w:cs="仿宋"/>
                <w:color w:val="auto"/>
                <w:kern w:val="0"/>
                <w:sz w:val="24"/>
                <w:highlight w:val="none"/>
                <w:lang w:bidi="ar"/>
              </w:rPr>
              <w:t>150000小时。产品稳定性高、性能卓越、纯硬件结构，上电即可正常工作，无需做任何其它设置。</w:t>
            </w:r>
            <w:r>
              <w:rPr>
                <w:rFonts w:hint="eastAsia" w:ascii="仿宋" w:hAnsi="仿宋" w:eastAsia="仿宋" w:cs="仿宋"/>
                <w:color w:val="auto"/>
                <w:kern w:val="0"/>
                <w:sz w:val="24"/>
                <w:highlight w:val="none"/>
                <w:lang w:bidi="ar"/>
              </w:rPr>
              <w:br w:type="textWrapping"/>
            </w:r>
            <w:r>
              <w:rPr>
                <w:rFonts w:hint="eastAsia" w:ascii="仿宋" w:hAnsi="仿宋" w:eastAsia="仿宋" w:cs="仿宋"/>
                <w:color w:val="auto"/>
                <w:kern w:val="0"/>
                <w:sz w:val="24"/>
                <w:highlight w:val="none"/>
                <w:lang w:bidi="ar"/>
              </w:rPr>
              <w:t>17、设备控制支持BS架构，可兼容多种操作系统包括但不限于：Windows、MAC OS、深度 Linux、银河麒麟、统信 UOS中标麒麟(NeoKylin)、优麒麟(UbuntuKylin)、凝思磐石、红旗 Linux 等;</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E1F4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AFA7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6A55E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7"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E398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14</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D927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服务器</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FFF81">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国产CPU≥8 核，基础主频≥3.0GHz，内存≥64GB（2×32GB）企业级内存，SSD 硬盘≥2 块，单块容量≥480G 企业级 SSD，SATA 机械硬盘≥2 块，单块容量≥4TB SATA 企业级硬盘，阵列卡≥9361</w:t>
            </w:r>
            <w:r>
              <w:rPr>
                <w:rFonts w:hint="eastAsia" w:ascii="仿宋" w:hAnsi="仿宋" w:eastAsia="仿宋" w:cs="仿宋"/>
                <w:i w:val="0"/>
                <w:iCs w:val="0"/>
                <w:color w:val="auto"/>
                <w:kern w:val="0"/>
                <w:sz w:val="24"/>
                <w:szCs w:val="24"/>
                <w:highlight w:val="none"/>
                <w:u w:val="none"/>
                <w:lang w:val="en-US" w:eastAsia="zh-CN" w:bidi="ar"/>
              </w:rPr>
              <w:noBreakHyphen/>
            </w:r>
            <w:r>
              <w:rPr>
                <w:rFonts w:hint="eastAsia" w:ascii="仿宋" w:hAnsi="仿宋" w:eastAsia="仿宋" w:cs="仿宋"/>
                <w:i w:val="0"/>
                <w:iCs w:val="0"/>
                <w:color w:val="auto"/>
                <w:kern w:val="0"/>
                <w:sz w:val="24"/>
                <w:szCs w:val="24"/>
                <w:highlight w:val="none"/>
                <w:u w:val="none"/>
                <w:lang w:val="en-US" w:eastAsia="zh-CN" w:bidi="ar"/>
              </w:rPr>
              <w:t>1G，缓存≥1GB，支持 RAID0/1/5/10，网络接口≥双口千兆电口 + ≥双口万兆光口，电源≥800W，双冗余热插拔电源，操作系统兼容性支持国产操作系统及 Windows 服务器系统，兼容主流操作系统。</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524A2">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01DBD">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套</w:t>
            </w:r>
          </w:p>
        </w:tc>
      </w:tr>
      <w:tr w14:paraId="315DB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703F53D">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合计</w:t>
            </w:r>
          </w:p>
        </w:tc>
      </w:tr>
      <w:tr w14:paraId="334E9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4F6CFAF">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2.3管理系统</w:t>
            </w:r>
          </w:p>
        </w:tc>
      </w:tr>
      <w:tr w14:paraId="324DF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72844">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34190">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商品名称</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B0E72">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主要性能指标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0CCDF">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数量</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DD496">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单位</w:t>
            </w:r>
          </w:p>
        </w:tc>
      </w:tr>
      <w:tr w14:paraId="46EAC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1A382">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458F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后台维护管理系统</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CDA11">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支持业务事项数据队列的添加、增减和更改，包括业务事项按钮的样式自定义，按钮文字大小颜色的更改、支持对取号界面的自定义更换，支持包括TTS语音数据库的联动和音频交互，融合信息推送和多媒体发布软件的协同工作，可视化和模块化的管理编辑界面，使管理人员更高效直接的对系统功能进行业务调整和数据更新。</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379BD">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FCF3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套</w:t>
            </w:r>
          </w:p>
        </w:tc>
      </w:tr>
      <w:tr w14:paraId="24218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E4DB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A3A82">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好差评管理系统</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6C7CB">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客户评价管理系统根据员工的实际工作效率计算出各口、业务乃至整个大厅的效率。并且提供了窗口繁忙度查询，可方便的了解各窗口或业务的繁忙程度。另外系统提供了员工表现评比和满意度调查，可以让管理者查询更加直观。客户评价管理系统软件使用B/S结构，统计的所有评价信息均可远程联网查询，并设有多级查询权限。在客户评价管理系统应用中，工作人员可通过不同的登录身份进行识别，使评价数据对应到各自的服务人员，通过局域网络将员工登录后工作中的实时信息（工作信息）传递到管理层人员处。</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72FDD">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4C712">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套</w:t>
            </w:r>
          </w:p>
        </w:tc>
      </w:tr>
      <w:tr w14:paraId="288F8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7586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01D85">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窗口显示屏管理系统</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37D6A">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窗口内容素材的编辑、上传、管理和发布，包括对窗口显示信息的统一管理和单独编辑，包括窗口显示背景和现实字体内容调整，支持包括对业务事项和窗口号码的调整编辑，支持包括以下素材的显示和发布：图片、视频、HTML文件，模板编辑、审核、管理和发布控制，支持发布通知公告等多媒体内容。</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9321D">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24F6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套</w:t>
            </w:r>
          </w:p>
        </w:tc>
      </w:tr>
      <w:tr w14:paraId="16B26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87269">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5526D">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叫号信息显示系统</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CEA9E">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排队管理系统与信息发布系统数据对接和通讯交互 客户端注册及加密，支持显示当前大厅业务叫号等待信息滚动显示，支持叫号信息的即时显示，同时支持以下多媒体格式的显示：包括文件类型： 视频： MPEG1/2/4,WMV,AVI,VOB 图片： JPG,PNG,GIF,SWF(Flash) 其它 ：FLASH,PPT,TXT ,HTML</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0485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F6CCC">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套</w:t>
            </w:r>
          </w:p>
        </w:tc>
      </w:tr>
      <w:tr w14:paraId="2950E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66E96F">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合计</w:t>
            </w:r>
          </w:p>
        </w:tc>
      </w:tr>
      <w:tr w14:paraId="7B656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1AC479">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2.4大厅配套设备及辅材</w:t>
            </w:r>
          </w:p>
        </w:tc>
      </w:tr>
      <w:tr w14:paraId="617DA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A8991">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A6EC3">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商品名称</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C6ECE">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主要性能指标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61F22">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数量</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5ACD0">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单位</w:t>
            </w:r>
          </w:p>
        </w:tc>
      </w:tr>
      <w:tr w14:paraId="77E37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89374">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FFD0F">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交换机</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EBB17">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网管型以太网交换机，支持≥48个千兆电口+≥4个万兆SFP+光口；交换容量≥432Gbps，包转发率≥166Mpps；支持≥802.1Q VLAN（最大应该支持≥4094个VLAN），需支持≥VLANIF三层网关、静态路由、OSPF、QinQ；支持Web网页、Console命令行管理；无风扇静音散热；支持AC供电，</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E067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8C95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07CDD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5"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D441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108FD">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机柜</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ED70E">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kern w:val="0"/>
                <w:sz w:val="24"/>
                <w:szCs w:val="24"/>
                <w:highlight w:val="none"/>
                <w:u w:val="none"/>
                <w:lang w:val="en-US" w:eastAsia="zh-CN" w:bidi="ar"/>
              </w:rPr>
              <w:t>尺寸（宽深高）：600*600*650 ，门型：前玻璃门后钢板门， 配置：1个8位10A PDU，1个托盘，1只内六角扳手，不低于4 把钥匙，1包螺丝，支持落地上墙壁挂。</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1C34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6B5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60B1F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D1A2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902BB">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智能寻呼站</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A4A54">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Style w:val="59"/>
                <w:rFonts w:hint="eastAsia" w:ascii="仿宋" w:hAnsi="仿宋" w:eastAsia="仿宋" w:cs="仿宋"/>
                <w:color w:val="auto"/>
                <w:highlight w:val="none"/>
                <w:lang w:val="en-US" w:eastAsia="zh-CN" w:bidi="ar"/>
              </w:rPr>
              <w:t>1</w:t>
            </w:r>
            <w:r>
              <w:rPr>
                <w:rStyle w:val="93"/>
                <w:rFonts w:hint="eastAsia" w:ascii="仿宋" w:hAnsi="仿宋" w:eastAsia="仿宋" w:cs="仿宋"/>
                <w:color w:val="auto"/>
                <w:highlight w:val="none"/>
                <w:lang w:val="en-US" w:eastAsia="zh-CN" w:bidi="ar"/>
              </w:rPr>
              <w:t>、专业控制台设计，坚固耐用，高档铝合金面板，全金属机身。</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2</w:t>
            </w:r>
            <w:r>
              <w:rPr>
                <w:rStyle w:val="93"/>
                <w:rFonts w:hint="eastAsia" w:ascii="仿宋" w:hAnsi="仿宋" w:eastAsia="仿宋" w:cs="仿宋"/>
                <w:color w:val="auto"/>
                <w:highlight w:val="none"/>
                <w:lang w:val="en-US" w:eastAsia="zh-CN" w:bidi="ar"/>
              </w:rPr>
              <w:t>、具有</w:t>
            </w:r>
            <w:r>
              <w:rPr>
                <w:rStyle w:val="59"/>
                <w:rFonts w:hint="eastAsia" w:ascii="仿宋" w:hAnsi="仿宋" w:eastAsia="仿宋" w:cs="仿宋"/>
                <w:color w:val="auto"/>
                <w:highlight w:val="none"/>
                <w:lang w:val="en-US" w:eastAsia="zh-CN" w:bidi="ar"/>
              </w:rPr>
              <w:t>7</w:t>
            </w:r>
            <w:r>
              <w:rPr>
                <w:rStyle w:val="93"/>
                <w:rFonts w:hint="eastAsia" w:ascii="仿宋" w:hAnsi="仿宋" w:eastAsia="仿宋" w:cs="仿宋"/>
                <w:color w:val="auto"/>
                <w:highlight w:val="none"/>
                <w:lang w:val="en-US" w:eastAsia="zh-CN" w:bidi="ar"/>
              </w:rPr>
              <w:t>寸数字真彩显示屏，电容式触摸屏，分辨率</w:t>
            </w:r>
            <w:r>
              <w:rPr>
                <w:rStyle w:val="59"/>
                <w:rFonts w:hint="eastAsia" w:ascii="仿宋" w:hAnsi="仿宋" w:eastAsia="仿宋" w:cs="仿宋"/>
                <w:color w:val="auto"/>
                <w:highlight w:val="none"/>
                <w:lang w:val="en-US" w:eastAsia="zh-CN" w:bidi="ar"/>
              </w:rPr>
              <w:t>800*480</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3</w:t>
            </w:r>
            <w:r>
              <w:rPr>
                <w:rStyle w:val="93"/>
                <w:rFonts w:hint="eastAsia" w:ascii="仿宋" w:hAnsi="仿宋" w:eastAsia="仿宋" w:cs="仿宋"/>
                <w:color w:val="auto"/>
                <w:highlight w:val="none"/>
                <w:lang w:val="en-US" w:eastAsia="zh-CN" w:bidi="ar"/>
              </w:rPr>
              <w:t>、采用</w:t>
            </w:r>
            <w:r>
              <w:rPr>
                <w:rStyle w:val="59"/>
                <w:rFonts w:hint="eastAsia" w:ascii="仿宋" w:hAnsi="仿宋" w:eastAsia="仿宋" w:cs="仿宋"/>
                <w:color w:val="auto"/>
                <w:highlight w:val="none"/>
                <w:lang w:val="en-US" w:eastAsia="zh-CN" w:bidi="ar"/>
              </w:rPr>
              <w:t>Linux</w:t>
            </w:r>
            <w:r>
              <w:rPr>
                <w:rStyle w:val="93"/>
                <w:rFonts w:hint="eastAsia" w:ascii="仿宋" w:hAnsi="仿宋" w:eastAsia="仿宋" w:cs="仿宋"/>
                <w:color w:val="auto"/>
                <w:highlight w:val="none"/>
                <w:lang w:val="en-US" w:eastAsia="zh-CN" w:bidi="ar"/>
              </w:rPr>
              <w:t>嵌入式系统，</w:t>
            </w:r>
            <w:r>
              <w:rPr>
                <w:rStyle w:val="59"/>
                <w:rFonts w:hint="eastAsia" w:ascii="仿宋" w:hAnsi="仿宋" w:eastAsia="仿宋" w:cs="仿宋"/>
                <w:color w:val="auto"/>
                <w:highlight w:val="none"/>
                <w:lang w:val="en-US" w:eastAsia="zh-CN" w:bidi="ar"/>
              </w:rPr>
              <w:t>ARM</w:t>
            </w:r>
            <w:r>
              <w:rPr>
                <w:rStyle w:val="93"/>
                <w:rFonts w:hint="eastAsia" w:ascii="仿宋" w:hAnsi="仿宋" w:eastAsia="仿宋" w:cs="仿宋"/>
                <w:color w:val="auto"/>
                <w:highlight w:val="none"/>
                <w:lang w:val="en-US" w:eastAsia="zh-CN" w:bidi="ar"/>
              </w:rPr>
              <w:t>芯片，性能稳定；</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4</w:t>
            </w:r>
            <w:r>
              <w:rPr>
                <w:rStyle w:val="93"/>
                <w:rFonts w:hint="eastAsia" w:ascii="仿宋" w:hAnsi="仿宋" w:eastAsia="仿宋" w:cs="仿宋"/>
                <w:color w:val="auto"/>
                <w:highlight w:val="none"/>
                <w:lang w:val="en-US" w:eastAsia="zh-CN" w:bidi="ar"/>
              </w:rPr>
              <w:t>、支持双向对讲、呼叫转移、终端广播、分区广播、全区广播，支持</w:t>
            </w:r>
            <w:r>
              <w:rPr>
                <w:rStyle w:val="59"/>
                <w:rFonts w:hint="eastAsia" w:ascii="仿宋" w:hAnsi="仿宋" w:eastAsia="仿宋" w:cs="仿宋"/>
                <w:color w:val="auto"/>
                <w:highlight w:val="none"/>
                <w:lang w:val="en-US" w:eastAsia="zh-CN" w:bidi="ar"/>
              </w:rPr>
              <w:t>U</w:t>
            </w:r>
            <w:r>
              <w:rPr>
                <w:rStyle w:val="93"/>
                <w:rFonts w:hint="eastAsia" w:ascii="仿宋" w:hAnsi="仿宋" w:eastAsia="仿宋" w:cs="仿宋"/>
                <w:color w:val="auto"/>
                <w:highlight w:val="none"/>
                <w:lang w:val="en-US" w:eastAsia="zh-CN" w:bidi="ar"/>
              </w:rPr>
              <w:t>盘广播功能；</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5</w:t>
            </w:r>
            <w:r>
              <w:rPr>
                <w:rStyle w:val="93"/>
                <w:rFonts w:hint="eastAsia" w:ascii="仿宋" w:hAnsi="仿宋" w:eastAsia="仿宋" w:cs="仿宋"/>
                <w:color w:val="auto"/>
                <w:highlight w:val="none"/>
                <w:lang w:val="en-US" w:eastAsia="zh-CN" w:bidi="ar"/>
              </w:rPr>
              <w:t>、内置高效回音消除算法，对讲语音清晰，无啸叫；</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6</w:t>
            </w:r>
            <w:r>
              <w:rPr>
                <w:rStyle w:val="93"/>
                <w:rFonts w:hint="eastAsia" w:ascii="仿宋" w:hAnsi="仿宋" w:eastAsia="仿宋" w:cs="仿宋"/>
                <w:color w:val="auto"/>
                <w:highlight w:val="none"/>
                <w:lang w:val="en-US" w:eastAsia="zh-CN" w:bidi="ar"/>
              </w:rPr>
              <w:t>、支持</w:t>
            </w:r>
            <w:r>
              <w:rPr>
                <w:rStyle w:val="59"/>
                <w:rFonts w:hint="eastAsia" w:ascii="仿宋" w:hAnsi="仿宋" w:eastAsia="仿宋" w:cs="仿宋"/>
                <w:color w:val="auto"/>
                <w:highlight w:val="none"/>
                <w:lang w:val="en-US" w:eastAsia="zh-CN" w:bidi="ar"/>
              </w:rPr>
              <w:t>40</w:t>
            </w:r>
            <w:r>
              <w:rPr>
                <w:rStyle w:val="93"/>
                <w:rFonts w:hint="eastAsia" w:ascii="仿宋" w:hAnsi="仿宋" w:eastAsia="仿宋" w:cs="仿宋"/>
                <w:color w:val="auto"/>
                <w:highlight w:val="none"/>
                <w:lang w:val="en-US" w:eastAsia="zh-CN" w:bidi="ar"/>
              </w:rPr>
              <w:t>个快捷键操作，支持通话记录查询；</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7</w:t>
            </w:r>
            <w:r>
              <w:rPr>
                <w:rStyle w:val="93"/>
                <w:rFonts w:hint="eastAsia" w:ascii="仿宋" w:hAnsi="仿宋" w:eastAsia="仿宋" w:cs="仿宋"/>
                <w:color w:val="auto"/>
                <w:highlight w:val="none"/>
                <w:lang w:val="en-US" w:eastAsia="zh-CN" w:bidi="ar"/>
              </w:rPr>
              <w:t>、支持通话转移，通话支持转移到指定</w:t>
            </w:r>
            <w:r>
              <w:rPr>
                <w:rStyle w:val="59"/>
                <w:rFonts w:hint="eastAsia" w:ascii="仿宋" w:hAnsi="仿宋" w:eastAsia="仿宋" w:cs="仿宋"/>
                <w:color w:val="auto"/>
                <w:highlight w:val="none"/>
                <w:lang w:val="en-US" w:eastAsia="zh-CN" w:bidi="ar"/>
              </w:rPr>
              <w:t>IP</w:t>
            </w:r>
            <w:r>
              <w:rPr>
                <w:rStyle w:val="93"/>
                <w:rFonts w:hint="eastAsia" w:ascii="仿宋" w:hAnsi="仿宋" w:eastAsia="仿宋" w:cs="仿宋"/>
                <w:color w:val="auto"/>
                <w:highlight w:val="none"/>
                <w:lang w:val="en-US" w:eastAsia="zh-CN" w:bidi="ar"/>
              </w:rPr>
              <w:t>话筒，可选配视频通话功能；</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8</w:t>
            </w:r>
            <w:r>
              <w:rPr>
                <w:rStyle w:val="93"/>
                <w:rFonts w:hint="eastAsia" w:ascii="仿宋" w:hAnsi="仿宋" w:eastAsia="仿宋" w:cs="仿宋"/>
                <w:color w:val="auto"/>
                <w:highlight w:val="none"/>
                <w:lang w:val="en-US" w:eastAsia="zh-CN" w:bidi="ar"/>
              </w:rPr>
              <w:t>、支持同步服务器上分区列表，可单选、多选进行广播；</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9</w:t>
            </w:r>
            <w:r>
              <w:rPr>
                <w:rStyle w:val="93"/>
                <w:rFonts w:hint="eastAsia" w:ascii="仿宋" w:hAnsi="仿宋" w:eastAsia="仿宋" w:cs="仿宋"/>
                <w:color w:val="auto"/>
                <w:highlight w:val="none"/>
                <w:lang w:val="en-US" w:eastAsia="zh-CN" w:bidi="ar"/>
              </w:rPr>
              <w:t>、可开启或关闭密码登录验证；</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10</w:t>
            </w:r>
            <w:r>
              <w:rPr>
                <w:rStyle w:val="93"/>
                <w:rFonts w:hint="eastAsia" w:ascii="仿宋" w:hAnsi="仿宋" w:eastAsia="仿宋" w:cs="仿宋"/>
                <w:color w:val="auto"/>
                <w:highlight w:val="none"/>
                <w:lang w:val="en-US" w:eastAsia="zh-CN" w:bidi="ar"/>
              </w:rPr>
              <w:t>、内置</w:t>
            </w:r>
            <w:r>
              <w:rPr>
                <w:rStyle w:val="59"/>
                <w:rFonts w:hint="eastAsia" w:ascii="仿宋" w:hAnsi="仿宋" w:eastAsia="仿宋" w:cs="仿宋"/>
                <w:color w:val="auto"/>
                <w:highlight w:val="none"/>
                <w:lang w:val="en-US" w:eastAsia="zh-CN" w:bidi="ar"/>
              </w:rPr>
              <w:t>3W</w:t>
            </w:r>
            <w:r>
              <w:rPr>
                <w:rStyle w:val="93"/>
                <w:rFonts w:hint="eastAsia" w:ascii="仿宋" w:hAnsi="仿宋" w:eastAsia="仿宋" w:cs="仿宋"/>
                <w:color w:val="auto"/>
                <w:highlight w:val="none"/>
                <w:lang w:val="en-US" w:eastAsia="zh-CN" w:bidi="ar"/>
              </w:rPr>
              <w:t>扬声器和话筒咪头，用于免提通话、接收广播和监听</w:t>
            </w:r>
            <w:r>
              <w:rPr>
                <w:rStyle w:val="59"/>
                <w:rFonts w:hint="eastAsia" w:ascii="仿宋" w:hAnsi="仿宋" w:eastAsia="仿宋" w:cs="仿宋"/>
                <w:color w:val="auto"/>
                <w:highlight w:val="none"/>
                <w:lang w:val="en-US" w:eastAsia="zh-CN" w:bidi="ar"/>
              </w:rPr>
              <w:t>(</w:t>
            </w:r>
            <w:r>
              <w:rPr>
                <w:rStyle w:val="93"/>
                <w:rFonts w:hint="eastAsia" w:ascii="仿宋" w:hAnsi="仿宋" w:eastAsia="仿宋" w:cs="仿宋"/>
                <w:color w:val="auto"/>
                <w:highlight w:val="none"/>
                <w:lang w:val="en-US" w:eastAsia="zh-CN" w:bidi="ar"/>
              </w:rPr>
              <w:t>数字降噪</w:t>
            </w:r>
            <w:r>
              <w:rPr>
                <w:rStyle w:val="59"/>
                <w:rFonts w:hint="eastAsia" w:ascii="仿宋" w:hAnsi="仿宋" w:eastAsia="仿宋" w:cs="仿宋"/>
                <w:color w:val="auto"/>
                <w:highlight w:val="none"/>
                <w:lang w:val="en-US" w:eastAsia="zh-CN" w:bidi="ar"/>
              </w:rPr>
              <w:t>)</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 xml:space="preserve"> </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11</w:t>
            </w:r>
            <w:r>
              <w:rPr>
                <w:rStyle w:val="93"/>
                <w:rFonts w:hint="eastAsia" w:ascii="仿宋" w:hAnsi="仿宋" w:eastAsia="仿宋" w:cs="仿宋"/>
                <w:color w:val="auto"/>
                <w:highlight w:val="none"/>
                <w:lang w:val="en-US" w:eastAsia="zh-CN" w:bidi="ar"/>
              </w:rPr>
              <w:t>、文件广播功能，可将本地音频文件给指定终端。</w:t>
            </w:r>
            <w:r>
              <w:rPr>
                <w:rStyle w:val="59"/>
                <w:rFonts w:hint="eastAsia" w:ascii="仿宋" w:hAnsi="仿宋" w:eastAsia="仿宋" w:cs="仿宋"/>
                <w:color w:val="auto"/>
                <w:highlight w:val="none"/>
                <w:lang w:val="en-US" w:eastAsia="zh-CN" w:bidi="ar"/>
              </w:rPr>
              <w:t xml:space="preserve"> </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12</w:t>
            </w:r>
            <w:r>
              <w:rPr>
                <w:rStyle w:val="93"/>
                <w:rFonts w:hint="eastAsia" w:ascii="仿宋" w:hAnsi="仿宋" w:eastAsia="仿宋" w:cs="仿宋"/>
                <w:color w:val="auto"/>
                <w:highlight w:val="none"/>
                <w:lang w:val="en-US" w:eastAsia="zh-CN" w:bidi="ar"/>
              </w:rPr>
              <w:t>、内置</w:t>
            </w:r>
            <w:r>
              <w:rPr>
                <w:rStyle w:val="59"/>
                <w:rFonts w:hint="eastAsia" w:ascii="仿宋" w:hAnsi="仿宋" w:eastAsia="仿宋" w:cs="仿宋"/>
                <w:color w:val="auto"/>
                <w:highlight w:val="none"/>
                <w:lang w:val="en-US" w:eastAsia="zh-CN" w:bidi="ar"/>
              </w:rPr>
              <w:t>Flash</w:t>
            </w:r>
            <w:r>
              <w:rPr>
                <w:rStyle w:val="93"/>
                <w:rFonts w:hint="eastAsia" w:ascii="仿宋" w:hAnsi="仿宋" w:eastAsia="仿宋" w:cs="仿宋"/>
                <w:color w:val="auto"/>
                <w:highlight w:val="none"/>
                <w:lang w:val="en-US" w:eastAsia="zh-CN" w:bidi="ar"/>
              </w:rPr>
              <w:t>存储，可以存储音频、配置信息及备份，支持远程修改和升级。</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13</w:t>
            </w:r>
            <w:r>
              <w:rPr>
                <w:rStyle w:val="93"/>
                <w:rFonts w:hint="eastAsia" w:ascii="仿宋" w:hAnsi="仿宋" w:eastAsia="仿宋" w:cs="仿宋"/>
                <w:color w:val="auto"/>
                <w:highlight w:val="none"/>
                <w:lang w:val="en-US" w:eastAsia="zh-CN" w:bidi="ar"/>
              </w:rPr>
              <w:t>、具备一路短路输入、一路短路输出（提供设备接口图片）；</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14</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IP</w:t>
            </w:r>
            <w:r>
              <w:rPr>
                <w:rStyle w:val="93"/>
                <w:rFonts w:hint="eastAsia" w:ascii="仿宋" w:hAnsi="仿宋" w:eastAsia="仿宋" w:cs="仿宋"/>
                <w:color w:val="auto"/>
                <w:highlight w:val="none"/>
                <w:lang w:val="en-US" w:eastAsia="zh-CN" w:bidi="ar"/>
              </w:rPr>
              <w:t>对讲话筒支持多种优先级设置，设置级别可以从</w:t>
            </w:r>
            <w:r>
              <w:rPr>
                <w:rStyle w:val="59"/>
                <w:rFonts w:hint="eastAsia" w:ascii="仿宋" w:hAnsi="仿宋" w:eastAsia="仿宋" w:cs="仿宋"/>
                <w:color w:val="auto"/>
                <w:highlight w:val="none"/>
                <w:lang w:val="en-US" w:eastAsia="zh-CN" w:bidi="ar"/>
              </w:rPr>
              <w:t>75~100</w:t>
            </w:r>
            <w:r>
              <w:rPr>
                <w:rStyle w:val="93"/>
                <w:rFonts w:hint="eastAsia" w:ascii="仿宋" w:hAnsi="仿宋" w:eastAsia="仿宋" w:cs="仿宋"/>
                <w:color w:val="auto"/>
                <w:highlight w:val="none"/>
                <w:lang w:val="en-US" w:eastAsia="zh-CN" w:bidi="ar"/>
              </w:rPr>
              <w:t>可调整，当级别高的</w:t>
            </w:r>
            <w:r>
              <w:rPr>
                <w:rStyle w:val="59"/>
                <w:rFonts w:hint="eastAsia" w:ascii="仿宋" w:hAnsi="仿宋" w:eastAsia="仿宋" w:cs="仿宋"/>
                <w:color w:val="auto"/>
                <w:highlight w:val="none"/>
                <w:lang w:val="en-US" w:eastAsia="zh-CN" w:bidi="ar"/>
              </w:rPr>
              <w:t>IP</w:t>
            </w:r>
            <w:r>
              <w:rPr>
                <w:rStyle w:val="93"/>
                <w:rFonts w:hint="eastAsia" w:ascii="仿宋" w:hAnsi="仿宋" w:eastAsia="仿宋" w:cs="仿宋"/>
                <w:color w:val="auto"/>
                <w:highlight w:val="none"/>
                <w:lang w:val="en-US" w:eastAsia="zh-CN" w:bidi="ar"/>
              </w:rPr>
              <w:t>话筒在广播时，级别低的话筒无法发起广播（提供软件界面截图）。</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15</w:t>
            </w:r>
            <w:r>
              <w:rPr>
                <w:rStyle w:val="93"/>
                <w:rFonts w:hint="eastAsia" w:ascii="仿宋" w:hAnsi="仿宋" w:eastAsia="仿宋" w:cs="仿宋"/>
                <w:color w:val="auto"/>
                <w:highlight w:val="none"/>
                <w:lang w:val="en-US" w:eastAsia="zh-CN" w:bidi="ar"/>
              </w:rPr>
              <w:t>、可自定义</w:t>
            </w:r>
            <w:r>
              <w:rPr>
                <w:rStyle w:val="59"/>
                <w:rFonts w:hint="eastAsia" w:ascii="仿宋" w:hAnsi="仿宋" w:eastAsia="仿宋" w:cs="仿宋"/>
                <w:color w:val="auto"/>
                <w:highlight w:val="none"/>
                <w:lang w:val="en-US" w:eastAsia="zh-CN" w:bidi="ar"/>
              </w:rPr>
              <w:t>IP</w:t>
            </w:r>
            <w:r>
              <w:rPr>
                <w:rStyle w:val="93"/>
                <w:rFonts w:hint="eastAsia" w:ascii="仿宋" w:hAnsi="仿宋" w:eastAsia="仿宋" w:cs="仿宋"/>
                <w:color w:val="auto"/>
                <w:highlight w:val="none"/>
                <w:lang w:val="en-US" w:eastAsia="zh-CN" w:bidi="ar"/>
              </w:rPr>
              <w:t>话筒是否接收广播，可以手动开启和关闭（提供软件界面截图）；</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16</w:t>
            </w:r>
            <w:r>
              <w:rPr>
                <w:rStyle w:val="93"/>
                <w:rFonts w:hint="eastAsia" w:ascii="仿宋" w:hAnsi="仿宋" w:eastAsia="仿宋" w:cs="仿宋"/>
                <w:color w:val="auto"/>
                <w:highlight w:val="none"/>
                <w:lang w:val="en-US" w:eastAsia="zh-CN" w:bidi="ar"/>
              </w:rPr>
              <w:t>、标准</w:t>
            </w:r>
            <w:r>
              <w:rPr>
                <w:rStyle w:val="59"/>
                <w:rFonts w:hint="eastAsia" w:ascii="仿宋" w:hAnsi="仿宋" w:eastAsia="仿宋" w:cs="仿宋"/>
                <w:color w:val="auto"/>
                <w:highlight w:val="none"/>
                <w:lang w:val="en-US" w:eastAsia="zh-CN" w:bidi="ar"/>
              </w:rPr>
              <w:t>RJ45</w:t>
            </w:r>
            <w:r>
              <w:rPr>
                <w:rStyle w:val="93"/>
                <w:rFonts w:hint="eastAsia" w:ascii="仿宋" w:hAnsi="仿宋" w:eastAsia="仿宋" w:cs="仿宋"/>
                <w:color w:val="auto"/>
                <w:highlight w:val="none"/>
                <w:lang w:val="en-US" w:eastAsia="zh-CN" w:bidi="ar"/>
              </w:rPr>
              <w:t>接口，有以太网口的地方即可接入，支持跨网段和跨路由，支持互联网部署。</w:t>
            </w:r>
            <w:r>
              <w:rPr>
                <w:rStyle w:val="59"/>
                <w:rFonts w:hint="eastAsia" w:ascii="仿宋" w:hAnsi="仿宋" w:eastAsia="仿宋" w:cs="仿宋"/>
                <w:color w:val="auto"/>
                <w:highlight w:val="none"/>
                <w:lang w:val="en-US" w:eastAsia="zh-CN" w:bidi="ar"/>
              </w:rPr>
              <w:br w:type="textWrapping"/>
            </w:r>
            <w:r>
              <w:rPr>
                <w:rStyle w:val="93"/>
                <w:rFonts w:hint="eastAsia" w:ascii="仿宋" w:hAnsi="仿宋" w:eastAsia="仿宋" w:cs="仿宋"/>
                <w:color w:val="auto"/>
                <w:highlight w:val="none"/>
                <w:lang w:val="en-US" w:eastAsia="zh-CN" w:bidi="ar"/>
              </w:rPr>
              <w:t>技术参数</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w:t>
            </w:r>
            <w:r>
              <w:rPr>
                <w:rStyle w:val="93"/>
                <w:rFonts w:hint="eastAsia" w:ascii="仿宋" w:hAnsi="仿宋" w:eastAsia="仿宋" w:cs="仿宋"/>
                <w:color w:val="auto"/>
                <w:highlight w:val="none"/>
                <w:lang w:val="en-US" w:eastAsia="zh-CN" w:bidi="ar"/>
              </w:rPr>
              <w:t>、电源、功耗：</w:t>
            </w:r>
            <w:r>
              <w:rPr>
                <w:rStyle w:val="59"/>
                <w:rFonts w:hint="eastAsia" w:ascii="仿宋" w:hAnsi="仿宋" w:eastAsia="仿宋" w:cs="仿宋"/>
                <w:color w:val="auto"/>
                <w:highlight w:val="none"/>
                <w:lang w:val="en-US" w:eastAsia="zh-CN" w:bidi="ar"/>
              </w:rPr>
              <w:t xml:space="preserve"> DC12V/2A </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≤20W</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2</w:t>
            </w:r>
            <w:r>
              <w:rPr>
                <w:rStyle w:val="93"/>
                <w:rFonts w:hint="eastAsia" w:ascii="仿宋" w:hAnsi="仿宋" w:eastAsia="仿宋" w:cs="仿宋"/>
                <w:color w:val="auto"/>
                <w:highlight w:val="none"/>
                <w:lang w:val="en-US" w:eastAsia="zh-CN" w:bidi="ar"/>
              </w:rPr>
              <w:t>、网络通讯协议：</w:t>
            </w:r>
            <w:r>
              <w:rPr>
                <w:rStyle w:val="59"/>
                <w:rFonts w:hint="eastAsia" w:ascii="仿宋" w:hAnsi="仿宋" w:eastAsia="仿宋" w:cs="仿宋"/>
                <w:color w:val="auto"/>
                <w:highlight w:val="none"/>
                <w:lang w:val="en-US" w:eastAsia="zh-CN" w:bidi="ar"/>
              </w:rPr>
              <w:t xml:space="preserve"> TCP/IP</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UDP</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ARP</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ICMP</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IGMP</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HTTP</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FTP</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3</w:t>
            </w:r>
            <w:r>
              <w:rPr>
                <w:rStyle w:val="93"/>
                <w:rFonts w:hint="eastAsia" w:ascii="仿宋" w:hAnsi="仿宋" w:eastAsia="仿宋" w:cs="仿宋"/>
                <w:color w:val="auto"/>
                <w:highlight w:val="none"/>
                <w:lang w:val="en-US" w:eastAsia="zh-CN" w:bidi="ar"/>
              </w:rPr>
              <w:t>、网络芯片速率</w:t>
            </w:r>
            <w:r>
              <w:rPr>
                <w:rStyle w:val="59"/>
                <w:rFonts w:hint="eastAsia" w:ascii="仿宋" w:hAnsi="仿宋" w:eastAsia="仿宋" w:cs="仿宋"/>
                <w:color w:val="auto"/>
                <w:highlight w:val="none"/>
                <w:lang w:val="en-US" w:eastAsia="zh-CN" w:bidi="ar"/>
              </w:rPr>
              <w:t xml:space="preserve"> </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10/100Mbps</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4</w:t>
            </w:r>
            <w:r>
              <w:rPr>
                <w:rStyle w:val="93"/>
                <w:rFonts w:hint="eastAsia" w:ascii="仿宋" w:hAnsi="仿宋" w:eastAsia="仿宋" w:cs="仿宋"/>
                <w:color w:val="auto"/>
                <w:highlight w:val="none"/>
                <w:lang w:val="en-US" w:eastAsia="zh-CN" w:bidi="ar"/>
              </w:rPr>
              <w:t>、音频编码格式：</w:t>
            </w:r>
            <w:r>
              <w:rPr>
                <w:rStyle w:val="59"/>
                <w:rFonts w:hint="eastAsia" w:ascii="仿宋" w:hAnsi="仿宋" w:eastAsia="仿宋" w:cs="仿宋"/>
                <w:color w:val="auto"/>
                <w:highlight w:val="none"/>
                <w:lang w:val="en-US" w:eastAsia="zh-CN" w:bidi="ar"/>
              </w:rPr>
              <w:t xml:space="preserve"> WAV</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5</w:t>
            </w:r>
            <w:r>
              <w:rPr>
                <w:rStyle w:val="93"/>
                <w:rFonts w:hint="eastAsia" w:ascii="仿宋" w:hAnsi="仿宋" w:eastAsia="仿宋" w:cs="仿宋"/>
                <w:color w:val="auto"/>
                <w:highlight w:val="none"/>
                <w:lang w:val="en-US" w:eastAsia="zh-CN" w:bidi="ar"/>
              </w:rPr>
              <w:t>、音频采样、位率：</w:t>
            </w:r>
            <w:r>
              <w:rPr>
                <w:rStyle w:val="59"/>
                <w:rFonts w:hint="eastAsia" w:ascii="仿宋" w:hAnsi="仿宋" w:eastAsia="仿宋" w:cs="仿宋"/>
                <w:color w:val="auto"/>
                <w:highlight w:val="none"/>
                <w:lang w:val="en-US" w:eastAsia="zh-CN" w:bidi="ar"/>
              </w:rPr>
              <w:t xml:space="preserve"> 8kHz-44.1kHz</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16bit</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32kbps-320kbps</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6</w:t>
            </w:r>
            <w:r>
              <w:rPr>
                <w:rStyle w:val="93"/>
                <w:rFonts w:hint="eastAsia" w:ascii="仿宋" w:hAnsi="仿宋" w:eastAsia="仿宋" w:cs="仿宋"/>
                <w:color w:val="auto"/>
                <w:highlight w:val="none"/>
                <w:lang w:val="en-US" w:eastAsia="zh-CN" w:bidi="ar"/>
              </w:rPr>
              <w:t>、视频传输位率：</w:t>
            </w:r>
            <w:r>
              <w:rPr>
                <w:rStyle w:val="59"/>
                <w:rFonts w:hint="eastAsia" w:ascii="仿宋" w:hAnsi="仿宋" w:eastAsia="仿宋" w:cs="仿宋"/>
                <w:color w:val="auto"/>
                <w:highlight w:val="none"/>
                <w:lang w:val="en-US" w:eastAsia="zh-CN" w:bidi="ar"/>
              </w:rPr>
              <w:t xml:space="preserve"> 96kbps-512kbps</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7</w:t>
            </w:r>
            <w:r>
              <w:rPr>
                <w:rStyle w:val="93"/>
                <w:rFonts w:hint="eastAsia" w:ascii="仿宋" w:hAnsi="仿宋" w:eastAsia="仿宋" w:cs="仿宋"/>
                <w:color w:val="auto"/>
                <w:highlight w:val="none"/>
                <w:lang w:val="en-US" w:eastAsia="zh-CN" w:bidi="ar"/>
              </w:rPr>
              <w:t>、摄像头（选配）：</w:t>
            </w:r>
            <w:r>
              <w:rPr>
                <w:rStyle w:val="59"/>
                <w:rFonts w:hint="eastAsia" w:ascii="仿宋" w:hAnsi="仿宋" w:eastAsia="仿宋" w:cs="仿宋"/>
                <w:color w:val="auto"/>
                <w:highlight w:val="none"/>
                <w:lang w:val="en-US" w:eastAsia="zh-CN" w:bidi="ar"/>
              </w:rPr>
              <w:t xml:space="preserve"> CMOS 100W</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8</w:t>
            </w:r>
            <w:r>
              <w:rPr>
                <w:rStyle w:val="93"/>
                <w:rFonts w:hint="eastAsia" w:ascii="仿宋" w:hAnsi="仿宋" w:eastAsia="仿宋" w:cs="仿宋"/>
                <w:color w:val="auto"/>
                <w:highlight w:val="none"/>
                <w:lang w:val="en-US" w:eastAsia="zh-CN" w:bidi="ar"/>
              </w:rPr>
              <w:t>、信噪比、频响</w:t>
            </w:r>
            <w:r>
              <w:rPr>
                <w:rStyle w:val="59"/>
                <w:rFonts w:hint="eastAsia" w:ascii="仿宋" w:hAnsi="仿宋" w:eastAsia="仿宋" w:cs="仿宋"/>
                <w:color w:val="auto"/>
                <w:highlight w:val="none"/>
                <w:lang w:val="en-US" w:eastAsia="zh-CN" w:bidi="ar"/>
              </w:rPr>
              <w:t xml:space="preserve"> &gt;90dB</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20Hz-16kHz</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9</w:t>
            </w:r>
            <w:r>
              <w:rPr>
                <w:rStyle w:val="93"/>
                <w:rFonts w:hint="eastAsia" w:ascii="仿宋" w:hAnsi="仿宋" w:eastAsia="仿宋" w:cs="仿宋"/>
                <w:color w:val="auto"/>
                <w:highlight w:val="none"/>
                <w:lang w:val="en-US" w:eastAsia="zh-CN" w:bidi="ar"/>
              </w:rPr>
              <w:t>、显示屏</w:t>
            </w:r>
            <w:r>
              <w:rPr>
                <w:rStyle w:val="59"/>
                <w:rFonts w:hint="eastAsia" w:ascii="仿宋" w:hAnsi="仿宋" w:eastAsia="仿宋" w:cs="仿宋"/>
                <w:color w:val="auto"/>
                <w:highlight w:val="none"/>
                <w:lang w:val="en-US" w:eastAsia="zh-CN" w:bidi="ar"/>
              </w:rPr>
              <w:t xml:space="preserve"> TFT  7”LCD  800*480 </w:t>
            </w:r>
            <w:r>
              <w:rPr>
                <w:rStyle w:val="93"/>
                <w:rFonts w:hint="eastAsia" w:ascii="仿宋" w:hAnsi="仿宋" w:eastAsia="仿宋" w:cs="仿宋"/>
                <w:color w:val="auto"/>
                <w:highlight w:val="none"/>
                <w:lang w:val="en-US" w:eastAsia="zh-CN" w:bidi="ar"/>
              </w:rPr>
              <w:t>电容触摸屏</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10</w:t>
            </w:r>
            <w:r>
              <w:rPr>
                <w:rStyle w:val="93"/>
                <w:rFonts w:hint="eastAsia" w:ascii="仿宋" w:hAnsi="仿宋" w:eastAsia="仿宋" w:cs="仿宋"/>
                <w:color w:val="auto"/>
                <w:highlight w:val="none"/>
                <w:lang w:val="en-US" w:eastAsia="zh-CN" w:bidi="ar"/>
              </w:rPr>
              <w:t>、接口</w:t>
            </w:r>
            <w:r>
              <w:rPr>
                <w:rStyle w:val="59"/>
                <w:rFonts w:hint="eastAsia" w:ascii="仿宋" w:hAnsi="仿宋" w:eastAsia="仿宋" w:cs="仿宋"/>
                <w:color w:val="auto"/>
                <w:highlight w:val="none"/>
                <w:lang w:val="en-US" w:eastAsia="zh-CN" w:bidi="ar"/>
              </w:rPr>
              <w:t xml:space="preserve"> </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1</w:t>
            </w:r>
            <w:r>
              <w:rPr>
                <w:rStyle w:val="93"/>
                <w:rFonts w:hint="eastAsia" w:ascii="仿宋" w:hAnsi="仿宋" w:eastAsia="仿宋" w:cs="仿宋"/>
                <w:color w:val="auto"/>
                <w:highlight w:val="none"/>
                <w:lang w:val="en-US" w:eastAsia="zh-CN" w:bidi="ar"/>
              </w:rPr>
              <w:t>个</w:t>
            </w:r>
            <w:r>
              <w:rPr>
                <w:rStyle w:val="59"/>
                <w:rFonts w:hint="eastAsia" w:ascii="仿宋" w:hAnsi="仿宋" w:eastAsia="仿宋" w:cs="仿宋"/>
                <w:color w:val="auto"/>
                <w:highlight w:val="none"/>
                <w:lang w:val="en-US" w:eastAsia="zh-CN" w:bidi="ar"/>
              </w:rPr>
              <w:t>RJ45</w:t>
            </w:r>
            <w:r>
              <w:rPr>
                <w:rStyle w:val="93"/>
                <w:rFonts w:hint="eastAsia" w:ascii="仿宋" w:hAnsi="仿宋" w:eastAsia="仿宋" w:cs="仿宋"/>
                <w:color w:val="auto"/>
                <w:highlight w:val="none"/>
                <w:lang w:val="en-US" w:eastAsia="zh-CN" w:bidi="ar"/>
              </w:rPr>
              <w:t>网络接口，</w:t>
            </w:r>
            <w:r>
              <w:rPr>
                <w:rStyle w:val="59"/>
                <w:rFonts w:hint="eastAsia" w:ascii="仿宋" w:hAnsi="仿宋" w:eastAsia="仿宋" w:cs="仿宋"/>
                <w:color w:val="auto"/>
                <w:highlight w:val="none"/>
                <w:lang w:val="en-US" w:eastAsia="zh-CN" w:bidi="ar"/>
              </w:rPr>
              <w:t>1</w:t>
            </w:r>
            <w:r>
              <w:rPr>
                <w:rStyle w:val="93"/>
                <w:rFonts w:hint="eastAsia" w:ascii="仿宋" w:hAnsi="仿宋" w:eastAsia="仿宋" w:cs="仿宋"/>
                <w:color w:val="auto"/>
                <w:highlight w:val="none"/>
                <w:lang w:val="en-US" w:eastAsia="zh-CN" w:bidi="ar"/>
              </w:rPr>
              <w:t>个电源开关，</w:t>
            </w:r>
            <w:r>
              <w:rPr>
                <w:rStyle w:val="59"/>
                <w:rFonts w:hint="eastAsia" w:ascii="仿宋" w:hAnsi="仿宋" w:eastAsia="仿宋" w:cs="仿宋"/>
                <w:color w:val="auto"/>
                <w:highlight w:val="none"/>
                <w:lang w:val="en-US" w:eastAsia="zh-CN" w:bidi="ar"/>
              </w:rPr>
              <w:t>1</w:t>
            </w:r>
            <w:r>
              <w:rPr>
                <w:rStyle w:val="93"/>
                <w:rFonts w:hint="eastAsia" w:ascii="仿宋" w:hAnsi="仿宋" w:eastAsia="仿宋" w:cs="仿宋"/>
                <w:color w:val="auto"/>
                <w:highlight w:val="none"/>
                <w:lang w:val="en-US" w:eastAsia="zh-CN" w:bidi="ar"/>
              </w:rPr>
              <w:t>个</w:t>
            </w:r>
            <w:r>
              <w:rPr>
                <w:rStyle w:val="59"/>
                <w:rFonts w:hint="eastAsia" w:ascii="仿宋" w:hAnsi="仿宋" w:eastAsia="仿宋" w:cs="仿宋"/>
                <w:color w:val="auto"/>
                <w:highlight w:val="none"/>
                <w:lang w:val="en-US" w:eastAsia="zh-CN" w:bidi="ar"/>
              </w:rPr>
              <w:t>USB</w:t>
            </w:r>
            <w:r>
              <w:rPr>
                <w:rStyle w:val="93"/>
                <w:rFonts w:hint="eastAsia" w:ascii="仿宋" w:hAnsi="仿宋" w:eastAsia="仿宋" w:cs="仿宋"/>
                <w:color w:val="auto"/>
                <w:highlight w:val="none"/>
                <w:lang w:val="en-US" w:eastAsia="zh-CN" w:bidi="ar"/>
              </w:rPr>
              <w:t>接口，</w:t>
            </w:r>
            <w:r>
              <w:rPr>
                <w:rStyle w:val="59"/>
                <w:rFonts w:hint="eastAsia" w:ascii="仿宋" w:hAnsi="仿宋" w:eastAsia="仿宋" w:cs="仿宋"/>
                <w:color w:val="auto"/>
                <w:highlight w:val="none"/>
                <w:lang w:val="en-US" w:eastAsia="zh-CN" w:bidi="ar"/>
              </w:rPr>
              <w:t>1</w:t>
            </w:r>
            <w:r>
              <w:rPr>
                <w:rStyle w:val="93"/>
                <w:rFonts w:hint="eastAsia" w:ascii="仿宋" w:hAnsi="仿宋" w:eastAsia="仿宋" w:cs="仿宋"/>
                <w:color w:val="auto"/>
                <w:highlight w:val="none"/>
                <w:lang w:val="en-US" w:eastAsia="zh-CN" w:bidi="ar"/>
              </w:rPr>
              <w:t>个</w:t>
            </w:r>
            <w:r>
              <w:rPr>
                <w:rStyle w:val="59"/>
                <w:rFonts w:hint="eastAsia" w:ascii="仿宋" w:hAnsi="仿宋" w:eastAsia="仿宋" w:cs="仿宋"/>
                <w:color w:val="auto"/>
                <w:highlight w:val="none"/>
                <w:lang w:val="en-US" w:eastAsia="zh-CN" w:bidi="ar"/>
              </w:rPr>
              <w:t>microTF</w:t>
            </w:r>
            <w:r>
              <w:rPr>
                <w:rStyle w:val="93"/>
                <w:rFonts w:hint="eastAsia" w:ascii="仿宋" w:hAnsi="仿宋" w:eastAsia="仿宋" w:cs="仿宋"/>
                <w:color w:val="auto"/>
                <w:highlight w:val="none"/>
                <w:lang w:val="en-US" w:eastAsia="zh-CN" w:bidi="ar"/>
              </w:rPr>
              <w:t>卡接口，</w:t>
            </w:r>
            <w:r>
              <w:rPr>
                <w:rStyle w:val="59"/>
                <w:rFonts w:hint="eastAsia" w:ascii="仿宋" w:hAnsi="仿宋" w:eastAsia="仿宋" w:cs="仿宋"/>
                <w:color w:val="auto"/>
                <w:highlight w:val="none"/>
                <w:lang w:val="en-US" w:eastAsia="zh-CN" w:bidi="ar"/>
              </w:rPr>
              <w:t>1</w:t>
            </w:r>
            <w:r>
              <w:rPr>
                <w:rStyle w:val="93"/>
                <w:rFonts w:hint="eastAsia" w:ascii="仿宋" w:hAnsi="仿宋" w:eastAsia="仿宋" w:cs="仿宋"/>
                <w:color w:val="auto"/>
                <w:highlight w:val="none"/>
                <w:lang w:val="en-US" w:eastAsia="zh-CN" w:bidi="ar"/>
              </w:rPr>
              <w:t>路报警输入，</w:t>
            </w:r>
            <w:r>
              <w:rPr>
                <w:rStyle w:val="59"/>
                <w:rFonts w:hint="eastAsia" w:ascii="仿宋" w:hAnsi="仿宋" w:eastAsia="仿宋" w:cs="仿宋"/>
                <w:color w:val="auto"/>
                <w:highlight w:val="none"/>
                <w:lang w:val="en-US" w:eastAsia="zh-CN" w:bidi="ar"/>
              </w:rPr>
              <w:t>1</w:t>
            </w:r>
            <w:r>
              <w:rPr>
                <w:rStyle w:val="93"/>
                <w:rFonts w:hint="eastAsia" w:ascii="仿宋" w:hAnsi="仿宋" w:eastAsia="仿宋" w:cs="仿宋"/>
                <w:color w:val="auto"/>
                <w:highlight w:val="none"/>
                <w:lang w:val="en-US" w:eastAsia="zh-CN" w:bidi="ar"/>
              </w:rPr>
              <w:t>路报警输出，</w:t>
            </w:r>
            <w:r>
              <w:rPr>
                <w:rStyle w:val="59"/>
                <w:rFonts w:hint="eastAsia" w:ascii="仿宋" w:hAnsi="仿宋" w:eastAsia="仿宋" w:cs="仿宋"/>
                <w:color w:val="auto"/>
                <w:highlight w:val="none"/>
                <w:lang w:val="en-US" w:eastAsia="zh-CN" w:bidi="ar"/>
              </w:rPr>
              <w:t>1</w:t>
            </w:r>
            <w:r>
              <w:rPr>
                <w:rStyle w:val="93"/>
                <w:rFonts w:hint="eastAsia" w:ascii="仿宋" w:hAnsi="仿宋" w:eastAsia="仿宋" w:cs="仿宋"/>
                <w:color w:val="auto"/>
                <w:highlight w:val="none"/>
                <w:lang w:val="en-US" w:eastAsia="zh-CN" w:bidi="ar"/>
              </w:rPr>
              <w:t>路</w:t>
            </w:r>
            <w:r>
              <w:rPr>
                <w:rStyle w:val="59"/>
                <w:rFonts w:hint="eastAsia" w:ascii="仿宋" w:hAnsi="仿宋" w:eastAsia="仿宋" w:cs="仿宋"/>
                <w:color w:val="auto"/>
                <w:highlight w:val="none"/>
                <w:lang w:val="en-US" w:eastAsia="zh-CN" w:bidi="ar"/>
              </w:rPr>
              <w:t>3.5mm</w:t>
            </w:r>
            <w:r>
              <w:rPr>
                <w:rStyle w:val="93"/>
                <w:rFonts w:hint="eastAsia" w:ascii="仿宋" w:hAnsi="仿宋" w:eastAsia="仿宋" w:cs="仿宋"/>
                <w:color w:val="auto"/>
                <w:highlight w:val="none"/>
                <w:lang w:val="en-US" w:eastAsia="zh-CN" w:bidi="ar"/>
              </w:rPr>
              <w:t>线路输入，</w:t>
            </w:r>
            <w:r>
              <w:rPr>
                <w:rStyle w:val="59"/>
                <w:rFonts w:hint="eastAsia" w:ascii="仿宋" w:hAnsi="仿宋" w:eastAsia="仿宋" w:cs="仿宋"/>
                <w:color w:val="auto"/>
                <w:highlight w:val="none"/>
                <w:lang w:val="en-US" w:eastAsia="zh-CN" w:bidi="ar"/>
              </w:rPr>
              <w:t>1</w:t>
            </w:r>
            <w:r>
              <w:rPr>
                <w:rStyle w:val="93"/>
                <w:rFonts w:hint="eastAsia" w:ascii="仿宋" w:hAnsi="仿宋" w:eastAsia="仿宋" w:cs="仿宋"/>
                <w:color w:val="auto"/>
                <w:highlight w:val="none"/>
                <w:lang w:val="en-US" w:eastAsia="zh-CN" w:bidi="ar"/>
              </w:rPr>
              <w:t>路线</w:t>
            </w:r>
            <w:r>
              <w:rPr>
                <w:rStyle w:val="59"/>
                <w:rFonts w:hint="eastAsia" w:ascii="仿宋" w:hAnsi="仿宋" w:eastAsia="仿宋" w:cs="仿宋"/>
                <w:color w:val="auto"/>
                <w:highlight w:val="none"/>
                <w:lang w:val="en-US" w:eastAsia="zh-CN" w:bidi="ar"/>
              </w:rPr>
              <w:t>3.5mm</w:t>
            </w:r>
            <w:r>
              <w:rPr>
                <w:rStyle w:val="93"/>
                <w:rFonts w:hint="eastAsia" w:ascii="仿宋" w:hAnsi="仿宋" w:eastAsia="仿宋" w:cs="仿宋"/>
                <w:color w:val="auto"/>
                <w:highlight w:val="none"/>
                <w:lang w:val="en-US" w:eastAsia="zh-CN" w:bidi="ar"/>
              </w:rPr>
              <w:t>路输出</w:t>
            </w:r>
            <w:r>
              <w:rPr>
                <w:rStyle w:val="59"/>
                <w:rFonts w:hint="eastAsia" w:ascii="仿宋" w:hAnsi="仿宋" w:eastAsia="仿宋" w:cs="仿宋"/>
                <w:color w:val="auto"/>
                <w:highlight w:val="none"/>
                <w:lang w:val="en-US" w:eastAsia="zh-CN" w:bidi="ar"/>
              </w:rPr>
              <w:br w:type="textWrapping"/>
            </w:r>
            <w:r>
              <w:rPr>
                <w:rStyle w:val="93"/>
                <w:rFonts w:hint="eastAsia" w:ascii="仿宋" w:hAnsi="仿宋" w:eastAsia="仿宋" w:cs="仿宋"/>
                <w:color w:val="auto"/>
                <w:highlight w:val="none"/>
                <w:lang w:val="en-US" w:eastAsia="zh-CN" w:bidi="ar"/>
              </w:rPr>
              <w:t>工作温度、湿度</w:t>
            </w:r>
            <w:r>
              <w:rPr>
                <w:rStyle w:val="59"/>
                <w:rFonts w:hint="eastAsia" w:ascii="仿宋" w:hAnsi="仿宋" w:eastAsia="仿宋" w:cs="仿宋"/>
                <w:color w:val="auto"/>
                <w:highlight w:val="none"/>
                <w:lang w:val="en-US" w:eastAsia="zh-CN" w:bidi="ar"/>
              </w:rPr>
              <w:t xml:space="preserve"> -10℃-55℃</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≤90%</w:t>
            </w:r>
            <w:r>
              <w:rPr>
                <w:rStyle w:val="93"/>
                <w:rFonts w:hint="eastAsia" w:ascii="仿宋" w:hAnsi="仿宋" w:eastAsia="仿宋" w:cs="仿宋"/>
                <w:color w:val="auto"/>
                <w:highlight w:val="none"/>
                <w:lang w:val="en-US" w:eastAsia="zh-CN" w:bidi="ar"/>
              </w:rPr>
              <w:t>（无结露）</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86F2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0C3C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个</w:t>
            </w:r>
          </w:p>
        </w:tc>
      </w:tr>
      <w:tr w14:paraId="3C12B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4"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975D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14550">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网络广播主机服务器管理软件</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1BEEF">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Style w:val="93"/>
                <w:rFonts w:hint="eastAsia" w:ascii="仿宋" w:hAnsi="仿宋" w:eastAsia="仿宋" w:cs="仿宋"/>
                <w:color w:val="auto"/>
                <w:highlight w:val="none"/>
                <w:lang w:val="en-US" w:eastAsia="zh-CN" w:bidi="ar"/>
              </w:rPr>
              <w:t>一、功能描述</w:t>
            </w:r>
            <w:r>
              <w:rPr>
                <w:rStyle w:val="59"/>
                <w:rFonts w:hint="eastAsia" w:ascii="仿宋" w:hAnsi="仿宋" w:eastAsia="仿宋" w:cs="仿宋"/>
                <w:color w:val="auto"/>
                <w:highlight w:val="none"/>
                <w:lang w:val="en-US" w:eastAsia="zh-CN" w:bidi="ar"/>
              </w:rPr>
              <w:br w:type="textWrapping"/>
            </w:r>
            <w:r>
              <w:rPr>
                <w:rStyle w:val="93"/>
                <w:rFonts w:hint="eastAsia" w:ascii="仿宋" w:hAnsi="仿宋" w:eastAsia="仿宋" w:cs="仿宋"/>
                <w:color w:val="auto"/>
                <w:highlight w:val="none"/>
                <w:lang w:val="en-US" w:eastAsia="zh-CN" w:bidi="ar"/>
              </w:rPr>
              <w:t>网络广播系统是采用</w:t>
            </w:r>
            <w:r>
              <w:rPr>
                <w:rStyle w:val="59"/>
                <w:rFonts w:hint="eastAsia" w:ascii="仿宋" w:hAnsi="仿宋" w:eastAsia="仿宋" w:cs="仿宋"/>
                <w:color w:val="auto"/>
                <w:highlight w:val="none"/>
                <w:lang w:val="en-US" w:eastAsia="zh-CN" w:bidi="ar"/>
              </w:rPr>
              <w:t>BS</w:t>
            </w:r>
            <w:r>
              <w:rPr>
                <w:rStyle w:val="93"/>
                <w:rFonts w:hint="eastAsia" w:ascii="仿宋" w:hAnsi="仿宋" w:eastAsia="仿宋" w:cs="仿宋"/>
                <w:color w:val="auto"/>
                <w:highlight w:val="none"/>
                <w:lang w:val="en-US" w:eastAsia="zh-CN" w:bidi="ar"/>
              </w:rPr>
              <w:t>架构、支持不低于</w:t>
            </w:r>
            <w:r>
              <w:rPr>
                <w:rStyle w:val="59"/>
                <w:rFonts w:hint="eastAsia" w:ascii="仿宋" w:hAnsi="仿宋" w:eastAsia="仿宋" w:cs="仿宋"/>
                <w:color w:val="auto"/>
                <w:highlight w:val="none"/>
                <w:lang w:val="en-US" w:eastAsia="zh-CN" w:bidi="ar"/>
              </w:rPr>
              <w:t>Windows10</w:t>
            </w:r>
            <w:r>
              <w:rPr>
                <w:rStyle w:val="93"/>
                <w:rFonts w:hint="eastAsia" w:ascii="仿宋" w:hAnsi="仿宋" w:eastAsia="仿宋" w:cs="仿宋"/>
                <w:color w:val="auto"/>
                <w:highlight w:val="none"/>
                <w:lang w:val="en-US" w:eastAsia="zh-CN" w:bidi="ar"/>
              </w:rPr>
              <w:t>操作系统，融合了实时广播、计划任务（定时广播）、联动管理、视频监控、可视对讲的综合性音视频系统平台，平台功能模块清晰、操作便捷，在满足传统</w:t>
            </w:r>
            <w:r>
              <w:rPr>
                <w:rStyle w:val="59"/>
                <w:rFonts w:hint="eastAsia" w:ascii="仿宋" w:hAnsi="仿宋" w:eastAsia="仿宋" w:cs="仿宋"/>
                <w:color w:val="auto"/>
                <w:highlight w:val="none"/>
                <w:lang w:val="en-US" w:eastAsia="zh-CN" w:bidi="ar"/>
              </w:rPr>
              <w:t>IP</w:t>
            </w:r>
            <w:r>
              <w:rPr>
                <w:rStyle w:val="93"/>
                <w:rFonts w:hint="eastAsia" w:ascii="仿宋" w:hAnsi="仿宋" w:eastAsia="仿宋" w:cs="仿宋"/>
                <w:color w:val="auto"/>
                <w:highlight w:val="none"/>
                <w:lang w:val="en-US" w:eastAsia="zh-CN" w:bidi="ar"/>
              </w:rPr>
              <w:t>广播的功能之外，还支持可视对讲、并且兼容</w:t>
            </w:r>
            <w:r>
              <w:rPr>
                <w:rStyle w:val="59"/>
                <w:rFonts w:hint="eastAsia" w:ascii="仿宋" w:hAnsi="仿宋" w:eastAsia="仿宋" w:cs="仿宋"/>
                <w:color w:val="auto"/>
                <w:highlight w:val="none"/>
                <w:lang w:val="en-US" w:eastAsia="zh-CN" w:bidi="ar"/>
              </w:rPr>
              <w:t>RTSP</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RTMP</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onvif</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https</w:t>
            </w:r>
            <w:r>
              <w:rPr>
                <w:rStyle w:val="93"/>
                <w:rFonts w:hint="eastAsia" w:ascii="仿宋" w:hAnsi="仿宋" w:eastAsia="仿宋" w:cs="仿宋"/>
                <w:color w:val="auto"/>
                <w:highlight w:val="none"/>
                <w:lang w:val="en-US" w:eastAsia="zh-CN" w:bidi="ar"/>
              </w:rPr>
              <w:t>等多种视频流协议，轻松实现音视频联动管理。</w:t>
            </w:r>
            <w:r>
              <w:rPr>
                <w:rStyle w:val="59"/>
                <w:rFonts w:hint="eastAsia" w:ascii="仿宋" w:hAnsi="仿宋" w:eastAsia="仿宋" w:cs="仿宋"/>
                <w:color w:val="auto"/>
                <w:highlight w:val="none"/>
                <w:lang w:val="en-US" w:eastAsia="zh-CN" w:bidi="ar"/>
              </w:rPr>
              <w:br w:type="textWrapping"/>
            </w:r>
            <w:r>
              <w:rPr>
                <w:rStyle w:val="93"/>
                <w:rFonts w:hint="eastAsia" w:ascii="仿宋" w:hAnsi="仿宋" w:eastAsia="仿宋" w:cs="仿宋"/>
                <w:color w:val="auto"/>
                <w:highlight w:val="none"/>
                <w:lang w:val="en-US" w:eastAsia="zh-CN" w:bidi="ar"/>
              </w:rPr>
              <w:t>二、技术参数</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w:t>
            </w:r>
            <w:r>
              <w:rPr>
                <w:rStyle w:val="93"/>
                <w:rFonts w:hint="eastAsia" w:ascii="仿宋" w:hAnsi="仿宋" w:eastAsia="仿宋" w:cs="仿宋"/>
                <w:color w:val="auto"/>
                <w:highlight w:val="none"/>
                <w:lang w:val="en-US" w:eastAsia="zh-CN" w:bidi="ar"/>
              </w:rPr>
              <w:t>、系统架构：系统采用</w:t>
            </w:r>
            <w:r>
              <w:rPr>
                <w:rStyle w:val="59"/>
                <w:rFonts w:hint="eastAsia" w:ascii="仿宋" w:hAnsi="仿宋" w:eastAsia="仿宋" w:cs="仿宋"/>
                <w:color w:val="auto"/>
                <w:highlight w:val="none"/>
                <w:lang w:val="en-US" w:eastAsia="zh-CN" w:bidi="ar"/>
              </w:rPr>
              <w:t>BS</w:t>
            </w:r>
            <w:r>
              <w:rPr>
                <w:rStyle w:val="93"/>
                <w:rFonts w:hint="eastAsia" w:ascii="仿宋" w:hAnsi="仿宋" w:eastAsia="仿宋" w:cs="仿宋"/>
                <w:color w:val="auto"/>
                <w:highlight w:val="none"/>
                <w:lang w:val="en-US" w:eastAsia="zh-CN" w:bidi="ar"/>
              </w:rPr>
              <w:t>架构，</w:t>
            </w:r>
            <w:r>
              <w:rPr>
                <w:rStyle w:val="59"/>
                <w:rFonts w:hint="eastAsia" w:ascii="仿宋" w:hAnsi="仿宋" w:eastAsia="仿宋" w:cs="仿宋"/>
                <w:color w:val="auto"/>
                <w:highlight w:val="none"/>
                <w:lang w:val="en-US" w:eastAsia="zh-CN" w:bidi="ar"/>
              </w:rPr>
              <w:t>Windows</w:t>
            </w:r>
            <w:r>
              <w:rPr>
                <w:rStyle w:val="93"/>
                <w:rFonts w:hint="eastAsia" w:ascii="仿宋" w:hAnsi="仿宋" w:eastAsia="仿宋" w:cs="仿宋"/>
                <w:color w:val="auto"/>
                <w:highlight w:val="none"/>
                <w:lang w:val="en-US" w:eastAsia="zh-CN" w:bidi="ar"/>
              </w:rPr>
              <w:t>平台部署；浏览器登录操作管理；</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2</w:t>
            </w:r>
            <w:r>
              <w:rPr>
                <w:rStyle w:val="93"/>
                <w:rFonts w:hint="eastAsia" w:ascii="仿宋" w:hAnsi="仿宋" w:eastAsia="仿宋" w:cs="仿宋"/>
                <w:color w:val="auto"/>
                <w:highlight w:val="none"/>
                <w:lang w:val="en-US" w:eastAsia="zh-CN" w:bidi="ar"/>
              </w:rPr>
              <w:t>、终端管理：支持批量添加终端，终端匹配自动上线；每个终端可以绑定一路监控视频流；支持列表视图（树形结构）和网格视图、地图模式三种管理模式；支持终端状态（在线、离线、广播）及任务状态显示及不同颜色提示；可视对讲终端有视频颜色特殊标识（提供软件界面截图）。</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3</w:t>
            </w:r>
            <w:r>
              <w:rPr>
                <w:rStyle w:val="93"/>
                <w:rFonts w:hint="eastAsia" w:ascii="仿宋" w:hAnsi="仿宋" w:eastAsia="仿宋" w:cs="仿宋"/>
                <w:color w:val="auto"/>
                <w:highlight w:val="none"/>
                <w:lang w:val="en-US" w:eastAsia="zh-CN" w:bidi="ar"/>
              </w:rPr>
              <w:t>、终端故障自动检测：当</w:t>
            </w:r>
            <w:r>
              <w:rPr>
                <w:rStyle w:val="59"/>
                <w:rFonts w:hint="eastAsia" w:ascii="仿宋" w:hAnsi="仿宋" w:eastAsia="仿宋" w:cs="仿宋"/>
                <w:color w:val="auto"/>
                <w:highlight w:val="none"/>
                <w:lang w:val="en-US" w:eastAsia="zh-CN" w:bidi="ar"/>
              </w:rPr>
              <w:t>IP</w:t>
            </w:r>
            <w:r>
              <w:rPr>
                <w:rStyle w:val="93"/>
                <w:rFonts w:hint="eastAsia" w:ascii="仿宋" w:hAnsi="仿宋" w:eastAsia="仿宋" w:cs="仿宋"/>
                <w:color w:val="auto"/>
                <w:highlight w:val="none"/>
                <w:lang w:val="en-US" w:eastAsia="zh-CN" w:bidi="ar"/>
              </w:rPr>
              <w:t>终端的</w:t>
            </w:r>
            <w:r>
              <w:rPr>
                <w:rStyle w:val="59"/>
                <w:rFonts w:hint="eastAsia" w:ascii="仿宋" w:hAnsi="仿宋" w:eastAsia="仿宋" w:cs="仿宋"/>
                <w:color w:val="auto"/>
                <w:highlight w:val="none"/>
                <w:lang w:val="en-US" w:eastAsia="zh-CN" w:bidi="ar"/>
              </w:rPr>
              <w:t>ID</w:t>
            </w:r>
            <w:r>
              <w:rPr>
                <w:rStyle w:val="93"/>
                <w:rFonts w:hint="eastAsia" w:ascii="仿宋" w:hAnsi="仿宋" w:eastAsia="仿宋" w:cs="仿宋"/>
                <w:color w:val="auto"/>
                <w:highlight w:val="none"/>
                <w:lang w:val="en-US" w:eastAsia="zh-CN" w:bidi="ar"/>
              </w:rPr>
              <w:t>号或者</w:t>
            </w:r>
            <w:r>
              <w:rPr>
                <w:rStyle w:val="59"/>
                <w:rFonts w:hint="eastAsia" w:ascii="仿宋" w:hAnsi="仿宋" w:eastAsia="仿宋" w:cs="仿宋"/>
                <w:color w:val="auto"/>
                <w:highlight w:val="none"/>
                <w:lang w:val="en-US" w:eastAsia="zh-CN" w:bidi="ar"/>
              </w:rPr>
              <w:t>IP</w:t>
            </w:r>
            <w:r>
              <w:rPr>
                <w:rStyle w:val="93"/>
                <w:rFonts w:hint="eastAsia" w:ascii="仿宋" w:hAnsi="仿宋" w:eastAsia="仿宋" w:cs="仿宋"/>
                <w:color w:val="auto"/>
                <w:highlight w:val="none"/>
                <w:lang w:val="en-US" w:eastAsia="zh-CN" w:bidi="ar"/>
              </w:rPr>
              <w:t>地址冲突时，终端以红色提示异常，当在线终端离线时，终端以黄色提示异常（提供软件界面截图）</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4</w:t>
            </w:r>
            <w:r>
              <w:rPr>
                <w:rStyle w:val="93"/>
                <w:rFonts w:hint="eastAsia" w:ascii="仿宋" w:hAnsi="仿宋" w:eastAsia="仿宋" w:cs="仿宋"/>
                <w:color w:val="auto"/>
                <w:highlight w:val="none"/>
                <w:lang w:val="en-US" w:eastAsia="zh-CN" w:bidi="ar"/>
              </w:rPr>
              <w:t>、提供全双工语音对讲及视频对讲，响应各对讲终端的呼叫和视频通话请求，支持一键呼叫、一键对讲、一键求助、一键报警等通话模式，支持自动接听、手动接听，支持无应答自动转接，转接时间可设置（提供软件界面截图），支持可视对讲终端视频分辨率选择；</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5</w:t>
            </w:r>
            <w:r>
              <w:rPr>
                <w:rStyle w:val="93"/>
                <w:rFonts w:hint="eastAsia" w:ascii="仿宋" w:hAnsi="仿宋" w:eastAsia="仿宋" w:cs="仿宋"/>
                <w:color w:val="auto"/>
                <w:highlight w:val="none"/>
                <w:lang w:val="en-US" w:eastAsia="zh-CN" w:bidi="ar"/>
              </w:rPr>
              <w:t>、地图模式：支持在线地图模式，地图可任意缩放，每个终端可以绑定一个坐标位置，在地图上显示（提供软件界面截图）；</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6</w:t>
            </w:r>
            <w:r>
              <w:rPr>
                <w:rStyle w:val="93"/>
                <w:rFonts w:hint="eastAsia" w:ascii="仿宋" w:hAnsi="仿宋" w:eastAsia="仿宋" w:cs="仿宋"/>
                <w:color w:val="auto"/>
                <w:highlight w:val="none"/>
                <w:lang w:val="en-US" w:eastAsia="zh-CN" w:bidi="ar"/>
              </w:rPr>
              <w:t>、实时任务</w:t>
            </w:r>
            <w:r>
              <w:rPr>
                <w:rStyle w:val="59"/>
                <w:rFonts w:hint="eastAsia" w:ascii="仿宋" w:hAnsi="仿宋" w:eastAsia="仿宋" w:cs="仿宋"/>
                <w:color w:val="auto"/>
                <w:highlight w:val="none"/>
                <w:lang w:val="en-US" w:eastAsia="zh-CN" w:bidi="ar"/>
              </w:rPr>
              <w:t>:</w:t>
            </w:r>
            <w:r>
              <w:rPr>
                <w:rStyle w:val="93"/>
                <w:rFonts w:hint="eastAsia" w:ascii="仿宋" w:hAnsi="仿宋" w:eastAsia="仿宋" w:cs="仿宋"/>
                <w:color w:val="auto"/>
                <w:highlight w:val="none"/>
                <w:lang w:val="en-US" w:eastAsia="zh-CN" w:bidi="ar"/>
              </w:rPr>
              <w:t>支持显示实时任务播放列表，支持一键启动和停止任务；支持</w:t>
            </w:r>
            <w:r>
              <w:rPr>
                <w:rStyle w:val="59"/>
                <w:rFonts w:hint="eastAsia" w:ascii="仿宋" w:hAnsi="仿宋" w:eastAsia="仿宋" w:cs="仿宋"/>
                <w:color w:val="auto"/>
                <w:highlight w:val="none"/>
                <w:lang w:val="en-US" w:eastAsia="zh-CN" w:bidi="ar"/>
              </w:rPr>
              <w:t>MP3</w:t>
            </w:r>
            <w:r>
              <w:rPr>
                <w:rStyle w:val="93"/>
                <w:rFonts w:hint="eastAsia" w:ascii="仿宋" w:hAnsi="仿宋" w:eastAsia="仿宋" w:cs="仿宋"/>
                <w:color w:val="auto"/>
                <w:highlight w:val="none"/>
                <w:lang w:val="en-US" w:eastAsia="zh-CN" w:bidi="ar"/>
              </w:rPr>
              <w:t>和</w:t>
            </w:r>
            <w:r>
              <w:rPr>
                <w:rStyle w:val="59"/>
                <w:rFonts w:hint="eastAsia" w:ascii="仿宋" w:hAnsi="仿宋" w:eastAsia="仿宋" w:cs="仿宋"/>
                <w:color w:val="auto"/>
                <w:highlight w:val="none"/>
                <w:lang w:val="en-US" w:eastAsia="zh-CN" w:bidi="ar"/>
              </w:rPr>
              <w:t>WAV</w:t>
            </w:r>
            <w:r>
              <w:rPr>
                <w:rStyle w:val="93"/>
                <w:rFonts w:hint="eastAsia" w:ascii="仿宋" w:hAnsi="仿宋" w:eastAsia="仿宋" w:cs="仿宋"/>
                <w:color w:val="auto"/>
                <w:highlight w:val="none"/>
                <w:lang w:val="en-US" w:eastAsia="zh-CN" w:bidi="ar"/>
              </w:rPr>
              <w:t>音频文件，支持播放歌曲列表显示，可以调整歌曲的播放顺序，支持文本转语音广播，可自定义播放时长，具备实时任务优先级调整（提供界面截图）。</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7</w:t>
            </w:r>
            <w:r>
              <w:rPr>
                <w:rStyle w:val="93"/>
                <w:rFonts w:hint="eastAsia" w:ascii="仿宋" w:hAnsi="仿宋" w:eastAsia="仿宋" w:cs="仿宋"/>
                <w:color w:val="auto"/>
                <w:highlight w:val="none"/>
                <w:lang w:val="en-US" w:eastAsia="zh-CN" w:bidi="ar"/>
              </w:rPr>
              <w:t>、计划任务：支持编程多套定时方案，支持选择任意终端和设置任意时间；支持定时任务执行测试、设置重复周期。支持定时任务多种音源选择（音乐播放、语音合成、终端采集）；支持显示当天定时任务列表，支持任务的复制、粘贴、冻结，每条任务均有执行日志，方便查看及管理；支持自定义开启功放时间；；。</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8</w:t>
            </w:r>
            <w:r>
              <w:rPr>
                <w:rStyle w:val="93"/>
                <w:rFonts w:hint="eastAsia" w:ascii="仿宋" w:hAnsi="仿宋" w:eastAsia="仿宋" w:cs="仿宋"/>
                <w:color w:val="auto"/>
                <w:highlight w:val="none"/>
                <w:lang w:val="en-US" w:eastAsia="zh-CN" w:bidi="ar"/>
              </w:rPr>
              <w:t>、联动管理：支持消防报警信号接入、短路信号以及其他信号触发，可自定义触发区域，可自定义触发音源播放的时间，触发音源包括媒体库音频文件、终端采集、文本转语音广播（提供软件界面截图）；</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9</w:t>
            </w:r>
            <w:r>
              <w:rPr>
                <w:rStyle w:val="93"/>
                <w:rFonts w:hint="eastAsia" w:ascii="仿宋" w:hAnsi="仿宋" w:eastAsia="仿宋" w:cs="仿宋"/>
                <w:color w:val="auto"/>
                <w:highlight w:val="none"/>
                <w:lang w:val="en-US" w:eastAsia="zh-CN" w:bidi="ar"/>
              </w:rPr>
              <w:t>、支持终端短路输入联动触发，支持多种联动预案，可任意设置联动触发方案和触发终端数量，触发方案包括短路输出、音乐播放、终端采集、语音合成、警报等；</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10</w:t>
            </w:r>
            <w:r>
              <w:rPr>
                <w:rStyle w:val="93"/>
                <w:rFonts w:hint="eastAsia" w:ascii="仿宋" w:hAnsi="仿宋" w:eastAsia="仿宋" w:cs="仿宋"/>
                <w:color w:val="auto"/>
                <w:highlight w:val="none"/>
                <w:lang w:val="en-US" w:eastAsia="zh-CN" w:bidi="ar"/>
              </w:rPr>
              <w:t>、视频监控：终端可以绑定摄像头或网络视频流，选择终端即可显示绑定的监控或网络视频信息，发现异常可对指定的终端或者分区进行广播；监控画面显示支持全屏及分屏显示（提供软件界面截图）；</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11</w:t>
            </w:r>
            <w:r>
              <w:rPr>
                <w:rStyle w:val="93"/>
                <w:rFonts w:hint="eastAsia" w:ascii="仿宋" w:hAnsi="仿宋" w:eastAsia="仿宋" w:cs="仿宋"/>
                <w:color w:val="auto"/>
                <w:highlight w:val="none"/>
                <w:lang w:val="en-US" w:eastAsia="zh-CN" w:bidi="ar"/>
              </w:rPr>
              <w:t>、媒体库：广播系统软件自带音频文件码流转换功能，支持分类保存音频文件，支持音频文件试听及下载；</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12</w:t>
            </w:r>
            <w:r>
              <w:rPr>
                <w:rStyle w:val="93"/>
                <w:rFonts w:hint="eastAsia" w:ascii="仿宋" w:hAnsi="仿宋" w:eastAsia="仿宋" w:cs="仿宋"/>
                <w:color w:val="auto"/>
                <w:highlight w:val="none"/>
                <w:lang w:val="en-US" w:eastAsia="zh-CN" w:bidi="ar"/>
              </w:rPr>
              <w:t>、历史记录：用户操作、广播、对讲以及终端的注册及离线的记录都可以保存，后期可以根据不同操作类型查看操作及广播记录；</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13</w:t>
            </w:r>
            <w:r>
              <w:rPr>
                <w:rStyle w:val="93"/>
                <w:rFonts w:hint="eastAsia" w:ascii="仿宋" w:hAnsi="仿宋" w:eastAsia="仿宋" w:cs="仿宋"/>
                <w:color w:val="auto"/>
                <w:highlight w:val="none"/>
                <w:lang w:val="en-US" w:eastAsia="zh-CN" w:bidi="ar"/>
              </w:rPr>
              <w:t>、录音录像；语音及可视对讲均可在服务器端同步录音录像；可自定义录音录像保存位置，可开启和关闭录音录像，录音录像可以进行下载播放（提供软件界面截图）；</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14</w:t>
            </w:r>
            <w:r>
              <w:rPr>
                <w:rStyle w:val="93"/>
                <w:rFonts w:hint="eastAsia" w:ascii="仿宋" w:hAnsi="仿宋" w:eastAsia="仿宋" w:cs="仿宋"/>
                <w:color w:val="auto"/>
                <w:highlight w:val="none"/>
                <w:lang w:val="en-US" w:eastAsia="zh-CN" w:bidi="ar"/>
              </w:rPr>
              <w:t>、用户管理：支持超级管理员、管理员、用户、操作员</w:t>
            </w:r>
            <w:r>
              <w:rPr>
                <w:rStyle w:val="59"/>
                <w:rFonts w:hint="eastAsia" w:ascii="仿宋" w:hAnsi="仿宋" w:eastAsia="仿宋" w:cs="仿宋"/>
                <w:color w:val="auto"/>
                <w:highlight w:val="none"/>
                <w:lang w:val="en-US" w:eastAsia="zh-CN" w:bidi="ar"/>
              </w:rPr>
              <w:t>4</w:t>
            </w:r>
            <w:r>
              <w:rPr>
                <w:rStyle w:val="93"/>
                <w:rFonts w:hint="eastAsia" w:ascii="仿宋" w:hAnsi="仿宋" w:eastAsia="仿宋" w:cs="仿宋"/>
                <w:color w:val="auto"/>
                <w:highlight w:val="none"/>
                <w:lang w:val="en-US" w:eastAsia="zh-CN" w:bidi="ar"/>
              </w:rPr>
              <w:t>种用户角色，可对每个用户角色功能及管理终端进行授权，分控端只需要通过浏览器登录即可操作，不需要安装任何插件；</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15</w:t>
            </w:r>
            <w:r>
              <w:rPr>
                <w:rStyle w:val="93"/>
                <w:rFonts w:hint="eastAsia" w:ascii="仿宋" w:hAnsi="仿宋" w:eastAsia="仿宋" w:cs="仿宋"/>
                <w:color w:val="auto"/>
                <w:highlight w:val="none"/>
                <w:lang w:val="en-US" w:eastAsia="zh-CN" w:bidi="ar"/>
              </w:rPr>
              <w:t>、分区管理：支持批量对终端进行分区，每个分区前会显示分区号，方便用</w:t>
            </w:r>
            <w:r>
              <w:rPr>
                <w:rStyle w:val="59"/>
                <w:rFonts w:hint="eastAsia" w:ascii="仿宋" w:hAnsi="仿宋" w:eastAsia="仿宋" w:cs="仿宋"/>
                <w:color w:val="auto"/>
                <w:highlight w:val="none"/>
                <w:lang w:val="en-US" w:eastAsia="zh-CN" w:bidi="ar"/>
              </w:rPr>
              <w:t>IP</w:t>
            </w:r>
            <w:r>
              <w:rPr>
                <w:rStyle w:val="93"/>
                <w:rFonts w:hint="eastAsia" w:ascii="仿宋" w:hAnsi="仿宋" w:eastAsia="仿宋" w:cs="仿宋"/>
                <w:color w:val="auto"/>
                <w:highlight w:val="none"/>
                <w:lang w:val="en-US" w:eastAsia="zh-CN" w:bidi="ar"/>
              </w:rPr>
              <w:t>话筒进行分区广播。</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16</w:t>
            </w:r>
            <w:r>
              <w:rPr>
                <w:rStyle w:val="93"/>
                <w:rFonts w:hint="eastAsia" w:ascii="仿宋" w:hAnsi="仿宋" w:eastAsia="仿宋" w:cs="仿宋"/>
                <w:color w:val="auto"/>
                <w:highlight w:val="none"/>
                <w:lang w:val="en-US" w:eastAsia="zh-CN" w:bidi="ar"/>
              </w:rPr>
              <w:t>、广播模式：支持单薄、组播两种模式，支持互联网、局域网部署；</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17</w:t>
            </w:r>
            <w:r>
              <w:rPr>
                <w:rStyle w:val="93"/>
                <w:rFonts w:hint="eastAsia" w:ascii="仿宋" w:hAnsi="仿宋" w:eastAsia="仿宋" w:cs="仿宋"/>
                <w:color w:val="auto"/>
                <w:highlight w:val="none"/>
                <w:lang w:val="en-US" w:eastAsia="zh-CN" w:bidi="ar"/>
              </w:rPr>
              <w:t>、平台支持</w:t>
            </w:r>
            <w:r>
              <w:rPr>
                <w:rStyle w:val="59"/>
                <w:rFonts w:hint="eastAsia" w:ascii="仿宋" w:hAnsi="仿宋" w:eastAsia="仿宋" w:cs="仿宋"/>
                <w:color w:val="auto"/>
                <w:highlight w:val="none"/>
                <w:lang w:val="en-US" w:eastAsia="zh-CN" w:bidi="ar"/>
              </w:rPr>
              <w:t>3</w:t>
            </w:r>
            <w:r>
              <w:rPr>
                <w:rStyle w:val="93"/>
                <w:rFonts w:hint="eastAsia" w:ascii="仿宋" w:hAnsi="仿宋" w:eastAsia="仿宋" w:cs="仿宋"/>
                <w:color w:val="auto"/>
                <w:highlight w:val="none"/>
                <w:lang w:val="en-US" w:eastAsia="zh-CN" w:bidi="ar"/>
              </w:rPr>
              <w:t>种皮肤颜色，一键切换系统配色；</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18</w:t>
            </w:r>
            <w:r>
              <w:rPr>
                <w:rStyle w:val="93"/>
                <w:rFonts w:hint="eastAsia" w:ascii="仿宋" w:hAnsi="仿宋" w:eastAsia="仿宋" w:cs="仿宋"/>
                <w:color w:val="auto"/>
                <w:highlight w:val="none"/>
                <w:lang w:val="en-US" w:eastAsia="zh-CN" w:bidi="ar"/>
              </w:rPr>
              <w:t>、支持广播系统备份，通过备份广播系统指定文件夹，可以备份终端信息、实时任务列表、定时任务以及媒体库音频文件；</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19</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SDK</w:t>
            </w:r>
            <w:r>
              <w:rPr>
                <w:rStyle w:val="93"/>
                <w:rFonts w:hint="eastAsia" w:ascii="仿宋" w:hAnsi="仿宋" w:eastAsia="仿宋" w:cs="仿宋"/>
                <w:color w:val="auto"/>
                <w:highlight w:val="none"/>
                <w:lang w:val="en-US" w:eastAsia="zh-CN" w:bidi="ar"/>
              </w:rPr>
              <w:t>：提供</w:t>
            </w:r>
            <w:r>
              <w:rPr>
                <w:rStyle w:val="59"/>
                <w:rFonts w:hint="eastAsia" w:ascii="仿宋" w:hAnsi="仿宋" w:eastAsia="仿宋" w:cs="仿宋"/>
                <w:color w:val="auto"/>
                <w:highlight w:val="none"/>
                <w:lang w:val="en-US" w:eastAsia="zh-CN" w:bidi="ar"/>
              </w:rPr>
              <w:t>SDK</w:t>
            </w:r>
            <w:r>
              <w:rPr>
                <w:rStyle w:val="93"/>
                <w:rFonts w:hint="eastAsia" w:ascii="仿宋" w:hAnsi="仿宋" w:eastAsia="仿宋" w:cs="仿宋"/>
                <w:color w:val="auto"/>
                <w:highlight w:val="none"/>
                <w:lang w:val="en-US" w:eastAsia="zh-CN" w:bidi="ar"/>
              </w:rPr>
              <w:t>二次开发包与其它系统平台集成整合。第三方软件可直接控制对讲和广播，并接收终端当前状态；与监控系统配合，可由监控系统控制通话开关，</w:t>
            </w:r>
            <w:r>
              <w:rPr>
                <w:rStyle w:val="59"/>
                <w:rFonts w:hint="eastAsia" w:ascii="仿宋" w:hAnsi="仿宋" w:eastAsia="仿宋" w:cs="仿宋"/>
                <w:color w:val="auto"/>
                <w:highlight w:val="none"/>
                <w:lang w:val="en-US" w:eastAsia="zh-CN" w:bidi="ar"/>
              </w:rPr>
              <w:t xml:space="preserve"> </w:t>
            </w:r>
            <w:r>
              <w:rPr>
                <w:rStyle w:val="93"/>
                <w:rFonts w:hint="eastAsia" w:ascii="仿宋" w:hAnsi="仿宋" w:eastAsia="仿宋" w:cs="仿宋"/>
                <w:color w:val="auto"/>
                <w:highlight w:val="none"/>
                <w:lang w:val="en-US" w:eastAsia="zh-CN" w:bidi="ar"/>
              </w:rPr>
              <w:t>或通话时自动切换监控画面；</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5BB1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08AF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套</w:t>
            </w:r>
          </w:p>
        </w:tc>
      </w:tr>
      <w:tr w14:paraId="7A403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E48E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9173F">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网络功放</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8C0B5">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r>
              <w:rPr>
                <w:rStyle w:val="93"/>
                <w:rFonts w:hint="eastAsia" w:ascii="仿宋" w:hAnsi="仿宋" w:eastAsia="仿宋" w:cs="仿宋"/>
                <w:color w:val="auto"/>
                <w:highlight w:val="none"/>
                <w:lang w:val="en-US" w:eastAsia="zh-CN" w:bidi="ar"/>
              </w:rPr>
              <w:t>采用</w:t>
            </w:r>
            <w:r>
              <w:rPr>
                <w:rStyle w:val="59"/>
                <w:rFonts w:hint="eastAsia" w:ascii="仿宋" w:hAnsi="仿宋" w:eastAsia="仿宋" w:cs="仿宋"/>
                <w:color w:val="auto"/>
                <w:highlight w:val="none"/>
                <w:lang w:val="en-US" w:eastAsia="zh-CN" w:bidi="ar"/>
              </w:rPr>
              <w:t>2U</w:t>
            </w:r>
            <w:r>
              <w:rPr>
                <w:rStyle w:val="93"/>
                <w:rFonts w:hint="eastAsia" w:ascii="仿宋" w:hAnsi="仿宋" w:eastAsia="仿宋" w:cs="仿宋"/>
                <w:color w:val="auto"/>
                <w:highlight w:val="none"/>
                <w:lang w:val="en-US" w:eastAsia="zh-CN" w:bidi="ar"/>
              </w:rPr>
              <w:t>标准机箱设计，铝合金面板，美观实用。</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2.</w:t>
            </w:r>
            <w:r>
              <w:rPr>
                <w:rStyle w:val="93"/>
                <w:rFonts w:hint="eastAsia" w:ascii="仿宋" w:hAnsi="仿宋" w:eastAsia="仿宋" w:cs="仿宋"/>
                <w:color w:val="auto"/>
                <w:highlight w:val="none"/>
                <w:lang w:val="en-US" w:eastAsia="zh-CN" w:bidi="ar"/>
              </w:rPr>
              <w:t>采用嵌入式计算机和</w:t>
            </w:r>
            <w:r>
              <w:rPr>
                <w:rStyle w:val="59"/>
                <w:rFonts w:hint="eastAsia" w:ascii="仿宋" w:hAnsi="仿宋" w:eastAsia="仿宋" w:cs="仿宋"/>
                <w:color w:val="auto"/>
                <w:highlight w:val="none"/>
                <w:lang w:val="en-US" w:eastAsia="zh-CN" w:bidi="ar"/>
              </w:rPr>
              <w:t>DSP</w:t>
            </w:r>
            <w:r>
              <w:rPr>
                <w:rStyle w:val="93"/>
                <w:rFonts w:hint="eastAsia" w:ascii="仿宋" w:hAnsi="仿宋" w:eastAsia="仿宋" w:cs="仿宋"/>
                <w:color w:val="auto"/>
                <w:highlight w:val="none"/>
                <w:lang w:val="en-US" w:eastAsia="zh-CN" w:bidi="ar"/>
              </w:rPr>
              <w:t>音频处理技术应用，高速的工业级单片机芯片，启动时间小于</w:t>
            </w:r>
            <w:r>
              <w:rPr>
                <w:rStyle w:val="59"/>
                <w:rFonts w:hint="eastAsia" w:ascii="仿宋" w:hAnsi="仿宋" w:eastAsia="仿宋" w:cs="仿宋"/>
                <w:color w:val="auto"/>
                <w:highlight w:val="none"/>
                <w:lang w:val="en-US" w:eastAsia="zh-CN" w:bidi="ar"/>
              </w:rPr>
              <w:t>1s</w:t>
            </w:r>
            <w:r>
              <w:rPr>
                <w:rStyle w:val="93"/>
                <w:rFonts w:hint="eastAsia" w:ascii="仿宋" w:hAnsi="仿宋" w:eastAsia="仿宋" w:cs="仿宋"/>
                <w:color w:val="auto"/>
                <w:highlight w:val="none"/>
                <w:lang w:val="en-US" w:eastAsia="zh-CN" w:bidi="ar"/>
              </w:rPr>
              <w:t>。支持</w:t>
            </w:r>
            <w:r>
              <w:rPr>
                <w:rStyle w:val="59"/>
                <w:rFonts w:hint="eastAsia" w:ascii="仿宋" w:hAnsi="仿宋" w:eastAsia="仿宋" w:cs="仿宋"/>
                <w:color w:val="auto"/>
                <w:highlight w:val="none"/>
                <w:lang w:val="en-US" w:eastAsia="zh-CN" w:bidi="ar"/>
              </w:rPr>
              <w:t>≥48kHz</w:t>
            </w:r>
            <w:r>
              <w:rPr>
                <w:rStyle w:val="93"/>
                <w:rFonts w:hint="eastAsia" w:ascii="仿宋" w:hAnsi="仿宋" w:eastAsia="仿宋" w:cs="仿宋"/>
                <w:color w:val="auto"/>
                <w:highlight w:val="none"/>
                <w:lang w:val="en-US" w:eastAsia="zh-CN" w:bidi="ar"/>
              </w:rPr>
              <w:t>采样率</w:t>
            </w:r>
            <w:r>
              <w:rPr>
                <w:rStyle w:val="59"/>
                <w:rFonts w:hint="eastAsia" w:ascii="仿宋" w:hAnsi="仿宋" w:eastAsia="仿宋" w:cs="仿宋"/>
                <w:color w:val="auto"/>
                <w:highlight w:val="none"/>
                <w:lang w:val="en-US" w:eastAsia="zh-CN" w:bidi="ar"/>
              </w:rPr>
              <w:t>16bit</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8</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320Kbps</w:t>
            </w:r>
            <w:r>
              <w:rPr>
                <w:rStyle w:val="93"/>
                <w:rFonts w:hint="eastAsia" w:ascii="仿宋" w:hAnsi="仿宋" w:eastAsia="仿宋" w:cs="仿宋"/>
                <w:color w:val="auto"/>
                <w:highlight w:val="none"/>
                <w:lang w:val="en-US" w:eastAsia="zh-CN" w:bidi="ar"/>
              </w:rPr>
              <w:t>数字音频码流解码</w:t>
            </w:r>
            <w:r>
              <w:rPr>
                <w:rStyle w:val="59"/>
                <w:rFonts w:hint="eastAsia" w:ascii="仿宋" w:hAnsi="仿宋" w:eastAsia="仿宋" w:cs="仿宋"/>
                <w:color w:val="auto"/>
                <w:highlight w:val="none"/>
                <w:lang w:val="en-US" w:eastAsia="zh-CN" w:bidi="ar"/>
              </w:rPr>
              <w:t xml:space="preserve"> </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3.</w:t>
            </w:r>
            <w:r>
              <w:rPr>
                <w:rStyle w:val="93"/>
                <w:rFonts w:hint="eastAsia" w:ascii="仿宋" w:hAnsi="仿宋" w:eastAsia="仿宋" w:cs="仿宋"/>
                <w:color w:val="auto"/>
                <w:highlight w:val="none"/>
                <w:lang w:val="en-US" w:eastAsia="zh-CN" w:bidi="ar"/>
              </w:rPr>
              <w:t>内置</w:t>
            </w:r>
            <w:r>
              <w:rPr>
                <w:rStyle w:val="59"/>
                <w:rFonts w:hint="eastAsia" w:ascii="仿宋" w:hAnsi="仿宋" w:eastAsia="仿宋" w:cs="仿宋"/>
                <w:color w:val="auto"/>
                <w:highlight w:val="none"/>
                <w:lang w:val="en-US" w:eastAsia="zh-CN" w:bidi="ar"/>
              </w:rPr>
              <w:t>1</w:t>
            </w:r>
            <w:r>
              <w:rPr>
                <w:rStyle w:val="93"/>
                <w:rFonts w:hint="eastAsia" w:ascii="仿宋" w:hAnsi="仿宋" w:eastAsia="仿宋" w:cs="仿宋"/>
                <w:color w:val="auto"/>
                <w:highlight w:val="none"/>
                <w:lang w:val="en-US" w:eastAsia="zh-CN" w:bidi="ar"/>
              </w:rPr>
              <w:t>路网络硬件音频解码模块，支持</w:t>
            </w:r>
            <w:r>
              <w:rPr>
                <w:rStyle w:val="59"/>
                <w:rFonts w:hint="eastAsia" w:ascii="仿宋" w:hAnsi="仿宋" w:eastAsia="仿宋" w:cs="仿宋"/>
                <w:color w:val="auto"/>
                <w:highlight w:val="none"/>
                <w:lang w:val="en-US" w:eastAsia="zh-CN" w:bidi="ar"/>
              </w:rPr>
              <w:t>TCP/IP</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UDP</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IGMP(</w:t>
            </w:r>
            <w:r>
              <w:rPr>
                <w:rStyle w:val="93"/>
                <w:rFonts w:hint="eastAsia" w:ascii="仿宋" w:hAnsi="仿宋" w:eastAsia="仿宋" w:cs="仿宋"/>
                <w:color w:val="auto"/>
                <w:highlight w:val="none"/>
                <w:lang w:val="en-US" w:eastAsia="zh-CN" w:bidi="ar"/>
              </w:rPr>
              <w:t>组播协议</w:t>
            </w:r>
            <w:r>
              <w:rPr>
                <w:rStyle w:val="59"/>
                <w:rFonts w:hint="eastAsia" w:ascii="仿宋" w:hAnsi="仿宋" w:eastAsia="仿宋" w:cs="仿宋"/>
                <w:color w:val="auto"/>
                <w:highlight w:val="none"/>
                <w:lang w:val="en-US" w:eastAsia="zh-CN" w:bidi="ar"/>
              </w:rPr>
              <w:t>)</w:t>
            </w:r>
            <w:r>
              <w:rPr>
                <w:rStyle w:val="93"/>
                <w:rFonts w:hint="eastAsia" w:ascii="仿宋" w:hAnsi="仿宋" w:eastAsia="仿宋" w:cs="仿宋"/>
                <w:color w:val="auto"/>
                <w:highlight w:val="none"/>
                <w:lang w:val="en-US" w:eastAsia="zh-CN" w:bidi="ar"/>
              </w:rPr>
              <w:t>，实现网络化传输</w:t>
            </w:r>
            <w:r>
              <w:rPr>
                <w:rStyle w:val="59"/>
                <w:rFonts w:hint="eastAsia" w:ascii="仿宋" w:hAnsi="仿宋" w:eastAsia="仿宋" w:cs="仿宋"/>
                <w:color w:val="auto"/>
                <w:highlight w:val="none"/>
                <w:lang w:val="en-US" w:eastAsia="zh-CN" w:bidi="ar"/>
              </w:rPr>
              <w:t>16</w:t>
            </w:r>
            <w:r>
              <w:rPr>
                <w:rStyle w:val="93"/>
                <w:rFonts w:hint="eastAsia" w:ascii="仿宋" w:hAnsi="仿宋" w:eastAsia="仿宋" w:cs="仿宋"/>
                <w:color w:val="auto"/>
                <w:highlight w:val="none"/>
                <w:lang w:val="en-US" w:eastAsia="zh-CN" w:bidi="ar"/>
              </w:rPr>
              <w:t>位</w:t>
            </w:r>
            <w:r>
              <w:rPr>
                <w:rStyle w:val="59"/>
                <w:rFonts w:hint="eastAsia" w:ascii="仿宋" w:hAnsi="仿宋" w:eastAsia="仿宋" w:cs="仿宋"/>
                <w:color w:val="auto"/>
                <w:highlight w:val="none"/>
                <w:lang w:val="en-US" w:eastAsia="zh-CN" w:bidi="ar"/>
              </w:rPr>
              <w:t>CD</w:t>
            </w:r>
            <w:r>
              <w:rPr>
                <w:rStyle w:val="93"/>
                <w:rFonts w:hint="eastAsia" w:ascii="仿宋" w:hAnsi="仿宋" w:eastAsia="仿宋" w:cs="仿宋"/>
                <w:color w:val="auto"/>
                <w:highlight w:val="none"/>
                <w:lang w:val="en-US" w:eastAsia="zh-CN" w:bidi="ar"/>
              </w:rPr>
              <w:t>音质的音频信号。</w:t>
            </w:r>
            <w:r>
              <w:rPr>
                <w:rStyle w:val="59"/>
                <w:rFonts w:hint="eastAsia" w:ascii="仿宋" w:hAnsi="仿宋" w:eastAsia="仿宋" w:cs="仿宋"/>
                <w:color w:val="auto"/>
                <w:highlight w:val="none"/>
                <w:lang w:val="en-US" w:eastAsia="zh-CN" w:bidi="ar"/>
              </w:rPr>
              <w:t xml:space="preserve"> </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4.</w:t>
            </w:r>
            <w:r>
              <w:rPr>
                <w:rStyle w:val="93"/>
                <w:rFonts w:hint="eastAsia" w:ascii="仿宋" w:hAnsi="仿宋" w:eastAsia="仿宋" w:cs="仿宋"/>
                <w:color w:val="auto"/>
                <w:highlight w:val="none"/>
                <w:lang w:val="en-US" w:eastAsia="zh-CN" w:bidi="ar"/>
              </w:rPr>
              <w:t>额定功率：</w:t>
            </w:r>
            <w:r>
              <w:rPr>
                <w:rStyle w:val="59"/>
                <w:rFonts w:hint="eastAsia" w:ascii="仿宋" w:hAnsi="仿宋" w:eastAsia="仿宋" w:cs="仿宋"/>
                <w:color w:val="auto"/>
                <w:highlight w:val="none"/>
                <w:lang w:val="en-US" w:eastAsia="zh-CN" w:bidi="ar"/>
              </w:rPr>
              <w:t>180W,</w:t>
            </w:r>
            <w:r>
              <w:rPr>
                <w:rStyle w:val="93"/>
                <w:rFonts w:hint="eastAsia" w:ascii="仿宋" w:hAnsi="仿宋" w:eastAsia="仿宋" w:cs="仿宋"/>
                <w:color w:val="auto"/>
                <w:highlight w:val="none"/>
                <w:lang w:val="en-US" w:eastAsia="zh-CN" w:bidi="ar"/>
              </w:rPr>
              <w:t>输出方式为</w:t>
            </w:r>
            <w:r>
              <w:rPr>
                <w:rStyle w:val="59"/>
                <w:rFonts w:hint="eastAsia" w:ascii="仿宋" w:hAnsi="仿宋" w:eastAsia="仿宋" w:cs="仿宋"/>
                <w:color w:val="auto"/>
                <w:highlight w:val="none"/>
                <w:lang w:val="en-US" w:eastAsia="zh-CN" w:bidi="ar"/>
              </w:rPr>
              <w:t>100V</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70V</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4~16Ω</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5.</w:t>
            </w:r>
            <w:r>
              <w:rPr>
                <w:rStyle w:val="93"/>
                <w:rFonts w:hint="eastAsia" w:ascii="仿宋" w:hAnsi="仿宋" w:eastAsia="仿宋" w:cs="仿宋"/>
                <w:color w:val="auto"/>
                <w:highlight w:val="none"/>
                <w:lang w:val="en-US" w:eastAsia="zh-CN" w:bidi="ar"/>
              </w:rPr>
              <w:t>标配</w:t>
            </w:r>
            <w:r>
              <w:rPr>
                <w:rStyle w:val="59"/>
                <w:rFonts w:hint="eastAsia" w:ascii="仿宋" w:hAnsi="仿宋" w:eastAsia="仿宋" w:cs="仿宋"/>
                <w:color w:val="auto"/>
                <w:highlight w:val="none"/>
                <w:lang w:val="en-US" w:eastAsia="zh-CN" w:bidi="ar"/>
              </w:rPr>
              <w:t>1</w:t>
            </w:r>
            <w:r>
              <w:rPr>
                <w:rStyle w:val="93"/>
                <w:rFonts w:hint="eastAsia" w:ascii="仿宋" w:hAnsi="仿宋" w:eastAsia="仿宋" w:cs="仿宋"/>
                <w:color w:val="auto"/>
                <w:highlight w:val="none"/>
                <w:lang w:val="en-US" w:eastAsia="zh-CN" w:bidi="ar"/>
              </w:rPr>
              <w:t>个</w:t>
            </w:r>
            <w:r>
              <w:rPr>
                <w:rStyle w:val="59"/>
                <w:rFonts w:hint="eastAsia" w:ascii="仿宋" w:hAnsi="仿宋" w:eastAsia="仿宋" w:cs="仿宋"/>
                <w:color w:val="auto"/>
                <w:highlight w:val="none"/>
                <w:lang w:val="en-US" w:eastAsia="zh-CN" w:bidi="ar"/>
              </w:rPr>
              <w:t>10/100M RJ45</w:t>
            </w:r>
            <w:r>
              <w:rPr>
                <w:rStyle w:val="93"/>
                <w:rFonts w:hint="eastAsia" w:ascii="仿宋" w:hAnsi="仿宋" w:eastAsia="仿宋" w:cs="仿宋"/>
                <w:color w:val="auto"/>
                <w:highlight w:val="none"/>
                <w:lang w:val="en-US" w:eastAsia="zh-CN" w:bidi="ar"/>
              </w:rPr>
              <w:t>网络交换机接口，支持局域网与广域网</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6.</w:t>
            </w:r>
            <w:r>
              <w:rPr>
                <w:rStyle w:val="93"/>
                <w:rFonts w:hint="eastAsia" w:ascii="仿宋" w:hAnsi="仿宋" w:eastAsia="仿宋" w:cs="仿宋"/>
                <w:color w:val="auto"/>
                <w:highlight w:val="none"/>
                <w:lang w:val="en-US" w:eastAsia="zh-CN" w:bidi="ar"/>
              </w:rPr>
              <w:t>线路</w:t>
            </w:r>
            <w:r>
              <w:rPr>
                <w:rStyle w:val="59"/>
                <w:rFonts w:hint="eastAsia" w:ascii="仿宋" w:hAnsi="仿宋" w:eastAsia="仿宋" w:cs="仿宋"/>
                <w:color w:val="auto"/>
                <w:highlight w:val="none"/>
                <w:lang w:val="en-US" w:eastAsia="zh-CN" w:bidi="ar"/>
              </w:rPr>
              <w:t>1</w:t>
            </w:r>
            <w:r>
              <w:rPr>
                <w:rStyle w:val="93"/>
                <w:rFonts w:hint="eastAsia" w:ascii="仿宋" w:hAnsi="仿宋" w:eastAsia="仿宋" w:cs="仿宋"/>
                <w:color w:val="auto"/>
                <w:highlight w:val="none"/>
                <w:lang w:val="en-US" w:eastAsia="zh-CN" w:bidi="ar"/>
              </w:rPr>
              <w:t>为网络信号音量调节，</w:t>
            </w:r>
            <w:r>
              <w:rPr>
                <w:rStyle w:val="59"/>
                <w:rFonts w:hint="eastAsia" w:ascii="仿宋" w:hAnsi="仿宋" w:eastAsia="仿宋" w:cs="仿宋"/>
                <w:color w:val="auto"/>
                <w:highlight w:val="none"/>
                <w:lang w:val="en-US" w:eastAsia="zh-CN" w:bidi="ar"/>
              </w:rPr>
              <w:t>2</w:t>
            </w:r>
            <w:r>
              <w:rPr>
                <w:rStyle w:val="93"/>
                <w:rFonts w:hint="eastAsia" w:ascii="仿宋" w:hAnsi="仿宋" w:eastAsia="仿宋" w:cs="仿宋"/>
                <w:color w:val="auto"/>
                <w:highlight w:val="none"/>
                <w:lang w:val="en-US" w:eastAsia="zh-CN" w:bidi="ar"/>
              </w:rPr>
              <w:t>路线路（</w:t>
            </w:r>
            <w:r>
              <w:rPr>
                <w:rStyle w:val="59"/>
                <w:rFonts w:hint="eastAsia" w:ascii="仿宋" w:hAnsi="仿宋" w:eastAsia="仿宋" w:cs="仿宋"/>
                <w:color w:val="auto"/>
                <w:highlight w:val="none"/>
                <w:lang w:val="en-US" w:eastAsia="zh-CN" w:bidi="ar"/>
              </w:rPr>
              <w:t>AUX</w:t>
            </w:r>
            <w:r>
              <w:rPr>
                <w:rStyle w:val="93"/>
                <w:rFonts w:hint="eastAsia" w:ascii="仿宋" w:hAnsi="仿宋" w:eastAsia="仿宋" w:cs="仿宋"/>
                <w:color w:val="auto"/>
                <w:highlight w:val="none"/>
                <w:lang w:val="en-US" w:eastAsia="zh-CN" w:bidi="ar"/>
              </w:rPr>
              <w:t>）和</w:t>
            </w:r>
            <w:r>
              <w:rPr>
                <w:rStyle w:val="59"/>
                <w:rFonts w:hint="eastAsia" w:ascii="仿宋" w:hAnsi="仿宋" w:eastAsia="仿宋" w:cs="仿宋"/>
                <w:color w:val="auto"/>
                <w:highlight w:val="none"/>
                <w:lang w:val="en-US" w:eastAsia="zh-CN" w:bidi="ar"/>
              </w:rPr>
              <w:t>3</w:t>
            </w:r>
            <w:r>
              <w:rPr>
                <w:rStyle w:val="93"/>
                <w:rFonts w:hint="eastAsia" w:ascii="仿宋" w:hAnsi="仿宋" w:eastAsia="仿宋" w:cs="仿宋"/>
                <w:color w:val="auto"/>
                <w:highlight w:val="none"/>
                <w:lang w:val="en-US" w:eastAsia="zh-CN" w:bidi="ar"/>
              </w:rPr>
              <w:t>路话筒（</w:t>
            </w:r>
            <w:r>
              <w:rPr>
                <w:rStyle w:val="59"/>
                <w:rFonts w:hint="eastAsia" w:ascii="仿宋" w:hAnsi="仿宋" w:eastAsia="仿宋" w:cs="仿宋"/>
                <w:color w:val="auto"/>
                <w:highlight w:val="none"/>
                <w:lang w:val="en-US" w:eastAsia="zh-CN" w:bidi="ar"/>
              </w:rPr>
              <w:t>MIC</w:t>
            </w:r>
            <w:r>
              <w:rPr>
                <w:rStyle w:val="93"/>
                <w:rFonts w:hint="eastAsia" w:ascii="仿宋" w:hAnsi="仿宋" w:eastAsia="仿宋" w:cs="仿宋"/>
                <w:color w:val="auto"/>
                <w:highlight w:val="none"/>
                <w:lang w:val="en-US" w:eastAsia="zh-CN" w:bidi="ar"/>
              </w:rPr>
              <w:t>）输入接口，各路独立的音量和高低音调节电位器控制，支持断网本地寻呼功能。</w:t>
            </w:r>
            <w:r>
              <w:rPr>
                <w:rStyle w:val="59"/>
                <w:rFonts w:hint="eastAsia" w:ascii="仿宋" w:hAnsi="仿宋" w:eastAsia="仿宋" w:cs="仿宋"/>
                <w:color w:val="auto"/>
                <w:highlight w:val="none"/>
                <w:lang w:val="en-US" w:eastAsia="zh-CN" w:bidi="ar"/>
              </w:rPr>
              <w:t xml:space="preserve"> </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7.1</w:t>
            </w:r>
            <w:r>
              <w:rPr>
                <w:rStyle w:val="93"/>
                <w:rFonts w:hint="eastAsia" w:ascii="仿宋" w:hAnsi="仿宋" w:eastAsia="仿宋" w:cs="仿宋"/>
                <w:color w:val="auto"/>
                <w:highlight w:val="none"/>
                <w:lang w:val="en-US" w:eastAsia="zh-CN" w:bidi="ar"/>
              </w:rPr>
              <w:t>路音频信号辅助输出接口，可扩展外接功率放大器，标准的莲花座接口，布线连接非常方便。</w:t>
            </w:r>
            <w:r>
              <w:rPr>
                <w:rStyle w:val="59"/>
                <w:rFonts w:hint="eastAsia" w:ascii="仿宋" w:hAnsi="仿宋" w:eastAsia="仿宋" w:cs="仿宋"/>
                <w:color w:val="auto"/>
                <w:highlight w:val="none"/>
                <w:lang w:val="en-US" w:eastAsia="zh-CN" w:bidi="ar"/>
              </w:rPr>
              <w:t xml:space="preserve"> </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8.</w:t>
            </w:r>
            <w:r>
              <w:rPr>
                <w:rStyle w:val="93"/>
                <w:rFonts w:hint="eastAsia" w:ascii="仿宋" w:hAnsi="仿宋" w:eastAsia="仿宋" w:cs="仿宋"/>
                <w:color w:val="auto"/>
                <w:highlight w:val="none"/>
                <w:lang w:val="en-US" w:eastAsia="zh-CN" w:bidi="ar"/>
              </w:rPr>
              <w:t>内置智能电源管理，无音乐或呼叫时，自动切断功放电源，有信号时自动打开功放电源，</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9.</w:t>
            </w:r>
            <w:r>
              <w:rPr>
                <w:rStyle w:val="93"/>
                <w:rFonts w:hint="eastAsia" w:ascii="仿宋" w:hAnsi="仿宋" w:eastAsia="仿宋" w:cs="仿宋"/>
                <w:color w:val="auto"/>
                <w:highlight w:val="none"/>
                <w:lang w:val="en-US" w:eastAsia="zh-CN" w:bidi="ar"/>
              </w:rPr>
              <w:t>内置</w:t>
            </w:r>
            <w:r>
              <w:rPr>
                <w:rStyle w:val="59"/>
                <w:rFonts w:hint="eastAsia" w:ascii="仿宋" w:hAnsi="仿宋" w:eastAsia="仿宋" w:cs="仿宋"/>
                <w:color w:val="auto"/>
                <w:highlight w:val="none"/>
                <w:lang w:val="en-US" w:eastAsia="zh-CN" w:bidi="ar"/>
              </w:rPr>
              <w:t>2</w:t>
            </w:r>
            <w:r>
              <w:rPr>
                <w:rStyle w:val="93"/>
                <w:rFonts w:hint="eastAsia" w:ascii="仿宋" w:hAnsi="仿宋" w:eastAsia="仿宋" w:cs="仿宋"/>
                <w:color w:val="auto"/>
                <w:highlight w:val="none"/>
                <w:lang w:val="en-US" w:eastAsia="zh-CN" w:bidi="ar"/>
              </w:rPr>
              <w:t>级优先设置：</w:t>
            </w:r>
            <w:r>
              <w:rPr>
                <w:rStyle w:val="59"/>
                <w:rFonts w:hint="eastAsia" w:ascii="仿宋" w:hAnsi="仿宋" w:eastAsia="仿宋" w:cs="仿宋"/>
                <w:color w:val="auto"/>
                <w:highlight w:val="none"/>
                <w:lang w:val="en-US" w:eastAsia="zh-CN" w:bidi="ar"/>
              </w:rPr>
              <w:t xml:space="preserve"> MIC</w:t>
            </w:r>
            <w:r>
              <w:rPr>
                <w:rStyle w:val="93"/>
                <w:rFonts w:hint="eastAsia" w:ascii="仿宋" w:hAnsi="仿宋" w:eastAsia="仿宋" w:cs="仿宋"/>
                <w:color w:val="auto"/>
                <w:highlight w:val="none"/>
                <w:lang w:val="en-US" w:eastAsia="zh-CN" w:bidi="ar"/>
              </w:rPr>
              <w:t>优先</w:t>
            </w:r>
            <w:r>
              <w:rPr>
                <w:rStyle w:val="59"/>
                <w:rFonts w:hint="eastAsia" w:ascii="仿宋" w:hAnsi="仿宋" w:eastAsia="仿宋" w:cs="仿宋"/>
                <w:color w:val="auto"/>
                <w:highlight w:val="none"/>
                <w:lang w:val="en-US" w:eastAsia="zh-CN" w:bidi="ar"/>
              </w:rPr>
              <w:t>AUX</w:t>
            </w:r>
            <w:r>
              <w:rPr>
                <w:rStyle w:val="93"/>
                <w:rFonts w:hint="eastAsia" w:ascii="仿宋" w:hAnsi="仿宋" w:eastAsia="仿宋" w:cs="仿宋"/>
                <w:color w:val="auto"/>
                <w:highlight w:val="none"/>
                <w:lang w:val="en-US" w:eastAsia="zh-CN" w:bidi="ar"/>
              </w:rPr>
              <w:t>和网络背景音乐信号。</w:t>
            </w:r>
            <w:r>
              <w:rPr>
                <w:rStyle w:val="59"/>
                <w:rFonts w:hint="eastAsia" w:ascii="仿宋" w:hAnsi="仿宋" w:eastAsia="仿宋" w:cs="仿宋"/>
                <w:color w:val="auto"/>
                <w:highlight w:val="none"/>
                <w:lang w:val="en-US" w:eastAsia="zh-CN" w:bidi="ar"/>
              </w:rPr>
              <w:t>AUX</w:t>
            </w:r>
            <w:r>
              <w:rPr>
                <w:rStyle w:val="93"/>
                <w:rFonts w:hint="eastAsia" w:ascii="仿宋" w:hAnsi="仿宋" w:eastAsia="仿宋" w:cs="仿宋"/>
                <w:color w:val="auto"/>
                <w:highlight w:val="none"/>
                <w:lang w:val="en-US" w:eastAsia="zh-CN" w:bidi="ar"/>
              </w:rPr>
              <w:t>和网络背景音乐为同级。</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10.</w:t>
            </w:r>
            <w:r>
              <w:rPr>
                <w:rStyle w:val="93"/>
                <w:rFonts w:hint="eastAsia" w:ascii="仿宋" w:hAnsi="仿宋" w:eastAsia="仿宋" w:cs="仿宋"/>
                <w:color w:val="auto"/>
                <w:highlight w:val="none"/>
                <w:lang w:val="en-US" w:eastAsia="zh-CN" w:bidi="ar"/>
              </w:rPr>
              <w:t>内置</w:t>
            </w:r>
            <w:r>
              <w:rPr>
                <w:rStyle w:val="59"/>
                <w:rFonts w:hint="eastAsia" w:ascii="仿宋" w:hAnsi="仿宋" w:eastAsia="仿宋" w:cs="仿宋"/>
                <w:color w:val="auto"/>
                <w:highlight w:val="none"/>
                <w:lang w:val="en-US" w:eastAsia="zh-CN" w:bidi="ar"/>
              </w:rPr>
              <w:t>MP3</w:t>
            </w:r>
            <w:r>
              <w:rPr>
                <w:rStyle w:val="93"/>
                <w:rFonts w:hint="eastAsia" w:ascii="仿宋" w:hAnsi="仿宋" w:eastAsia="仿宋" w:cs="仿宋"/>
                <w:color w:val="auto"/>
                <w:highlight w:val="none"/>
                <w:lang w:val="en-US" w:eastAsia="zh-CN" w:bidi="ar"/>
              </w:rPr>
              <w:t>解码播放模块，支持</w:t>
            </w:r>
            <w:r>
              <w:rPr>
                <w:rStyle w:val="59"/>
                <w:rFonts w:hint="eastAsia" w:ascii="仿宋" w:hAnsi="仿宋" w:eastAsia="仿宋" w:cs="仿宋"/>
                <w:color w:val="auto"/>
                <w:highlight w:val="none"/>
                <w:lang w:val="en-US" w:eastAsia="zh-CN" w:bidi="ar"/>
              </w:rPr>
              <w:t>U</w:t>
            </w:r>
            <w:r>
              <w:rPr>
                <w:rStyle w:val="93"/>
                <w:rFonts w:hint="eastAsia" w:ascii="仿宋" w:hAnsi="仿宋" w:eastAsia="仿宋" w:cs="仿宋"/>
                <w:color w:val="auto"/>
                <w:highlight w:val="none"/>
                <w:lang w:val="en-US" w:eastAsia="zh-CN" w:bidi="ar"/>
              </w:rPr>
              <w:t>盘与</w:t>
            </w:r>
            <w:r>
              <w:rPr>
                <w:rStyle w:val="59"/>
                <w:rFonts w:hint="eastAsia" w:ascii="仿宋" w:hAnsi="仿宋" w:eastAsia="仿宋" w:cs="仿宋"/>
                <w:color w:val="auto"/>
                <w:highlight w:val="none"/>
                <w:lang w:val="en-US" w:eastAsia="zh-CN" w:bidi="ar"/>
              </w:rPr>
              <w:t>SD</w:t>
            </w:r>
            <w:r>
              <w:rPr>
                <w:rStyle w:val="93"/>
                <w:rFonts w:hint="eastAsia" w:ascii="仿宋" w:hAnsi="仿宋" w:eastAsia="仿宋" w:cs="仿宋"/>
                <w:color w:val="auto"/>
                <w:highlight w:val="none"/>
                <w:lang w:val="en-US" w:eastAsia="zh-CN" w:bidi="ar"/>
              </w:rPr>
              <w:t>卡接入播放。便于用户操作</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11.</w:t>
            </w:r>
            <w:r>
              <w:rPr>
                <w:rStyle w:val="93"/>
                <w:rFonts w:hint="eastAsia" w:ascii="仿宋" w:hAnsi="仿宋" w:eastAsia="仿宋" w:cs="仿宋"/>
                <w:color w:val="auto"/>
                <w:highlight w:val="none"/>
                <w:lang w:val="en-US" w:eastAsia="zh-CN" w:bidi="ar"/>
              </w:rPr>
              <w:t>支持手机蓝牙连接，可通过手机播放器进行点播节目。</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12.5</w:t>
            </w:r>
            <w:r>
              <w:rPr>
                <w:rStyle w:val="93"/>
                <w:rFonts w:hint="eastAsia" w:ascii="仿宋" w:hAnsi="仿宋" w:eastAsia="仿宋" w:cs="仿宋"/>
                <w:color w:val="auto"/>
                <w:highlight w:val="none"/>
                <w:lang w:val="en-US" w:eastAsia="zh-CN" w:bidi="ar"/>
              </w:rPr>
              <w:t>路独立分区开关，</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13.</w:t>
            </w:r>
            <w:r>
              <w:rPr>
                <w:rStyle w:val="93"/>
                <w:rFonts w:hint="eastAsia" w:ascii="仿宋" w:hAnsi="仿宋" w:eastAsia="仿宋" w:cs="仿宋"/>
                <w:color w:val="auto"/>
                <w:highlight w:val="none"/>
                <w:lang w:val="en-US" w:eastAsia="zh-CN" w:bidi="ar"/>
              </w:rPr>
              <w:t>可定时编程，实现全系统的无人值守分区管理</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14.</w:t>
            </w:r>
            <w:r>
              <w:rPr>
                <w:rStyle w:val="93"/>
                <w:rFonts w:hint="eastAsia" w:ascii="仿宋" w:hAnsi="仿宋" w:eastAsia="仿宋" w:cs="仿宋"/>
                <w:color w:val="auto"/>
                <w:highlight w:val="none"/>
                <w:lang w:val="en-US" w:eastAsia="zh-CN" w:bidi="ar"/>
              </w:rPr>
              <w:t>可手动或通过软件控制功放打开与关闭。</w:t>
            </w:r>
            <w:r>
              <w:rPr>
                <w:rStyle w:val="59"/>
                <w:rFonts w:hint="eastAsia" w:ascii="仿宋" w:hAnsi="仿宋" w:eastAsia="仿宋" w:cs="仿宋"/>
                <w:color w:val="auto"/>
                <w:highlight w:val="none"/>
                <w:lang w:val="en-US" w:eastAsia="zh-CN" w:bidi="ar"/>
              </w:rPr>
              <w:t xml:space="preserve"> </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15.</w:t>
            </w:r>
            <w:r>
              <w:rPr>
                <w:rStyle w:val="93"/>
                <w:rFonts w:hint="eastAsia" w:ascii="仿宋" w:hAnsi="仿宋" w:eastAsia="仿宋" w:cs="仿宋"/>
                <w:color w:val="auto"/>
                <w:highlight w:val="none"/>
                <w:lang w:val="en-US" w:eastAsia="zh-CN" w:bidi="ar"/>
              </w:rPr>
              <w:t>支持状态灯显示，包括电平指示灯、保护指示灯、待机指示灯等。整机待机功率小于</w:t>
            </w:r>
            <w:r>
              <w:rPr>
                <w:rStyle w:val="59"/>
                <w:rFonts w:hint="eastAsia" w:ascii="仿宋" w:hAnsi="仿宋" w:eastAsia="仿宋" w:cs="仿宋"/>
                <w:color w:val="auto"/>
                <w:highlight w:val="none"/>
                <w:lang w:val="en-US" w:eastAsia="zh-CN" w:bidi="ar"/>
              </w:rPr>
              <w:t>3W</w:t>
            </w:r>
            <w:r>
              <w:rPr>
                <w:rStyle w:val="93"/>
                <w:rFonts w:hint="eastAsia" w:ascii="仿宋" w:hAnsi="仿宋" w:eastAsia="仿宋" w:cs="仿宋"/>
                <w:color w:val="auto"/>
                <w:highlight w:val="none"/>
                <w:lang w:val="en-US" w:eastAsia="zh-CN" w:bidi="ar"/>
              </w:rPr>
              <w:t>，满足国家环保节能认证标准。</w:t>
            </w:r>
            <w:r>
              <w:rPr>
                <w:rStyle w:val="59"/>
                <w:rFonts w:hint="eastAsia" w:ascii="仿宋" w:hAnsi="仿宋" w:eastAsia="仿宋" w:cs="仿宋"/>
                <w:color w:val="auto"/>
                <w:highlight w:val="none"/>
                <w:lang w:val="en-US" w:eastAsia="zh-CN" w:bidi="ar"/>
              </w:rPr>
              <w:t xml:space="preserve"> </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16.</w:t>
            </w:r>
            <w:r>
              <w:rPr>
                <w:rStyle w:val="93"/>
                <w:rFonts w:hint="eastAsia" w:ascii="仿宋" w:hAnsi="仿宋" w:eastAsia="仿宋" w:cs="仿宋"/>
                <w:color w:val="auto"/>
                <w:highlight w:val="none"/>
                <w:lang w:val="en-US" w:eastAsia="zh-CN" w:bidi="ar"/>
              </w:rPr>
              <w:t>支持</w:t>
            </w:r>
            <w:r>
              <w:rPr>
                <w:rStyle w:val="59"/>
                <w:rFonts w:hint="eastAsia" w:ascii="仿宋" w:hAnsi="仿宋" w:eastAsia="仿宋" w:cs="仿宋"/>
                <w:color w:val="auto"/>
                <w:highlight w:val="none"/>
                <w:lang w:val="en-US" w:eastAsia="zh-CN" w:bidi="ar"/>
              </w:rPr>
              <w:t>DHCP,</w:t>
            </w:r>
            <w:r>
              <w:rPr>
                <w:rStyle w:val="93"/>
                <w:rFonts w:hint="eastAsia" w:ascii="仿宋" w:hAnsi="仿宋" w:eastAsia="仿宋" w:cs="仿宋"/>
                <w:color w:val="auto"/>
                <w:highlight w:val="none"/>
                <w:lang w:val="en-US" w:eastAsia="zh-CN" w:bidi="ar"/>
              </w:rPr>
              <w:t>兼容路由器、交换机、网桥网关、</w:t>
            </w:r>
            <w:r>
              <w:rPr>
                <w:rStyle w:val="59"/>
                <w:rFonts w:hint="eastAsia" w:ascii="仿宋" w:hAnsi="仿宋" w:eastAsia="仿宋" w:cs="仿宋"/>
                <w:color w:val="auto"/>
                <w:highlight w:val="none"/>
                <w:lang w:val="en-US" w:eastAsia="zh-CN" w:bidi="ar"/>
              </w:rPr>
              <w:t>Modem</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Internet</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2G</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3G</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4G</w:t>
            </w:r>
            <w:r>
              <w:rPr>
                <w:rStyle w:val="93"/>
                <w:rFonts w:hint="eastAsia" w:ascii="仿宋" w:hAnsi="仿宋" w:eastAsia="仿宋" w:cs="仿宋"/>
                <w:color w:val="auto"/>
                <w:highlight w:val="none"/>
                <w:lang w:val="en-US" w:eastAsia="zh-CN" w:bidi="ar"/>
              </w:rPr>
              <w:t>、组播、单播等任意网络结构。</w:t>
            </w:r>
            <w:r>
              <w:rPr>
                <w:rStyle w:val="59"/>
                <w:rFonts w:hint="eastAsia" w:ascii="仿宋" w:hAnsi="仿宋" w:eastAsia="仿宋" w:cs="仿宋"/>
                <w:color w:val="auto"/>
                <w:highlight w:val="none"/>
                <w:lang w:val="en-US" w:eastAsia="zh-CN" w:bidi="ar"/>
              </w:rPr>
              <w:t xml:space="preserve"> </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17.</w:t>
            </w:r>
            <w:r>
              <w:rPr>
                <w:rStyle w:val="93"/>
                <w:rFonts w:hint="eastAsia" w:ascii="仿宋" w:hAnsi="仿宋" w:eastAsia="仿宋" w:cs="仿宋"/>
                <w:color w:val="auto"/>
                <w:highlight w:val="none"/>
                <w:lang w:val="en-US" w:eastAsia="zh-CN" w:bidi="ar"/>
              </w:rPr>
              <w:t>数字化产品，扩容方便，不受地理位置限制，无需增加机房管理设备，采用共网免线路施工的设计理念，安装简便。</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18.</w:t>
            </w:r>
            <w:r>
              <w:rPr>
                <w:rStyle w:val="93"/>
                <w:rFonts w:hint="eastAsia" w:ascii="仿宋" w:hAnsi="仿宋" w:eastAsia="仿宋" w:cs="仿宋"/>
                <w:color w:val="auto"/>
                <w:highlight w:val="none"/>
                <w:lang w:val="en-US" w:eastAsia="zh-CN" w:bidi="ar"/>
              </w:rPr>
              <w:t>本设备可支持局域网与广域网的远程升级，便于有效服务好客户。</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19</w:t>
            </w:r>
            <w:r>
              <w:rPr>
                <w:rStyle w:val="93"/>
                <w:rFonts w:hint="eastAsia" w:ascii="仿宋" w:hAnsi="仿宋" w:eastAsia="仿宋" w:cs="仿宋"/>
                <w:color w:val="auto"/>
                <w:highlight w:val="none"/>
                <w:lang w:val="en-US" w:eastAsia="zh-CN" w:bidi="ar"/>
              </w:rPr>
              <w:t>、支持终端参数配置及查询：通过串口配置终端参数（服务器</w:t>
            </w:r>
            <w:r>
              <w:rPr>
                <w:rStyle w:val="59"/>
                <w:rFonts w:hint="eastAsia" w:ascii="仿宋" w:hAnsi="仿宋" w:eastAsia="仿宋" w:cs="仿宋"/>
                <w:color w:val="auto"/>
                <w:highlight w:val="none"/>
                <w:lang w:val="en-US" w:eastAsia="zh-CN" w:bidi="ar"/>
              </w:rPr>
              <w:t>IP</w:t>
            </w:r>
            <w:r>
              <w:rPr>
                <w:rStyle w:val="93"/>
                <w:rFonts w:hint="eastAsia" w:ascii="仿宋" w:hAnsi="仿宋" w:eastAsia="仿宋" w:cs="仿宋"/>
                <w:color w:val="auto"/>
                <w:highlight w:val="none"/>
                <w:lang w:val="en-US" w:eastAsia="zh-CN" w:bidi="ar"/>
              </w:rPr>
              <w:t>、终端名称、终端</w:t>
            </w:r>
            <w:r>
              <w:rPr>
                <w:rStyle w:val="59"/>
                <w:rFonts w:hint="eastAsia" w:ascii="仿宋" w:hAnsi="仿宋" w:eastAsia="仿宋" w:cs="仿宋"/>
                <w:color w:val="auto"/>
                <w:highlight w:val="none"/>
                <w:lang w:val="en-US" w:eastAsia="zh-CN" w:bidi="ar"/>
              </w:rPr>
              <w:t>ID</w:t>
            </w:r>
            <w:r>
              <w:rPr>
                <w:rStyle w:val="93"/>
                <w:rFonts w:hint="eastAsia" w:ascii="仿宋" w:hAnsi="仿宋" w:eastAsia="仿宋" w:cs="仿宋"/>
                <w:color w:val="auto"/>
                <w:highlight w:val="none"/>
                <w:lang w:val="en-US" w:eastAsia="zh-CN" w:bidi="ar"/>
              </w:rPr>
              <w:t>），查询终端参数（设备</w:t>
            </w:r>
            <w:r>
              <w:rPr>
                <w:rStyle w:val="59"/>
                <w:rFonts w:hint="eastAsia" w:ascii="仿宋" w:hAnsi="仿宋" w:eastAsia="仿宋" w:cs="仿宋"/>
                <w:color w:val="auto"/>
                <w:highlight w:val="none"/>
                <w:lang w:val="en-US" w:eastAsia="zh-CN" w:bidi="ar"/>
              </w:rPr>
              <w:t>ID</w:t>
            </w:r>
            <w:r>
              <w:rPr>
                <w:rStyle w:val="93"/>
                <w:rFonts w:hint="eastAsia" w:ascii="仿宋" w:hAnsi="仿宋" w:eastAsia="仿宋" w:cs="仿宋"/>
                <w:color w:val="auto"/>
                <w:highlight w:val="none"/>
                <w:lang w:val="en-US" w:eastAsia="zh-CN" w:bidi="ar"/>
              </w:rPr>
              <w:t>、终端</w:t>
            </w:r>
            <w:r>
              <w:rPr>
                <w:rStyle w:val="59"/>
                <w:rFonts w:hint="eastAsia" w:ascii="仿宋" w:hAnsi="仿宋" w:eastAsia="仿宋" w:cs="仿宋"/>
                <w:color w:val="auto"/>
                <w:highlight w:val="none"/>
                <w:lang w:val="en-US" w:eastAsia="zh-CN" w:bidi="ar"/>
              </w:rPr>
              <w:t>ID</w:t>
            </w:r>
            <w:r>
              <w:rPr>
                <w:rStyle w:val="93"/>
                <w:rFonts w:hint="eastAsia" w:ascii="仿宋" w:hAnsi="仿宋" w:eastAsia="仿宋" w:cs="仿宋"/>
                <w:color w:val="auto"/>
                <w:highlight w:val="none"/>
                <w:lang w:val="en-US" w:eastAsia="zh-CN" w:bidi="ar"/>
              </w:rPr>
              <w:t>、服务器</w:t>
            </w:r>
            <w:r>
              <w:rPr>
                <w:rStyle w:val="59"/>
                <w:rFonts w:hint="eastAsia" w:ascii="仿宋" w:hAnsi="仿宋" w:eastAsia="仿宋" w:cs="仿宋"/>
                <w:color w:val="auto"/>
                <w:highlight w:val="none"/>
                <w:lang w:val="en-US" w:eastAsia="zh-CN" w:bidi="ar"/>
              </w:rPr>
              <w:t>IP</w:t>
            </w:r>
            <w:r>
              <w:rPr>
                <w:rStyle w:val="93"/>
                <w:rFonts w:hint="eastAsia" w:ascii="仿宋" w:hAnsi="仿宋" w:eastAsia="仿宋" w:cs="仿宋"/>
                <w:color w:val="auto"/>
                <w:highlight w:val="none"/>
                <w:lang w:val="en-US" w:eastAsia="zh-CN" w:bidi="ar"/>
              </w:rPr>
              <w:t>和端口号、当前网络信号值）。</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20</w:t>
            </w:r>
            <w:r>
              <w:rPr>
                <w:rStyle w:val="93"/>
                <w:rFonts w:hint="eastAsia" w:ascii="仿宋" w:hAnsi="仿宋" w:eastAsia="仿宋" w:cs="仿宋"/>
                <w:color w:val="auto"/>
                <w:highlight w:val="none"/>
                <w:lang w:val="en-US" w:eastAsia="zh-CN" w:bidi="ar"/>
              </w:rPr>
              <w:t>，网络技术参数：</w:t>
            </w:r>
            <w:r>
              <w:rPr>
                <w:rStyle w:val="59"/>
                <w:rFonts w:hint="eastAsia" w:ascii="仿宋" w:hAnsi="仿宋" w:eastAsia="仿宋" w:cs="仿宋"/>
                <w:color w:val="auto"/>
                <w:highlight w:val="none"/>
                <w:lang w:val="en-US" w:eastAsia="zh-CN" w:bidi="ar"/>
              </w:rPr>
              <w:br w:type="textWrapping"/>
            </w:r>
            <w:r>
              <w:rPr>
                <w:rStyle w:val="59"/>
                <w:rFonts w:hint="eastAsia" w:ascii="仿宋" w:hAnsi="仿宋" w:eastAsia="仿宋" w:cs="仿宋"/>
                <w:color w:val="auto"/>
                <w:highlight w:val="none"/>
                <w:lang w:val="en-US" w:eastAsia="zh-CN" w:bidi="ar"/>
              </w:rPr>
              <w:t>1.</w:t>
            </w:r>
            <w:r>
              <w:rPr>
                <w:rStyle w:val="93"/>
                <w:rFonts w:hint="eastAsia" w:ascii="仿宋" w:hAnsi="仿宋" w:eastAsia="仿宋" w:cs="仿宋"/>
                <w:color w:val="auto"/>
                <w:highlight w:val="none"/>
                <w:lang w:val="en-US" w:eastAsia="zh-CN" w:bidi="ar"/>
              </w:rPr>
              <w:t>额定功率需≥</w:t>
            </w:r>
            <w:r>
              <w:rPr>
                <w:rStyle w:val="59"/>
                <w:rFonts w:hint="eastAsia" w:ascii="仿宋" w:hAnsi="仿宋" w:eastAsia="仿宋" w:cs="仿宋"/>
                <w:color w:val="auto"/>
                <w:highlight w:val="none"/>
                <w:lang w:val="en-US" w:eastAsia="zh-CN" w:bidi="ar"/>
              </w:rPr>
              <w:t>200W  2.</w:t>
            </w:r>
            <w:r>
              <w:rPr>
                <w:rStyle w:val="93"/>
                <w:rFonts w:hint="eastAsia" w:ascii="仿宋" w:hAnsi="仿宋" w:eastAsia="仿宋" w:cs="仿宋"/>
                <w:color w:val="auto"/>
                <w:highlight w:val="none"/>
                <w:lang w:val="en-US" w:eastAsia="zh-CN" w:bidi="ar"/>
              </w:rPr>
              <w:t>网络接口：标准</w:t>
            </w:r>
            <w:r>
              <w:rPr>
                <w:rStyle w:val="59"/>
                <w:rFonts w:hint="eastAsia" w:ascii="仿宋" w:hAnsi="仿宋" w:eastAsia="仿宋" w:cs="仿宋"/>
                <w:color w:val="auto"/>
                <w:highlight w:val="none"/>
                <w:lang w:val="en-US" w:eastAsia="zh-CN" w:bidi="ar"/>
              </w:rPr>
              <w:t>RJ45</w:t>
            </w:r>
            <w:r>
              <w:rPr>
                <w:rStyle w:val="93"/>
                <w:rFonts w:hint="eastAsia" w:ascii="仿宋" w:hAnsi="仿宋" w:eastAsia="仿宋" w:cs="仿宋"/>
                <w:color w:val="auto"/>
                <w:highlight w:val="none"/>
                <w:lang w:val="en-US" w:eastAsia="zh-CN" w:bidi="ar"/>
              </w:rPr>
              <w:t>输入</w:t>
            </w:r>
            <w:r>
              <w:rPr>
                <w:rStyle w:val="59"/>
                <w:rFonts w:hint="eastAsia" w:ascii="仿宋" w:hAnsi="仿宋" w:eastAsia="仿宋" w:cs="仿宋"/>
                <w:color w:val="auto"/>
                <w:highlight w:val="none"/>
                <w:lang w:val="en-US" w:eastAsia="zh-CN" w:bidi="ar"/>
              </w:rPr>
              <w:t xml:space="preserve">  3.</w:t>
            </w:r>
            <w:r>
              <w:rPr>
                <w:rStyle w:val="93"/>
                <w:rFonts w:hint="eastAsia" w:ascii="仿宋" w:hAnsi="仿宋" w:eastAsia="仿宋" w:cs="仿宋"/>
                <w:color w:val="auto"/>
                <w:highlight w:val="none"/>
                <w:lang w:val="en-US" w:eastAsia="zh-CN" w:bidi="ar"/>
              </w:rPr>
              <w:t>传输速率：</w:t>
            </w:r>
            <w:r>
              <w:rPr>
                <w:rStyle w:val="59"/>
                <w:rFonts w:hint="eastAsia" w:ascii="仿宋" w:hAnsi="仿宋" w:eastAsia="仿宋" w:cs="仿宋"/>
                <w:color w:val="auto"/>
                <w:highlight w:val="none"/>
                <w:lang w:val="en-US" w:eastAsia="zh-CN" w:bidi="ar"/>
              </w:rPr>
              <w:t>100Mbps  4.</w:t>
            </w:r>
            <w:r>
              <w:rPr>
                <w:rStyle w:val="93"/>
                <w:rFonts w:hint="eastAsia" w:ascii="仿宋" w:hAnsi="仿宋" w:eastAsia="仿宋" w:cs="仿宋"/>
                <w:color w:val="auto"/>
                <w:highlight w:val="none"/>
                <w:lang w:val="en-US" w:eastAsia="zh-CN" w:bidi="ar"/>
              </w:rPr>
              <w:t>音频格式：</w:t>
            </w:r>
            <w:r>
              <w:rPr>
                <w:rStyle w:val="59"/>
                <w:rFonts w:hint="eastAsia" w:ascii="仿宋" w:hAnsi="仿宋" w:eastAsia="仿宋" w:cs="仿宋"/>
                <w:color w:val="auto"/>
                <w:highlight w:val="none"/>
                <w:lang w:val="en-US" w:eastAsia="zh-CN" w:bidi="ar"/>
              </w:rPr>
              <w:t>MP3/WMA</w:t>
            </w:r>
            <w:r>
              <w:rPr>
                <w:rStyle w:val="93"/>
                <w:rFonts w:hint="eastAsia" w:ascii="仿宋" w:hAnsi="仿宋" w:eastAsia="仿宋" w:cs="仿宋"/>
                <w:color w:val="auto"/>
                <w:highlight w:val="none"/>
                <w:lang w:val="en-US" w:eastAsia="zh-CN" w:bidi="ar"/>
              </w:rPr>
              <w:t>，音频模式：</w:t>
            </w:r>
            <w:r>
              <w:rPr>
                <w:rStyle w:val="59"/>
                <w:rFonts w:hint="eastAsia" w:ascii="仿宋" w:hAnsi="仿宋" w:eastAsia="仿宋" w:cs="仿宋"/>
                <w:color w:val="auto"/>
                <w:highlight w:val="none"/>
                <w:lang w:val="en-US" w:eastAsia="zh-CN" w:bidi="ar"/>
              </w:rPr>
              <w:t>16</w:t>
            </w:r>
            <w:r>
              <w:rPr>
                <w:rStyle w:val="93"/>
                <w:rFonts w:hint="eastAsia" w:ascii="仿宋" w:hAnsi="仿宋" w:eastAsia="仿宋" w:cs="仿宋"/>
                <w:color w:val="auto"/>
                <w:highlight w:val="none"/>
                <w:lang w:val="en-US" w:eastAsia="zh-CN" w:bidi="ar"/>
              </w:rPr>
              <w:t>位</w:t>
            </w:r>
            <w:r>
              <w:rPr>
                <w:rStyle w:val="59"/>
                <w:rFonts w:hint="eastAsia" w:ascii="仿宋" w:hAnsi="仿宋" w:eastAsia="仿宋" w:cs="仿宋"/>
                <w:color w:val="auto"/>
                <w:highlight w:val="none"/>
                <w:lang w:val="en-US" w:eastAsia="zh-CN" w:bidi="ar"/>
              </w:rPr>
              <w:t>CD</w:t>
            </w:r>
            <w:r>
              <w:rPr>
                <w:rStyle w:val="93"/>
                <w:rFonts w:hint="eastAsia" w:ascii="仿宋" w:hAnsi="仿宋" w:eastAsia="仿宋" w:cs="仿宋"/>
                <w:color w:val="auto"/>
                <w:highlight w:val="none"/>
                <w:lang w:val="en-US" w:eastAsia="zh-CN" w:bidi="ar"/>
              </w:rPr>
              <w:t>音质</w:t>
            </w:r>
            <w:r>
              <w:rPr>
                <w:rStyle w:val="59"/>
                <w:rFonts w:hint="eastAsia" w:ascii="仿宋" w:hAnsi="仿宋" w:eastAsia="仿宋" w:cs="仿宋"/>
                <w:color w:val="auto"/>
                <w:highlight w:val="none"/>
                <w:lang w:val="en-US" w:eastAsia="zh-CN" w:bidi="ar"/>
              </w:rPr>
              <w:t xml:space="preserve">  5.</w:t>
            </w:r>
            <w:r>
              <w:rPr>
                <w:rStyle w:val="93"/>
                <w:rFonts w:hint="eastAsia" w:ascii="仿宋" w:hAnsi="仿宋" w:eastAsia="仿宋" w:cs="仿宋"/>
                <w:color w:val="auto"/>
                <w:highlight w:val="none"/>
                <w:lang w:val="en-US" w:eastAsia="zh-CN" w:bidi="ar"/>
              </w:rPr>
              <w:t>采样率：</w:t>
            </w:r>
            <w:r>
              <w:rPr>
                <w:rStyle w:val="59"/>
                <w:rFonts w:hint="eastAsia" w:ascii="仿宋" w:hAnsi="仿宋" w:eastAsia="仿宋" w:cs="仿宋"/>
                <w:color w:val="auto"/>
                <w:highlight w:val="none"/>
                <w:lang w:val="en-US" w:eastAsia="zh-CN" w:bidi="ar"/>
              </w:rPr>
              <w:t>80Hz</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16KHz  6.EMC</w:t>
            </w:r>
            <w:r>
              <w:rPr>
                <w:rStyle w:val="93"/>
                <w:rFonts w:hint="eastAsia" w:ascii="仿宋" w:hAnsi="仿宋" w:eastAsia="仿宋" w:cs="仿宋"/>
                <w:color w:val="auto"/>
                <w:highlight w:val="none"/>
                <w:lang w:val="en-US" w:eastAsia="zh-CN" w:bidi="ar"/>
              </w:rPr>
              <w:t>输入灵敏度：</w:t>
            </w:r>
            <w:r>
              <w:rPr>
                <w:rStyle w:val="59"/>
                <w:rFonts w:hint="eastAsia" w:ascii="仿宋" w:hAnsi="仿宋" w:eastAsia="仿宋" w:cs="仿宋"/>
                <w:color w:val="auto"/>
                <w:highlight w:val="none"/>
                <w:lang w:val="en-US" w:eastAsia="zh-CN" w:bidi="ar"/>
              </w:rPr>
              <w:t>775mV  (</w:t>
            </w:r>
            <w:r>
              <w:rPr>
                <w:rStyle w:val="93"/>
                <w:rFonts w:hint="eastAsia" w:ascii="仿宋" w:hAnsi="仿宋" w:eastAsia="仿宋" w:cs="仿宋"/>
                <w:color w:val="auto"/>
                <w:highlight w:val="none"/>
                <w:lang w:val="en-US" w:eastAsia="zh-CN" w:bidi="ar"/>
              </w:rPr>
              <w:t>非平衡）</w:t>
            </w:r>
            <w:r>
              <w:rPr>
                <w:rStyle w:val="59"/>
                <w:rFonts w:hint="eastAsia" w:ascii="仿宋" w:hAnsi="仿宋" w:eastAsia="仿宋" w:cs="仿宋"/>
                <w:color w:val="auto"/>
                <w:highlight w:val="none"/>
                <w:lang w:val="en-US" w:eastAsia="zh-CN" w:bidi="ar"/>
              </w:rPr>
              <w:t xml:space="preserve">  7.AUX</w:t>
            </w:r>
            <w:r>
              <w:rPr>
                <w:rStyle w:val="93"/>
                <w:rFonts w:hint="eastAsia" w:ascii="仿宋" w:hAnsi="仿宋" w:eastAsia="仿宋" w:cs="仿宋"/>
                <w:color w:val="auto"/>
                <w:highlight w:val="none"/>
                <w:lang w:val="en-US" w:eastAsia="zh-CN" w:bidi="ar"/>
              </w:rPr>
              <w:t>输入灵敏度：</w:t>
            </w:r>
            <w:r>
              <w:rPr>
                <w:rStyle w:val="59"/>
                <w:rFonts w:hint="eastAsia" w:ascii="仿宋" w:hAnsi="仿宋" w:eastAsia="仿宋" w:cs="仿宋"/>
                <w:color w:val="auto"/>
                <w:highlight w:val="none"/>
                <w:lang w:val="en-US" w:eastAsia="zh-CN" w:bidi="ar"/>
              </w:rPr>
              <w:t>350mV  (</w:t>
            </w:r>
            <w:r>
              <w:rPr>
                <w:rStyle w:val="93"/>
                <w:rFonts w:hint="eastAsia" w:ascii="仿宋" w:hAnsi="仿宋" w:eastAsia="仿宋" w:cs="仿宋"/>
                <w:color w:val="auto"/>
                <w:highlight w:val="none"/>
                <w:lang w:val="en-US" w:eastAsia="zh-CN" w:bidi="ar"/>
              </w:rPr>
              <w:t>非平衡）</w:t>
            </w:r>
            <w:r>
              <w:rPr>
                <w:rStyle w:val="59"/>
                <w:rFonts w:hint="eastAsia" w:ascii="仿宋" w:hAnsi="仿宋" w:eastAsia="仿宋" w:cs="仿宋"/>
                <w:color w:val="auto"/>
                <w:highlight w:val="none"/>
                <w:lang w:val="en-US" w:eastAsia="zh-CN" w:bidi="ar"/>
              </w:rPr>
              <w:t xml:space="preserve">  8.MIC</w:t>
            </w:r>
            <w:r>
              <w:rPr>
                <w:rStyle w:val="93"/>
                <w:rFonts w:hint="eastAsia" w:ascii="仿宋" w:hAnsi="仿宋" w:eastAsia="仿宋" w:cs="仿宋"/>
                <w:color w:val="auto"/>
                <w:highlight w:val="none"/>
                <w:lang w:val="en-US" w:eastAsia="zh-CN" w:bidi="ar"/>
              </w:rPr>
              <w:t>输入灵敏度：</w:t>
            </w:r>
            <w:r>
              <w:rPr>
                <w:rStyle w:val="59"/>
                <w:rFonts w:hint="eastAsia" w:ascii="仿宋" w:hAnsi="仿宋" w:eastAsia="仿宋" w:cs="仿宋"/>
                <w:color w:val="auto"/>
                <w:highlight w:val="none"/>
                <w:lang w:val="en-US" w:eastAsia="zh-CN" w:bidi="ar"/>
              </w:rPr>
              <w:t>5mV   (</w:t>
            </w:r>
            <w:r>
              <w:rPr>
                <w:rStyle w:val="93"/>
                <w:rFonts w:hint="eastAsia" w:ascii="仿宋" w:hAnsi="仿宋" w:eastAsia="仿宋" w:cs="仿宋"/>
                <w:color w:val="auto"/>
                <w:highlight w:val="none"/>
                <w:lang w:val="en-US" w:eastAsia="zh-CN" w:bidi="ar"/>
              </w:rPr>
              <w:t>非平衡）</w:t>
            </w:r>
            <w:r>
              <w:rPr>
                <w:rStyle w:val="59"/>
                <w:rFonts w:hint="eastAsia" w:ascii="仿宋" w:hAnsi="仿宋" w:eastAsia="仿宋" w:cs="仿宋"/>
                <w:color w:val="auto"/>
                <w:highlight w:val="none"/>
                <w:lang w:val="en-US" w:eastAsia="zh-CN" w:bidi="ar"/>
              </w:rPr>
              <w:t xml:space="preserve">  9.AUX</w:t>
            </w:r>
            <w:r>
              <w:rPr>
                <w:rStyle w:val="93"/>
                <w:rFonts w:hint="eastAsia" w:ascii="仿宋" w:hAnsi="仿宋" w:eastAsia="仿宋" w:cs="仿宋"/>
                <w:color w:val="auto"/>
                <w:highlight w:val="none"/>
                <w:lang w:val="en-US" w:eastAsia="zh-CN" w:bidi="ar"/>
              </w:rPr>
              <w:t>输出幅度：</w:t>
            </w:r>
            <w:r>
              <w:rPr>
                <w:rStyle w:val="59"/>
                <w:rFonts w:hint="eastAsia" w:ascii="仿宋" w:hAnsi="仿宋" w:eastAsia="仿宋" w:cs="仿宋"/>
                <w:color w:val="auto"/>
                <w:highlight w:val="none"/>
                <w:lang w:val="en-US" w:eastAsia="zh-CN" w:bidi="ar"/>
              </w:rPr>
              <w:t>1000mV  2</w:t>
            </w:r>
            <w:r>
              <w:rPr>
                <w:rStyle w:val="93"/>
                <w:rFonts w:hint="eastAsia" w:ascii="仿宋" w:hAnsi="仿宋" w:eastAsia="仿宋" w:cs="仿宋"/>
                <w:color w:val="auto"/>
                <w:highlight w:val="none"/>
                <w:lang w:val="en-US" w:eastAsia="zh-CN" w:bidi="ar"/>
              </w:rPr>
              <w:t>路莲花座输出接口</w:t>
            </w:r>
            <w:r>
              <w:rPr>
                <w:rStyle w:val="59"/>
                <w:rFonts w:hint="eastAsia" w:ascii="仿宋" w:hAnsi="仿宋" w:eastAsia="仿宋" w:cs="仿宋"/>
                <w:color w:val="auto"/>
                <w:highlight w:val="none"/>
                <w:lang w:val="en-US" w:eastAsia="zh-CN" w:bidi="ar"/>
              </w:rPr>
              <w:t xml:space="preserve">  10.AUX</w:t>
            </w:r>
            <w:r>
              <w:rPr>
                <w:rStyle w:val="93"/>
                <w:rFonts w:hint="eastAsia" w:ascii="仿宋" w:hAnsi="仿宋" w:eastAsia="仿宋" w:cs="仿宋"/>
                <w:color w:val="auto"/>
                <w:highlight w:val="none"/>
                <w:lang w:val="en-US" w:eastAsia="zh-CN" w:bidi="ar"/>
              </w:rPr>
              <w:t>输出阻抗：</w:t>
            </w:r>
            <w:r>
              <w:rPr>
                <w:rStyle w:val="59"/>
                <w:rFonts w:hint="eastAsia" w:ascii="仿宋" w:hAnsi="仿宋" w:eastAsia="仿宋" w:cs="仿宋"/>
                <w:color w:val="auto"/>
                <w:highlight w:val="none"/>
                <w:lang w:val="en-US" w:eastAsia="zh-CN" w:bidi="ar"/>
              </w:rPr>
              <w:t>470Ω  11.</w:t>
            </w:r>
            <w:r>
              <w:rPr>
                <w:rStyle w:val="93"/>
                <w:rFonts w:hint="eastAsia" w:ascii="仿宋" w:hAnsi="仿宋" w:eastAsia="仿宋" w:cs="仿宋"/>
                <w:color w:val="auto"/>
                <w:highlight w:val="none"/>
                <w:lang w:val="en-US" w:eastAsia="zh-CN" w:bidi="ar"/>
              </w:rPr>
              <w:t>高音提升、衰减：</w:t>
            </w:r>
            <w:r>
              <w:rPr>
                <w:rStyle w:val="59"/>
                <w:rFonts w:hint="eastAsia" w:ascii="仿宋" w:hAnsi="仿宋" w:eastAsia="仿宋" w:cs="仿宋"/>
                <w:color w:val="auto"/>
                <w:highlight w:val="none"/>
                <w:lang w:val="en-US" w:eastAsia="zh-CN" w:bidi="ar"/>
              </w:rPr>
              <w:t>±10dB  12.</w:t>
            </w:r>
            <w:r>
              <w:rPr>
                <w:rStyle w:val="93"/>
                <w:rFonts w:hint="eastAsia" w:ascii="仿宋" w:hAnsi="仿宋" w:eastAsia="仿宋" w:cs="仿宋"/>
                <w:color w:val="auto"/>
                <w:highlight w:val="none"/>
                <w:lang w:val="en-US" w:eastAsia="zh-CN" w:bidi="ar"/>
              </w:rPr>
              <w:t>低音提升、衰减：</w:t>
            </w:r>
            <w:r>
              <w:rPr>
                <w:rStyle w:val="59"/>
                <w:rFonts w:hint="eastAsia" w:ascii="仿宋" w:hAnsi="仿宋" w:eastAsia="仿宋" w:cs="仿宋"/>
                <w:color w:val="auto"/>
                <w:highlight w:val="none"/>
                <w:lang w:val="en-US" w:eastAsia="zh-CN" w:bidi="ar"/>
              </w:rPr>
              <w:t>±10dB  13.USB</w:t>
            </w:r>
            <w:r>
              <w:rPr>
                <w:rStyle w:val="93"/>
                <w:rFonts w:hint="eastAsia" w:ascii="仿宋" w:hAnsi="仿宋" w:eastAsia="仿宋" w:cs="仿宋"/>
                <w:color w:val="auto"/>
                <w:highlight w:val="none"/>
                <w:lang w:val="en-US" w:eastAsia="zh-CN" w:bidi="ar"/>
              </w:rPr>
              <w:t>接口：最大支持</w:t>
            </w:r>
            <w:r>
              <w:rPr>
                <w:rStyle w:val="59"/>
                <w:rFonts w:hint="eastAsia" w:ascii="仿宋" w:hAnsi="仿宋" w:eastAsia="仿宋" w:cs="仿宋"/>
                <w:color w:val="auto"/>
                <w:highlight w:val="none"/>
                <w:lang w:val="en-US" w:eastAsia="zh-CN" w:bidi="ar"/>
              </w:rPr>
              <w:t>16G</w:t>
            </w:r>
            <w:r>
              <w:rPr>
                <w:rStyle w:val="93"/>
                <w:rFonts w:hint="eastAsia" w:ascii="仿宋" w:hAnsi="仿宋" w:eastAsia="仿宋" w:cs="仿宋"/>
                <w:color w:val="auto"/>
                <w:highlight w:val="none"/>
                <w:lang w:val="en-US" w:eastAsia="zh-CN" w:bidi="ar"/>
              </w:rPr>
              <w:t>内存</w:t>
            </w:r>
            <w:r>
              <w:rPr>
                <w:rStyle w:val="59"/>
                <w:rFonts w:hint="eastAsia" w:ascii="仿宋" w:hAnsi="仿宋" w:eastAsia="仿宋" w:cs="仿宋"/>
                <w:color w:val="auto"/>
                <w:highlight w:val="none"/>
                <w:lang w:val="en-US" w:eastAsia="zh-CN" w:bidi="ar"/>
              </w:rPr>
              <w:t>U</w:t>
            </w:r>
            <w:r>
              <w:rPr>
                <w:rStyle w:val="93"/>
                <w:rFonts w:hint="eastAsia" w:ascii="仿宋" w:hAnsi="仿宋" w:eastAsia="仿宋" w:cs="仿宋"/>
                <w:color w:val="auto"/>
                <w:highlight w:val="none"/>
                <w:lang w:val="en-US" w:eastAsia="zh-CN" w:bidi="ar"/>
              </w:rPr>
              <w:t>盘接入</w:t>
            </w:r>
            <w:r>
              <w:rPr>
                <w:rStyle w:val="59"/>
                <w:rFonts w:hint="eastAsia" w:ascii="仿宋" w:hAnsi="仿宋" w:eastAsia="仿宋" w:cs="仿宋"/>
                <w:color w:val="auto"/>
                <w:highlight w:val="none"/>
                <w:lang w:val="en-US" w:eastAsia="zh-CN" w:bidi="ar"/>
              </w:rPr>
              <w:t xml:space="preserve">  14.</w:t>
            </w:r>
            <w:r>
              <w:rPr>
                <w:rStyle w:val="93"/>
                <w:rFonts w:hint="eastAsia" w:ascii="仿宋" w:hAnsi="仿宋" w:eastAsia="仿宋" w:cs="仿宋"/>
                <w:color w:val="auto"/>
                <w:highlight w:val="none"/>
                <w:lang w:val="en-US" w:eastAsia="zh-CN" w:bidi="ar"/>
              </w:rPr>
              <w:t>待机功耗：＜</w:t>
            </w:r>
            <w:r>
              <w:rPr>
                <w:rStyle w:val="59"/>
                <w:rFonts w:hint="eastAsia" w:ascii="仿宋" w:hAnsi="仿宋" w:eastAsia="仿宋" w:cs="仿宋"/>
                <w:color w:val="auto"/>
                <w:highlight w:val="none"/>
                <w:lang w:val="en-US" w:eastAsia="zh-CN" w:bidi="ar"/>
              </w:rPr>
              <w:t>10W  15.</w:t>
            </w:r>
            <w:r>
              <w:rPr>
                <w:rStyle w:val="93"/>
                <w:rFonts w:hint="eastAsia" w:ascii="仿宋" w:hAnsi="仿宋" w:eastAsia="仿宋" w:cs="仿宋"/>
                <w:color w:val="auto"/>
                <w:highlight w:val="none"/>
                <w:lang w:val="en-US" w:eastAsia="zh-CN" w:bidi="ar"/>
              </w:rPr>
              <w:t>频率响应：</w:t>
            </w:r>
            <w:r>
              <w:rPr>
                <w:rStyle w:val="59"/>
                <w:rFonts w:hint="eastAsia" w:ascii="仿宋" w:hAnsi="仿宋" w:eastAsia="仿宋" w:cs="仿宋"/>
                <w:color w:val="auto"/>
                <w:highlight w:val="none"/>
                <w:lang w:val="en-US" w:eastAsia="zh-CN" w:bidi="ar"/>
              </w:rPr>
              <w:t>80Hz</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16KHz   +1/-3dB  16.</w:t>
            </w:r>
            <w:r>
              <w:rPr>
                <w:rStyle w:val="93"/>
                <w:rFonts w:hint="eastAsia" w:ascii="仿宋" w:hAnsi="仿宋" w:eastAsia="仿宋" w:cs="仿宋"/>
                <w:color w:val="auto"/>
                <w:highlight w:val="none"/>
                <w:lang w:val="en-US" w:eastAsia="zh-CN" w:bidi="ar"/>
              </w:rPr>
              <w:t>谐波失真：</w:t>
            </w:r>
            <w:r>
              <w:rPr>
                <w:rStyle w:val="59"/>
                <w:rFonts w:hint="eastAsia" w:ascii="仿宋" w:hAnsi="仿宋" w:eastAsia="仿宋" w:cs="仿宋"/>
                <w:color w:val="auto"/>
                <w:highlight w:val="none"/>
                <w:lang w:val="en-US" w:eastAsia="zh-CN" w:bidi="ar"/>
              </w:rPr>
              <w:t>≤1%  17.</w:t>
            </w:r>
            <w:r>
              <w:rPr>
                <w:rStyle w:val="93"/>
                <w:rFonts w:hint="eastAsia" w:ascii="仿宋" w:hAnsi="仿宋" w:eastAsia="仿宋" w:cs="仿宋"/>
                <w:color w:val="auto"/>
                <w:highlight w:val="none"/>
                <w:lang w:val="en-US" w:eastAsia="zh-CN" w:bidi="ar"/>
              </w:rPr>
              <w:t>信噪比：＞</w:t>
            </w:r>
            <w:r>
              <w:rPr>
                <w:rStyle w:val="59"/>
                <w:rFonts w:hint="eastAsia" w:ascii="仿宋" w:hAnsi="仿宋" w:eastAsia="仿宋" w:cs="仿宋"/>
                <w:color w:val="auto"/>
                <w:highlight w:val="none"/>
                <w:lang w:val="en-US" w:eastAsia="zh-CN" w:bidi="ar"/>
              </w:rPr>
              <w:t>65dB  18.</w:t>
            </w:r>
            <w:r>
              <w:rPr>
                <w:rStyle w:val="93"/>
                <w:rFonts w:hint="eastAsia" w:ascii="仿宋" w:hAnsi="仿宋" w:eastAsia="仿宋" w:cs="仿宋"/>
                <w:color w:val="auto"/>
                <w:highlight w:val="none"/>
                <w:lang w:val="en-US" w:eastAsia="zh-CN" w:bidi="ar"/>
              </w:rPr>
              <w:t>输出方式：</w:t>
            </w:r>
            <w:r>
              <w:rPr>
                <w:rStyle w:val="59"/>
                <w:rFonts w:hint="eastAsia" w:ascii="仿宋" w:hAnsi="仿宋" w:eastAsia="仿宋" w:cs="仿宋"/>
                <w:color w:val="auto"/>
                <w:highlight w:val="none"/>
                <w:lang w:val="en-US" w:eastAsia="zh-CN" w:bidi="ar"/>
              </w:rPr>
              <w:t>4</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16Ω</w:t>
            </w:r>
            <w:r>
              <w:rPr>
                <w:rStyle w:val="93"/>
                <w:rFonts w:hint="eastAsia" w:ascii="仿宋" w:hAnsi="仿宋" w:eastAsia="仿宋" w:cs="仿宋"/>
                <w:color w:val="auto"/>
                <w:highlight w:val="none"/>
                <w:lang w:val="en-US" w:eastAsia="zh-CN" w:bidi="ar"/>
              </w:rPr>
              <w:t>定阻输出、</w:t>
            </w:r>
            <w:r>
              <w:rPr>
                <w:rStyle w:val="59"/>
                <w:rFonts w:hint="eastAsia" w:ascii="仿宋" w:hAnsi="仿宋" w:eastAsia="仿宋" w:cs="仿宋"/>
                <w:color w:val="auto"/>
                <w:highlight w:val="none"/>
                <w:lang w:val="en-US" w:eastAsia="zh-CN" w:bidi="ar"/>
              </w:rPr>
              <w:t>70V/100V</w:t>
            </w:r>
            <w:r>
              <w:rPr>
                <w:rStyle w:val="93"/>
                <w:rFonts w:hint="eastAsia" w:ascii="仿宋" w:hAnsi="仿宋" w:eastAsia="仿宋" w:cs="仿宋"/>
                <w:color w:val="auto"/>
                <w:highlight w:val="none"/>
                <w:lang w:val="en-US" w:eastAsia="zh-CN" w:bidi="ar"/>
              </w:rPr>
              <w:t>定压输出</w:t>
            </w:r>
            <w:r>
              <w:rPr>
                <w:rStyle w:val="59"/>
                <w:rFonts w:hint="eastAsia" w:ascii="仿宋" w:hAnsi="仿宋" w:eastAsia="仿宋" w:cs="仿宋"/>
                <w:color w:val="auto"/>
                <w:highlight w:val="none"/>
                <w:lang w:val="en-US" w:eastAsia="zh-CN" w:bidi="ar"/>
              </w:rPr>
              <w:t>,Z1-Z5</w:t>
            </w:r>
            <w:r>
              <w:rPr>
                <w:rStyle w:val="93"/>
                <w:rFonts w:hint="eastAsia" w:ascii="仿宋" w:hAnsi="仿宋" w:eastAsia="仿宋" w:cs="仿宋"/>
                <w:color w:val="auto"/>
                <w:highlight w:val="none"/>
                <w:lang w:val="en-US" w:eastAsia="zh-CN" w:bidi="ar"/>
              </w:rPr>
              <w:t>五路分区定压输出。</w:t>
            </w:r>
            <w:r>
              <w:rPr>
                <w:rStyle w:val="59"/>
                <w:rFonts w:hint="eastAsia" w:ascii="仿宋" w:hAnsi="仿宋" w:eastAsia="仿宋" w:cs="仿宋"/>
                <w:color w:val="auto"/>
                <w:highlight w:val="none"/>
                <w:lang w:val="en-US" w:eastAsia="zh-CN" w:bidi="ar"/>
              </w:rPr>
              <w:t xml:space="preserve">  19.</w:t>
            </w:r>
            <w:r>
              <w:rPr>
                <w:rStyle w:val="93"/>
                <w:rFonts w:hint="eastAsia" w:ascii="仿宋" w:hAnsi="仿宋" w:eastAsia="仿宋" w:cs="仿宋"/>
                <w:color w:val="auto"/>
                <w:highlight w:val="none"/>
                <w:lang w:val="en-US" w:eastAsia="zh-CN" w:bidi="ar"/>
              </w:rPr>
              <w:t>保护电路：直流输出、过载、过温、短路保护电路</w:t>
            </w:r>
            <w:r>
              <w:rPr>
                <w:rStyle w:val="59"/>
                <w:rFonts w:hint="eastAsia" w:ascii="仿宋" w:hAnsi="仿宋" w:eastAsia="仿宋" w:cs="仿宋"/>
                <w:color w:val="auto"/>
                <w:highlight w:val="none"/>
                <w:lang w:val="en-US" w:eastAsia="zh-CN" w:bidi="ar"/>
              </w:rPr>
              <w:t xml:space="preserve">  20.</w:t>
            </w:r>
            <w:r>
              <w:rPr>
                <w:rStyle w:val="93"/>
                <w:rFonts w:hint="eastAsia" w:ascii="仿宋" w:hAnsi="仿宋" w:eastAsia="仿宋" w:cs="仿宋"/>
                <w:color w:val="auto"/>
                <w:highlight w:val="none"/>
                <w:lang w:val="en-US" w:eastAsia="zh-CN" w:bidi="ar"/>
              </w:rPr>
              <w:t>工作环境温度：</w:t>
            </w:r>
            <w:r>
              <w:rPr>
                <w:rStyle w:val="59"/>
                <w:rFonts w:hint="eastAsia" w:ascii="仿宋" w:hAnsi="仿宋" w:eastAsia="仿宋" w:cs="仿宋"/>
                <w:color w:val="auto"/>
                <w:highlight w:val="none"/>
                <w:lang w:val="en-US" w:eastAsia="zh-CN" w:bidi="ar"/>
              </w:rPr>
              <w:t>5℃</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40℃  21.</w:t>
            </w:r>
            <w:r>
              <w:rPr>
                <w:rStyle w:val="93"/>
                <w:rFonts w:hint="eastAsia" w:ascii="仿宋" w:hAnsi="仿宋" w:eastAsia="仿宋" w:cs="仿宋"/>
                <w:color w:val="auto"/>
                <w:highlight w:val="none"/>
                <w:lang w:val="en-US" w:eastAsia="zh-CN" w:bidi="ar"/>
              </w:rPr>
              <w:t>工作环境湿度：</w:t>
            </w:r>
            <w:r>
              <w:rPr>
                <w:rStyle w:val="59"/>
                <w:rFonts w:hint="eastAsia" w:ascii="仿宋" w:hAnsi="仿宋" w:eastAsia="仿宋" w:cs="仿宋"/>
                <w:color w:val="auto"/>
                <w:highlight w:val="none"/>
                <w:lang w:val="en-US" w:eastAsia="zh-CN" w:bidi="ar"/>
              </w:rPr>
              <w:t>20%</w:t>
            </w:r>
            <w:r>
              <w:rPr>
                <w:rStyle w:val="93"/>
                <w:rFonts w:hint="eastAsia" w:ascii="仿宋" w:hAnsi="仿宋" w:eastAsia="仿宋" w:cs="仿宋"/>
                <w:color w:val="auto"/>
                <w:highlight w:val="none"/>
                <w:lang w:val="en-US" w:eastAsia="zh-CN" w:bidi="ar"/>
              </w:rPr>
              <w:t>～</w:t>
            </w:r>
            <w:r>
              <w:rPr>
                <w:rStyle w:val="59"/>
                <w:rFonts w:hint="eastAsia" w:ascii="仿宋" w:hAnsi="仿宋" w:eastAsia="仿宋" w:cs="仿宋"/>
                <w:color w:val="auto"/>
                <w:highlight w:val="none"/>
                <w:lang w:val="en-US" w:eastAsia="zh-CN" w:bidi="ar"/>
              </w:rPr>
              <w:t>80%</w:t>
            </w:r>
            <w:r>
              <w:rPr>
                <w:rStyle w:val="93"/>
                <w:rFonts w:hint="eastAsia" w:ascii="仿宋" w:hAnsi="仿宋" w:eastAsia="仿宋" w:cs="仿宋"/>
                <w:color w:val="auto"/>
                <w:highlight w:val="none"/>
                <w:lang w:val="en-US" w:eastAsia="zh-CN" w:bidi="ar"/>
              </w:rPr>
              <w:t>相对湿度，无结露</w:t>
            </w:r>
            <w:r>
              <w:rPr>
                <w:rStyle w:val="59"/>
                <w:rFonts w:hint="eastAsia" w:ascii="仿宋" w:hAnsi="仿宋" w:eastAsia="仿宋" w:cs="仿宋"/>
                <w:color w:val="auto"/>
                <w:highlight w:val="none"/>
                <w:lang w:val="en-US" w:eastAsia="zh-CN" w:bidi="ar"/>
              </w:rPr>
              <w:t xml:space="preserve">  22.</w:t>
            </w:r>
            <w:r>
              <w:rPr>
                <w:rStyle w:val="93"/>
                <w:rFonts w:hint="eastAsia" w:ascii="仿宋" w:hAnsi="仿宋" w:eastAsia="仿宋" w:cs="仿宋"/>
                <w:color w:val="auto"/>
                <w:highlight w:val="none"/>
                <w:lang w:val="en-US" w:eastAsia="zh-CN" w:bidi="ar"/>
              </w:rPr>
              <w:t>输入电源：</w:t>
            </w:r>
            <w:r>
              <w:rPr>
                <w:rStyle w:val="59"/>
                <w:rFonts w:hint="eastAsia" w:ascii="仿宋" w:hAnsi="仿宋" w:eastAsia="仿宋" w:cs="仿宋"/>
                <w:color w:val="auto"/>
                <w:highlight w:val="none"/>
                <w:lang w:val="en-US" w:eastAsia="zh-CN" w:bidi="ar"/>
              </w:rPr>
              <w:t>~220V 50Hz  23.</w:t>
            </w:r>
            <w:r>
              <w:rPr>
                <w:rStyle w:val="93"/>
                <w:rFonts w:hint="eastAsia" w:ascii="仿宋" w:hAnsi="仿宋" w:eastAsia="仿宋" w:cs="仿宋"/>
                <w:color w:val="auto"/>
                <w:highlight w:val="none"/>
                <w:lang w:val="en-US" w:eastAsia="zh-CN" w:bidi="ar"/>
              </w:rPr>
              <w:t>材质：铝面板，</w:t>
            </w:r>
            <w:r>
              <w:rPr>
                <w:rStyle w:val="59"/>
                <w:rFonts w:hint="eastAsia" w:ascii="仿宋" w:hAnsi="仿宋" w:eastAsia="仿宋" w:cs="仿宋"/>
                <w:color w:val="auto"/>
                <w:highlight w:val="none"/>
                <w:lang w:val="en-US" w:eastAsia="zh-CN" w:bidi="ar"/>
              </w:rPr>
              <w:t>SPCC</w:t>
            </w:r>
            <w:r>
              <w:rPr>
                <w:rStyle w:val="93"/>
                <w:rFonts w:hint="eastAsia" w:ascii="仿宋" w:hAnsi="仿宋" w:eastAsia="仿宋" w:cs="仿宋"/>
                <w:color w:val="auto"/>
                <w:highlight w:val="none"/>
                <w:lang w:val="en-US" w:eastAsia="zh-CN" w:bidi="ar"/>
              </w:rPr>
              <w:t>冷轧板材质机箱</w:t>
            </w:r>
            <w:r>
              <w:rPr>
                <w:rStyle w:val="59"/>
                <w:rFonts w:hint="eastAsia" w:ascii="仿宋" w:hAnsi="仿宋" w:eastAsia="仿宋" w:cs="仿宋"/>
                <w:color w:val="auto"/>
                <w:highlight w:val="none"/>
                <w:lang w:val="en-US" w:eastAsia="zh-CN" w:bidi="ar"/>
              </w:rPr>
              <w:t xml:space="preserve">   24.</w:t>
            </w:r>
            <w:r>
              <w:rPr>
                <w:rStyle w:val="93"/>
                <w:rFonts w:hint="eastAsia" w:ascii="仿宋" w:hAnsi="仿宋" w:eastAsia="仿宋" w:cs="仿宋"/>
                <w:color w:val="auto"/>
                <w:highlight w:val="none"/>
                <w:lang w:val="en-US" w:eastAsia="zh-CN" w:bidi="ar"/>
              </w:rPr>
              <w:t>尺寸≤</w:t>
            </w:r>
            <w:r>
              <w:rPr>
                <w:rStyle w:val="59"/>
                <w:rFonts w:hint="eastAsia" w:ascii="仿宋" w:hAnsi="仿宋" w:eastAsia="仿宋" w:cs="仿宋"/>
                <w:color w:val="auto"/>
                <w:highlight w:val="none"/>
                <w:lang w:val="en-US" w:eastAsia="zh-CN" w:bidi="ar"/>
              </w:rPr>
              <w:t>480 x 390 x 88mm  ， 25.</w:t>
            </w:r>
            <w:r>
              <w:rPr>
                <w:rStyle w:val="93"/>
                <w:rFonts w:hint="eastAsia" w:ascii="仿宋" w:hAnsi="仿宋" w:eastAsia="仿宋" w:cs="仿宋"/>
                <w:color w:val="auto"/>
                <w:highlight w:val="none"/>
                <w:lang w:val="en-US" w:eastAsia="zh-CN" w:bidi="ar"/>
              </w:rPr>
              <w:t>产品重量</w:t>
            </w:r>
            <w:r>
              <w:rPr>
                <w:rStyle w:val="59"/>
                <w:rFonts w:hint="eastAsia" w:ascii="仿宋" w:hAnsi="仿宋" w:eastAsia="仿宋" w:cs="仿宋"/>
                <w:color w:val="auto"/>
                <w:highlight w:val="none"/>
                <w:lang w:val="en-US" w:eastAsia="zh-CN" w:bidi="ar"/>
              </w:rPr>
              <w:t xml:space="preserve">:9kg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7C13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4807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12EA6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F9DFD">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F8DB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吸顶喇叭</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1D097">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功率：3/6W  灵敏度不低于：91dB    输入电压：70-120V   频率响应：90-16KHz  带独立彩盒小包装</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28C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50</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B74A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个</w:t>
            </w:r>
          </w:p>
        </w:tc>
      </w:tr>
      <w:tr w14:paraId="25ACE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C90C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2B08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安装施工含线材辅材</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B9D8A">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 xml:space="preserve">线材辅材，安装水晶头、网线、光纤、电胶布、螺丝、电线、线管、扎带、线卡、膨胀螺丝、打标纸，设备的安装及调试。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77D6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7F40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项</w:t>
            </w:r>
          </w:p>
        </w:tc>
      </w:tr>
      <w:tr w14:paraId="62D36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210CF1A">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三、原有设施拆除及场地恢复工程</w:t>
            </w:r>
          </w:p>
        </w:tc>
      </w:tr>
      <w:tr w14:paraId="0E49C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E1F19">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794D9">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商品名称</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D1427">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主要性能指标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F4A97">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数量</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EB962">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单位</w:t>
            </w:r>
          </w:p>
        </w:tc>
      </w:tr>
      <w:tr w14:paraId="4FABC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B7932">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C04A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石膏板吊顶局部拆除工程</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F7FC6">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原部分石膏板顶拆除（重新布线顶部石膏板需局部拆除作为施工洞，后期需恢复），强电、及设备拆除等</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687F9">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450</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0BF1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739AA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274D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A823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大厅现有设备防护保护</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65885">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现场设备的保护、地面保护、门墙等</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B23B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E8CF4">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项</w:t>
            </w:r>
          </w:p>
        </w:tc>
      </w:tr>
      <w:tr w14:paraId="26C9E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69A3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D38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石膏板吊顶局部恢复工程</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73AF1">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石膏板吊顶平顶、拆除部分石膏板恢复等</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EED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450</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2C7B2">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0BF1B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44B9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D6FC9">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乳胶漆局部修缮工程</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24CA1">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（石膏板吊顶部分的刮白）刮涂腻子二遍打磨平整、乳胶漆两遍及原有墙顶面的修补刮白乳胶漆等</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7B95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1800</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1C39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1CD5E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30B5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2F53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配套立板工程</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67913">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多层板打底及石膏板罩面。LED屏（不做到顶墙，两边门洞上方）两边门洞上方做与显示器平齐</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6C40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CC82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w:t>
            </w:r>
          </w:p>
        </w:tc>
      </w:tr>
      <w:tr w14:paraId="0DD16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099F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B8ED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局部线路改造工程</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5676F">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呼叫器、LED显示屏、网络汇聚点、服务器、评价器处的电源等的局部改造</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A83FE">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D00D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项</w:t>
            </w:r>
          </w:p>
        </w:tc>
      </w:tr>
      <w:tr w14:paraId="7FFDD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D420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81CE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改造过程垃圾外运</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AA092">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拆除后的垃圾搬运人工及装袋外运</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6449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79DA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项</w:t>
            </w:r>
          </w:p>
        </w:tc>
      </w:tr>
      <w:tr w14:paraId="235AF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19A02">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E763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现场保洁</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CD226">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人工费，材料费、消毒液、洗洁精及辅料等</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9749E">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E8ED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项</w:t>
            </w:r>
          </w:p>
        </w:tc>
      </w:tr>
      <w:tr w14:paraId="5DFC1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8924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9</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45A8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桥架</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8921E">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电焊机、角磨机、切割机、空气压缩机、手电钻、电锤等</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A8BD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450</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DD18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m</w:t>
            </w:r>
          </w:p>
        </w:tc>
      </w:tr>
      <w:tr w14:paraId="6A9BB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66BC7DC">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合计</w:t>
            </w:r>
          </w:p>
        </w:tc>
      </w:tr>
      <w:tr w14:paraId="262D2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62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E3DB3CF">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四、档案室配套设施建设工程</w:t>
            </w:r>
          </w:p>
        </w:tc>
      </w:tr>
      <w:tr w14:paraId="33ACB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86CFE">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7D2F0">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商品名称</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EA99E">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主要性能指标</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533D3">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数量</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18AC1">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单位</w:t>
            </w:r>
          </w:p>
        </w:tc>
      </w:tr>
      <w:tr w14:paraId="18F1B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8451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48A8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密集架（定制）</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37C8E">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一、规格尺寸</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标准单节尺寸：2360mm（高）X900mm（宽）X560mm（深）</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档案室布局空间定制：2315mm（高）X900mm（宽）X580mm（深）固定4组，2400mm（高）X850mm（宽）X580mm（深）移动45组，共计49组；双面存放A4档案；标配6层可调节层板；</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二、钢板材质厚度（裸板厚度，不含喷塑涂层）</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1.立柱：定制≥1.5mm冷轧钢板；常规≥1.2mm冷轧钢板</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2.层板（搁板）：定制≥1.2mm冷轧钢板：常规≥0.8mm冷轧钢板</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3.侧板门板、防尘板、顶板：定制≥1.2mm冷轧钢板；常规≥0.8mm冷轧钢板</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4.底盘底架：定制≥3.0mm热轧钢板；常规≥2.0mm热轧钢板</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5.轨道：配套加厚轨道</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93FC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49</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9A78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组</w:t>
            </w:r>
          </w:p>
        </w:tc>
      </w:tr>
      <w:tr w14:paraId="4D06F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0325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ED17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干粉灭火器</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51C42">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手提式，灭火级别2A 55B，灭火剂量：4±2%KG</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4762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5CE3E">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个</w:t>
            </w:r>
          </w:p>
        </w:tc>
      </w:tr>
      <w:tr w14:paraId="6DC6C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B208E">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208B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灭火器专用箱</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4F56D">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可以储存两个4公斤灭火器。</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6DDB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17114">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个</w:t>
            </w:r>
          </w:p>
        </w:tc>
      </w:tr>
      <w:tr w14:paraId="25A0E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4966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9B16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除湿机</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7FB15">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直排款</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36509">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C7259">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r>
      <w:tr w14:paraId="1A36C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7F2D4">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3F079">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办公桌</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9679C">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外观设计：采用人体工程理念及个性化需求，整件产品拼接好，接缝齐整，整体颜色基本相符，过渡自然；台架有旋钮折叠装置，脚轮采用φ65MMPU万向脚轮带刹车，造型美观大方，具有现代特色；</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B41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35ED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张</w:t>
            </w:r>
          </w:p>
        </w:tc>
      </w:tr>
      <w:tr w14:paraId="0779F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8610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71C0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办公椅</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D23B7">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主要规格：台面打开尺寸：1300mm≥长≥1100mm；500mm≥宽≥300mm；8500mm≥高度≥650mm。</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53D9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B24F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个</w:t>
            </w:r>
          </w:p>
        </w:tc>
      </w:tr>
      <w:tr w14:paraId="5F826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09F8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E795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三步梯</w:t>
            </w:r>
          </w:p>
        </w:tc>
        <w:tc>
          <w:tcPr>
            <w:tcW w:w="12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EBCC0">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铝合金多功能工程梯</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ED82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6C23D">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个</w:t>
            </w:r>
          </w:p>
        </w:tc>
      </w:tr>
    </w:tbl>
    <w:p w14:paraId="2BFCEBF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注：</w:t>
      </w:r>
      <w:r>
        <w:rPr>
          <w:rFonts w:hint="eastAsia" w:ascii="仿宋" w:hAnsi="仿宋" w:eastAsia="仿宋" w:cs="仿宋"/>
          <w:b w:val="0"/>
          <w:bCs w:val="0"/>
          <w:color w:val="auto"/>
          <w:kern w:val="0"/>
          <w:sz w:val="24"/>
          <w:szCs w:val="24"/>
          <w:highlight w:val="none"/>
          <w:lang w:val="en-US" w:eastAsia="zh-CN" w:bidi="ar"/>
        </w:rPr>
        <w:t>1、标注★的产品为核心产品，多家投标人提供的所有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2D5C90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2、投标单位所填报的所有产品技术参数需满足或优于上述标准。</w:t>
      </w:r>
    </w:p>
    <w:p w14:paraId="76FAD0EC">
      <w:pPr>
        <w:rPr>
          <w:rFonts w:hint="eastAsia" w:ascii="仿宋" w:hAnsi="仿宋" w:eastAsia="仿宋" w:cs="仿宋"/>
          <w:color w:val="auto"/>
          <w:lang w:val="en-US" w:eastAsia="zh-CN"/>
        </w:rPr>
        <w:sectPr>
          <w:footerReference r:id="rId12" w:type="default"/>
          <w:pgSz w:w="16838" w:h="11900" w:orient="landscape"/>
          <w:pgMar w:top="1440" w:right="1440" w:bottom="1046" w:left="430" w:header="0" w:footer="1304" w:gutter="0"/>
          <w:pgBorders>
            <w:top w:val="none" w:sz="0" w:space="0"/>
            <w:left w:val="none" w:sz="0" w:space="0"/>
            <w:bottom w:val="none" w:sz="0" w:space="0"/>
            <w:right w:val="none" w:sz="0" w:space="0"/>
          </w:pgBorders>
          <w:pgNumType w:fmt="decimal"/>
          <w:cols w:equalWidth="0" w:num="1">
            <w:col w:w="9420"/>
          </w:cols>
        </w:sectPr>
      </w:pPr>
    </w:p>
    <w:p w14:paraId="1A2523DA">
      <w:pPr>
        <w:pStyle w:val="2"/>
        <w:keepNext/>
        <w:keepLines/>
        <w:pageBreakBefore w:val="0"/>
        <w:widowControl w:val="0"/>
        <w:kinsoku/>
        <w:wordWrap/>
        <w:overflowPunct/>
        <w:topLinePunct w:val="0"/>
        <w:autoSpaceDE/>
        <w:autoSpaceDN/>
        <w:bidi w:val="0"/>
        <w:adjustRightInd/>
        <w:snapToGrid/>
        <w:spacing w:line="460" w:lineRule="exact"/>
        <w:jc w:val="center"/>
        <w:textAlignment w:val="auto"/>
        <w:rPr>
          <w:rFonts w:hint="eastAsia" w:ascii="仿宋" w:hAnsi="仿宋" w:eastAsia="仿宋" w:cs="仿宋"/>
          <w:b/>
          <w:bCs/>
          <w:color w:val="auto"/>
          <w:kern w:val="2"/>
          <w:sz w:val="32"/>
          <w:szCs w:val="32"/>
          <w:highlight w:val="none"/>
          <w:lang w:val="en-US" w:eastAsia="zh-CN" w:bidi="ar-SA"/>
        </w:rPr>
      </w:pPr>
      <w:bookmarkStart w:id="14" w:name="_Toc25336"/>
      <w:bookmarkStart w:id="15" w:name="_Toc28255"/>
      <w:r>
        <w:rPr>
          <w:rFonts w:hint="eastAsia" w:ascii="仿宋" w:hAnsi="仿宋" w:eastAsia="仿宋" w:cs="仿宋"/>
          <w:b/>
          <w:bCs/>
          <w:color w:val="auto"/>
          <w:kern w:val="2"/>
          <w:sz w:val="32"/>
          <w:szCs w:val="32"/>
          <w:highlight w:val="none"/>
          <w:lang w:val="en-US" w:eastAsia="zh-CN" w:bidi="ar-SA"/>
        </w:rPr>
        <w:t>第四部分  商务要求</w:t>
      </w:r>
      <w:bookmarkEnd w:id="14"/>
      <w:bookmarkEnd w:id="15"/>
    </w:p>
    <w:p w14:paraId="646BEDCF">
      <w:pPr>
        <w:pStyle w:val="4"/>
        <w:pageBreakBefore w:val="0"/>
        <w:kinsoku/>
        <w:wordWrap/>
        <w:overflowPunct/>
        <w:topLinePunct w:val="0"/>
        <w:bidi w:val="0"/>
        <w:snapToGrid/>
        <w:spacing w:before="0" w:beforeLines="0" w:beforeAutospacing="0" w:after="0" w:afterLines="0" w:line="360" w:lineRule="auto"/>
        <w:textAlignment w:val="auto"/>
        <w:rPr>
          <w:rFonts w:hint="default" w:ascii="Times New Roman" w:hAnsi="Times New Roman" w:eastAsia="仿宋" w:cs="Times New Roman"/>
          <w:b/>
          <w:bCs/>
          <w:color w:val="auto"/>
          <w:kern w:val="2"/>
          <w:sz w:val="28"/>
          <w:szCs w:val="20"/>
          <w:lang w:val="en-US" w:eastAsia="zh-CN" w:bidi="ar-SA"/>
        </w:rPr>
      </w:pPr>
      <w:bookmarkStart w:id="16" w:name="_Toc23001"/>
      <w:r>
        <w:rPr>
          <w:rFonts w:hint="eastAsia" w:ascii="Times New Roman" w:hAnsi="Times New Roman" w:eastAsia="仿宋" w:cs="Times New Roman"/>
          <w:b/>
          <w:bCs/>
          <w:color w:val="auto"/>
          <w:kern w:val="2"/>
          <w:sz w:val="28"/>
          <w:szCs w:val="20"/>
          <w:lang w:val="en-US" w:eastAsia="zh-CN" w:bidi="ar-SA"/>
        </w:rPr>
        <w:t>一、</w:t>
      </w:r>
      <w:r>
        <w:rPr>
          <w:rFonts w:hint="default" w:ascii="Times New Roman" w:hAnsi="Times New Roman" w:eastAsia="仿宋" w:cs="Times New Roman"/>
          <w:b/>
          <w:bCs/>
          <w:color w:val="auto"/>
          <w:kern w:val="2"/>
          <w:sz w:val="28"/>
          <w:szCs w:val="20"/>
          <w:lang w:val="en-US" w:eastAsia="zh-CN" w:bidi="ar-SA"/>
        </w:rPr>
        <w:t>总体建设目标</w:t>
      </w:r>
      <w:bookmarkEnd w:id="16"/>
    </w:p>
    <w:p w14:paraId="6B7E67FD">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bookmarkStart w:id="17" w:name="_Toc28679"/>
      <w:r>
        <w:rPr>
          <w:rFonts w:hint="default" w:ascii="Times New Roman" w:hAnsi="Times New Roman" w:eastAsia="仿宋" w:cs="Times New Roman"/>
          <w:color w:val="auto"/>
          <w:kern w:val="2"/>
          <w:sz w:val="28"/>
          <w:szCs w:val="20"/>
          <w:lang w:val="en-US" w:eastAsia="zh-CN" w:bidi="ar-SA"/>
        </w:rPr>
        <w:t>通过本次整体提升改造，全面解决延安市行政审批服务局政务服务大厅智能化水平偏低、服务方式传统、展示能力不足、环境老旧、档案管理不规范、安防运维薄弱等问题，实现以下建设目标：</w:t>
      </w:r>
    </w:p>
    <w:p w14:paraId="0C076372">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r>
        <w:rPr>
          <w:rFonts w:hint="default" w:ascii="Times New Roman" w:hAnsi="Times New Roman" w:eastAsia="仿宋" w:cs="Times New Roman"/>
          <w:color w:val="auto"/>
          <w:kern w:val="2"/>
          <w:sz w:val="28"/>
          <w:szCs w:val="20"/>
          <w:lang w:val="en-US" w:eastAsia="zh-CN" w:bidi="ar-SA"/>
        </w:rPr>
        <w:t>1.服务智慧化：建成全覆盖智慧排队叫号服务体系，实现排队、呼叫、评价、公示全流程智能化，有效分流办事人流，减少排队拥堵，提升政务服务便捷度与群众满意度。</w:t>
      </w:r>
    </w:p>
    <w:p w14:paraId="5015560E">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r>
        <w:rPr>
          <w:rFonts w:hint="default" w:ascii="Times New Roman" w:hAnsi="Times New Roman" w:eastAsia="仿宋" w:cs="Times New Roman"/>
          <w:color w:val="auto"/>
          <w:kern w:val="2"/>
          <w:sz w:val="28"/>
          <w:szCs w:val="20"/>
          <w:lang w:val="en-US" w:eastAsia="zh-CN" w:bidi="ar-SA"/>
        </w:rPr>
        <w:t>2.安防可视化：实现大厅公共区域、办事区域视频监控全覆盖、全存储、可追溯，大屏可视化调度、多信号无缝上墙，大厅运行状态实时可视、可控、可管。</w:t>
      </w:r>
    </w:p>
    <w:p w14:paraId="358BB5C5">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r>
        <w:rPr>
          <w:rFonts w:hint="default" w:ascii="Times New Roman" w:hAnsi="Times New Roman" w:eastAsia="仿宋" w:cs="Times New Roman"/>
          <w:color w:val="auto"/>
          <w:kern w:val="2"/>
          <w:sz w:val="28"/>
          <w:szCs w:val="20"/>
          <w:lang w:val="en-US" w:eastAsia="zh-CN" w:bidi="ar-SA"/>
        </w:rPr>
        <w:t>3.环境标准化：完成大厅局部装修翻新、线路规整、环境整治，整体办公服务环境整洁统一、美观规范，符合政务服务大厅标准化环境建设要求。</w:t>
      </w:r>
    </w:p>
    <w:p w14:paraId="38C47246">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r>
        <w:rPr>
          <w:rFonts w:hint="default" w:ascii="Times New Roman" w:hAnsi="Times New Roman" w:eastAsia="仿宋" w:cs="Times New Roman"/>
          <w:color w:val="auto"/>
          <w:kern w:val="2"/>
          <w:sz w:val="28"/>
          <w:szCs w:val="20"/>
          <w:lang w:val="en-US" w:eastAsia="zh-CN" w:bidi="ar-SA"/>
        </w:rPr>
        <w:t>4.档案规范化：建成防潮、防尘、防火、防盗、整洁有序的标准化档案室，实现政务档案分类存储、安全保存、便捷调取，全面提升档案管理规范化水平。</w:t>
      </w:r>
    </w:p>
    <w:p w14:paraId="0AF97318">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r>
        <w:rPr>
          <w:rFonts w:hint="default" w:ascii="Times New Roman" w:hAnsi="Times New Roman" w:eastAsia="仿宋" w:cs="Times New Roman"/>
          <w:color w:val="auto"/>
          <w:kern w:val="2"/>
          <w:sz w:val="28"/>
          <w:szCs w:val="20"/>
          <w:lang w:val="en-US" w:eastAsia="zh-CN" w:bidi="ar-SA"/>
        </w:rPr>
        <w:t>5.运维安全化：完善系统安全、施工安全、场地安全保障体系，系统运行稳定可靠，施工规范合规，后期运维便捷高效，全面提升大厅整体安全运行能力。</w:t>
      </w:r>
    </w:p>
    <w:p w14:paraId="45E9C99A">
      <w:pPr>
        <w:pStyle w:val="4"/>
        <w:pageBreakBefore w:val="0"/>
        <w:kinsoku/>
        <w:wordWrap/>
        <w:overflowPunct/>
        <w:topLinePunct w:val="0"/>
        <w:bidi w:val="0"/>
        <w:snapToGrid/>
        <w:spacing w:before="0" w:beforeLines="0" w:beforeAutospacing="0" w:after="0" w:afterLines="0" w:line="360" w:lineRule="auto"/>
        <w:textAlignment w:val="auto"/>
        <w:rPr>
          <w:rFonts w:hint="default" w:ascii="Times New Roman" w:hAnsi="Times New Roman" w:eastAsia="仿宋" w:cs="Times New Roman"/>
          <w:b/>
          <w:bCs/>
          <w:color w:val="auto"/>
          <w:kern w:val="2"/>
          <w:sz w:val="28"/>
          <w:szCs w:val="20"/>
          <w:lang w:val="en-US" w:eastAsia="zh-CN" w:bidi="ar-SA"/>
        </w:rPr>
      </w:pPr>
      <w:r>
        <w:rPr>
          <w:rFonts w:hint="eastAsia" w:ascii="Times New Roman" w:hAnsi="Times New Roman" w:eastAsia="仿宋" w:cs="Times New Roman"/>
          <w:b/>
          <w:bCs/>
          <w:color w:val="auto"/>
          <w:kern w:val="2"/>
          <w:sz w:val="28"/>
          <w:szCs w:val="20"/>
          <w:lang w:val="en-US" w:eastAsia="zh-CN" w:bidi="ar-SA"/>
        </w:rPr>
        <w:t>二、</w:t>
      </w:r>
      <w:r>
        <w:rPr>
          <w:rFonts w:hint="default" w:ascii="Times New Roman" w:hAnsi="Times New Roman" w:eastAsia="仿宋" w:cs="Times New Roman"/>
          <w:b/>
          <w:bCs/>
          <w:color w:val="auto"/>
          <w:kern w:val="2"/>
          <w:sz w:val="28"/>
          <w:szCs w:val="20"/>
          <w:lang w:val="en-US" w:eastAsia="zh-CN" w:bidi="ar-SA"/>
        </w:rPr>
        <w:t>具体建设目标</w:t>
      </w:r>
      <w:bookmarkEnd w:id="17"/>
    </w:p>
    <w:p w14:paraId="5B7D8871">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r>
        <w:rPr>
          <w:rFonts w:hint="default" w:ascii="Times New Roman" w:hAnsi="Times New Roman" w:eastAsia="仿宋" w:cs="Times New Roman"/>
          <w:color w:val="auto"/>
          <w:kern w:val="2"/>
          <w:sz w:val="28"/>
          <w:szCs w:val="20"/>
          <w:lang w:val="en-US" w:eastAsia="zh-CN" w:bidi="ar-SA"/>
        </w:rPr>
        <w:t>1.硬件设施更新达标，夯实政务服务硬件基础</w:t>
      </w:r>
    </w:p>
    <w:p w14:paraId="5C61B43A">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r>
        <w:rPr>
          <w:rFonts w:hint="default" w:ascii="Times New Roman" w:hAnsi="Times New Roman" w:eastAsia="仿宋" w:cs="Times New Roman"/>
          <w:color w:val="auto"/>
          <w:kern w:val="2"/>
          <w:sz w:val="28"/>
          <w:szCs w:val="20"/>
          <w:lang w:val="en-US" w:eastAsia="zh-CN" w:bidi="ar-SA"/>
        </w:rPr>
        <w:t>政务服务大厅设施设备（大屏）智能化升级改造。完成E、F厅高清P1.53 LED大屏改造、高清安防监控、大容量存储、超高清解码设备等核心硬件整体更新升级。彻底解决原有设备老化、分辨率不足、性能衰减、故障频发、存储不足等问题，实现大厅展示、监控、存储、解码、终端设备全面换新、性能达标、运行稳定，满足政务信息高清公示、全域视频监管、办事全程留痕、事件溯源取证的硬件运行标准，筑牢智慧政务硬件支撑根基。</w:t>
      </w:r>
    </w:p>
    <w:p w14:paraId="7A498954">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r>
        <w:rPr>
          <w:rFonts w:hint="default" w:ascii="Times New Roman" w:hAnsi="Times New Roman" w:eastAsia="仿宋" w:cs="Times New Roman"/>
          <w:color w:val="auto"/>
          <w:kern w:val="2"/>
          <w:sz w:val="28"/>
          <w:szCs w:val="20"/>
          <w:lang w:val="en-US" w:eastAsia="zh-CN" w:bidi="ar-SA"/>
        </w:rPr>
        <w:t>2.智慧服务系统升级，提升便民服务效能水平</w:t>
      </w:r>
    </w:p>
    <w:p w14:paraId="044C3B35">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r>
        <w:rPr>
          <w:rFonts w:hint="default" w:ascii="Times New Roman" w:hAnsi="Times New Roman" w:eastAsia="仿宋" w:cs="Times New Roman"/>
          <w:color w:val="auto"/>
          <w:kern w:val="2"/>
          <w:sz w:val="28"/>
          <w:szCs w:val="20"/>
          <w:lang w:val="en-US" w:eastAsia="zh-CN" w:bidi="ar-SA"/>
        </w:rPr>
        <w:t>智慧叫号设施设备及系统整体升级改造。补齐原有设备功能单一、可视化显示不清晰、智能化不足的短板。解决高峰期排队无序、疏导困难、群众等候时间长，窗口服务调度精细化程度不足等问题。有效解决原有大厅拥堵杂乱、功能缺失、设备老旧、服务单一等痛点，大幅提升企业和群众办事获得感、满意度，优化大厅办事秩序、压缩群众等候时长、简化办事流程，全面提升政务服务便利化、高效化、智能化水平，切实解决群众办事堵点难点问题。</w:t>
      </w:r>
    </w:p>
    <w:p w14:paraId="043E2217">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r>
        <w:rPr>
          <w:rFonts w:hint="default" w:ascii="Times New Roman" w:hAnsi="Times New Roman" w:eastAsia="仿宋" w:cs="Times New Roman"/>
          <w:color w:val="auto"/>
          <w:kern w:val="2"/>
          <w:sz w:val="28"/>
          <w:szCs w:val="20"/>
          <w:lang w:val="en-US" w:eastAsia="zh-CN" w:bidi="ar-SA"/>
        </w:rPr>
        <w:t>3.整治场地运行环境，完善政务基础配套条件</w:t>
      </w:r>
    </w:p>
    <w:p w14:paraId="1C8825B6">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r>
        <w:rPr>
          <w:rFonts w:hint="default" w:ascii="Times New Roman" w:hAnsi="Times New Roman" w:eastAsia="仿宋" w:cs="Times New Roman"/>
          <w:color w:val="auto"/>
          <w:kern w:val="2"/>
          <w:sz w:val="28"/>
          <w:szCs w:val="20"/>
          <w:lang w:val="en-US" w:eastAsia="zh-CN" w:bidi="ar-SA"/>
        </w:rPr>
        <w:t>结合硬件改造完成大厅部分老旧构件拆除、墙面吊顶翻新、强弱电线路规整、桥架优化布设等场地整治工程，消除场地破损、线路杂乱、用电隐患等问题，打造整洁规范、美观舒适的政务服务环境。同步完成标准化档案室建设，配齐档案存储、防潮、防火、防盗、环境调控及办公配套设施，规范政务审批档案、业务台账、文书资料收纳管护，实现政务档案标准化、规范化、安全化管理，健全政务服务全流程闭环管理体系。</w:t>
      </w:r>
    </w:p>
    <w:p w14:paraId="6F87A029">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r>
        <w:rPr>
          <w:rFonts w:hint="default" w:ascii="Times New Roman" w:hAnsi="Times New Roman" w:eastAsia="仿宋" w:cs="Times New Roman"/>
          <w:color w:val="auto"/>
          <w:kern w:val="2"/>
          <w:sz w:val="28"/>
          <w:szCs w:val="20"/>
          <w:lang w:val="en-US" w:eastAsia="zh-CN" w:bidi="ar-SA"/>
        </w:rPr>
        <w:t>4.健全长效运维机制，筑牢政务运行保障体系</w:t>
      </w:r>
    </w:p>
    <w:p w14:paraId="4BACE196">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r>
        <w:rPr>
          <w:rFonts w:hint="default" w:ascii="Times New Roman" w:hAnsi="Times New Roman" w:eastAsia="仿宋" w:cs="Times New Roman"/>
          <w:color w:val="auto"/>
          <w:kern w:val="2"/>
          <w:sz w:val="28"/>
          <w:szCs w:val="20"/>
          <w:lang w:val="en-US" w:eastAsia="zh-CN" w:bidi="ar-SA"/>
        </w:rPr>
        <w:t>依托本次项目改造，建立完善的常态化运维管理制度与巡检保障机制，补齐大厅运维机制缺失、被动维修的短板。实现智能化设备、信息化系统定期巡检、故障快速处置、设备保养维护、系统迭代升级的常态化管护，保障各类设备系统长期稳定、安全、高效运行，持续巩固项目改造成效，实现政务大厅智慧化建设长效赋能、提质增效。</w:t>
      </w:r>
    </w:p>
    <w:p w14:paraId="17E0E023">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r>
        <w:rPr>
          <w:rFonts w:hint="default" w:ascii="Times New Roman" w:hAnsi="Times New Roman" w:eastAsia="仿宋" w:cs="Times New Roman"/>
          <w:color w:val="auto"/>
          <w:kern w:val="2"/>
          <w:sz w:val="28"/>
          <w:szCs w:val="20"/>
          <w:lang w:val="en-US" w:eastAsia="zh-CN" w:bidi="ar-SA"/>
        </w:rPr>
        <w:t>5.落实政务改革要求，助力营商环境优化升级</w:t>
      </w:r>
    </w:p>
    <w:p w14:paraId="6AADD371">
      <w:pPr>
        <w:pStyle w:val="23"/>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textAlignment w:val="auto"/>
        <w:rPr>
          <w:rFonts w:hint="default" w:ascii="Times New Roman" w:hAnsi="Times New Roman" w:eastAsia="仿宋" w:cs="Times New Roman"/>
          <w:color w:val="auto"/>
          <w:kern w:val="2"/>
          <w:sz w:val="28"/>
          <w:szCs w:val="20"/>
          <w:lang w:val="en-US" w:eastAsia="zh-CN" w:bidi="ar-SA"/>
        </w:rPr>
      </w:pPr>
      <w:r>
        <w:rPr>
          <w:rFonts w:hint="default" w:ascii="Times New Roman" w:hAnsi="Times New Roman" w:eastAsia="仿宋" w:cs="Times New Roman"/>
          <w:color w:val="auto"/>
          <w:kern w:val="2"/>
          <w:sz w:val="28"/>
          <w:szCs w:val="20"/>
          <w:lang w:val="en-US" w:eastAsia="zh-CN" w:bidi="ar-SA"/>
        </w:rPr>
        <w:t>全面落实国家及省市“放管服”改革、智慧政务建设工作要求，通过软硬件全方位升级、服务模式创新、管理体系优化，持续规范政务服务流程、提升政务服务透明度、降低市场主体制度性交易成本。打造便捷高效、规范有序、智能便民的政务服务窗口，全面提升企业群众办事满意度，助力延安市营商环境持续优化，推动全市政务服务高质量发展。</w:t>
      </w:r>
    </w:p>
    <w:p w14:paraId="760D21C1">
      <w:pPr>
        <w:pStyle w:val="12"/>
        <w:keepNext w:val="0"/>
        <w:keepLines w:val="0"/>
        <w:pageBreakBefore w:val="0"/>
        <w:widowControl w:val="0"/>
        <w:kinsoku/>
        <w:wordWrap/>
        <w:overflowPunct/>
        <w:topLinePunct w:val="0"/>
        <w:autoSpaceDE/>
        <w:autoSpaceDN/>
        <w:bidi w:val="0"/>
        <w:adjustRightInd/>
        <w:snapToGrid/>
        <w:spacing w:beforeAutospacing="0" w:line="360" w:lineRule="auto"/>
        <w:ind w:right="0" w:firstLine="562" w:firstLine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三、售后服务要求</w:t>
      </w:r>
    </w:p>
    <w:p w14:paraId="2E9EFB5D">
      <w:pPr>
        <w:keepNext w:val="0"/>
        <w:keepLines w:val="0"/>
        <w:pageBreakBefore w:val="0"/>
        <w:widowControl w:val="0"/>
        <w:numPr>
          <w:ilvl w:val="0"/>
          <w:numId w:val="0"/>
        </w:numPr>
        <w:kinsoku/>
        <w:wordWrap/>
        <w:overflowPunct/>
        <w:topLinePunct w:val="0"/>
        <w:autoSpaceDE w:val="0"/>
        <w:autoSpaceDN w:val="0"/>
        <w:bidi w:val="0"/>
        <w:adjustRightInd w:val="0"/>
        <w:snapToGrid/>
        <w:spacing w:beforeAutospacing="0" w:line="360" w:lineRule="auto"/>
        <w:ind w:left="0" w:leftChars="0" w:firstLine="560" w:firstLineChars="200"/>
        <w:textAlignment w:val="auto"/>
        <w:rPr>
          <w:rFonts w:hint="eastAsia" w:ascii="仿宋" w:hAnsi="仿宋" w:eastAsia="仿宋" w:cs="仿宋"/>
          <w:b w:val="0"/>
          <w:bCs w:val="0"/>
          <w:color w:val="auto"/>
          <w:kern w:val="2"/>
          <w:sz w:val="28"/>
          <w:szCs w:val="28"/>
          <w:highlight w:val="none"/>
          <w:lang w:val="zh-CN" w:eastAsia="zh-CN" w:bidi="ar-SA"/>
        </w:rPr>
      </w:pPr>
      <w:r>
        <w:rPr>
          <w:rFonts w:hint="eastAsia" w:ascii="仿宋" w:hAnsi="仿宋" w:eastAsia="仿宋" w:cs="仿宋"/>
          <w:b w:val="0"/>
          <w:bCs w:val="0"/>
          <w:color w:val="auto"/>
          <w:kern w:val="2"/>
          <w:sz w:val="28"/>
          <w:szCs w:val="28"/>
          <w:highlight w:val="none"/>
          <w:lang w:val="zh-CN" w:eastAsia="zh-CN" w:bidi="ar-SA"/>
        </w:rPr>
        <w:t>服务期内出现紧急故障情况，</w:t>
      </w:r>
      <w:r>
        <w:rPr>
          <w:rFonts w:hint="eastAsia" w:ascii="仿宋" w:hAnsi="仿宋" w:eastAsia="仿宋" w:cs="仿宋"/>
          <w:b w:val="0"/>
          <w:bCs w:val="0"/>
          <w:color w:val="auto"/>
          <w:kern w:val="2"/>
          <w:sz w:val="28"/>
          <w:szCs w:val="28"/>
          <w:highlight w:val="none"/>
          <w:lang w:val="en-US" w:eastAsia="zh-CN" w:bidi="ar-SA"/>
        </w:rPr>
        <w:t>供应商</w:t>
      </w:r>
      <w:r>
        <w:rPr>
          <w:rFonts w:hint="eastAsia" w:ascii="仿宋" w:hAnsi="仿宋" w:eastAsia="仿宋" w:cs="仿宋"/>
          <w:b w:val="0"/>
          <w:bCs w:val="0"/>
          <w:color w:val="auto"/>
          <w:kern w:val="2"/>
          <w:sz w:val="28"/>
          <w:szCs w:val="28"/>
          <w:highlight w:val="none"/>
          <w:lang w:val="zh-CN" w:eastAsia="zh-CN" w:bidi="ar-SA"/>
        </w:rPr>
        <w:t>应在收到服务请求后30分钟内响应，</w:t>
      </w:r>
      <w:r>
        <w:rPr>
          <w:rFonts w:hint="eastAsia" w:ascii="仿宋" w:hAnsi="仿宋" w:eastAsia="仿宋" w:cs="仿宋"/>
          <w:b w:val="0"/>
          <w:bCs w:val="0"/>
          <w:color w:val="auto"/>
          <w:kern w:val="2"/>
          <w:sz w:val="28"/>
          <w:szCs w:val="28"/>
          <w:highlight w:val="none"/>
          <w:lang w:val="en-US" w:eastAsia="zh-CN" w:bidi="ar-SA"/>
        </w:rPr>
        <w:t>24</w:t>
      </w:r>
      <w:r>
        <w:rPr>
          <w:rFonts w:hint="eastAsia" w:ascii="仿宋" w:hAnsi="仿宋" w:eastAsia="仿宋" w:cs="仿宋"/>
          <w:b w:val="0"/>
          <w:bCs w:val="0"/>
          <w:color w:val="auto"/>
          <w:kern w:val="2"/>
          <w:sz w:val="28"/>
          <w:szCs w:val="28"/>
          <w:highlight w:val="none"/>
          <w:lang w:val="zh-CN" w:eastAsia="zh-CN" w:bidi="ar-SA"/>
        </w:rPr>
        <w:t>个小时内到现场，</w:t>
      </w:r>
      <w:r>
        <w:rPr>
          <w:rFonts w:hint="eastAsia" w:ascii="仿宋" w:hAnsi="仿宋" w:eastAsia="仿宋" w:cs="仿宋"/>
          <w:b w:val="0"/>
          <w:bCs w:val="0"/>
          <w:color w:val="auto"/>
          <w:kern w:val="2"/>
          <w:sz w:val="28"/>
          <w:szCs w:val="28"/>
          <w:highlight w:val="none"/>
          <w:lang w:val="en-US" w:eastAsia="zh-CN" w:bidi="ar-SA"/>
        </w:rPr>
        <w:t>72</w:t>
      </w:r>
      <w:r>
        <w:rPr>
          <w:rFonts w:hint="eastAsia" w:ascii="仿宋" w:hAnsi="仿宋" w:eastAsia="仿宋" w:cs="仿宋"/>
          <w:b w:val="0"/>
          <w:bCs w:val="0"/>
          <w:color w:val="auto"/>
          <w:kern w:val="2"/>
          <w:sz w:val="28"/>
          <w:szCs w:val="28"/>
          <w:highlight w:val="none"/>
          <w:lang w:val="zh-CN" w:eastAsia="zh-CN" w:bidi="ar-SA"/>
        </w:rPr>
        <w:t>个小时内解决问题，不能修复的，提供备品备件等，以保证</w:t>
      </w:r>
      <w:r>
        <w:rPr>
          <w:rFonts w:hint="eastAsia" w:ascii="仿宋" w:hAnsi="仿宋" w:eastAsia="仿宋" w:cs="仿宋"/>
          <w:b w:val="0"/>
          <w:bCs w:val="0"/>
          <w:color w:val="auto"/>
          <w:kern w:val="2"/>
          <w:sz w:val="28"/>
          <w:szCs w:val="28"/>
          <w:highlight w:val="none"/>
          <w:lang w:val="en-US" w:eastAsia="zh-CN" w:bidi="ar-SA"/>
        </w:rPr>
        <w:t>设备</w:t>
      </w:r>
      <w:r>
        <w:rPr>
          <w:rFonts w:hint="eastAsia" w:ascii="仿宋" w:hAnsi="仿宋" w:eastAsia="仿宋" w:cs="仿宋"/>
          <w:b w:val="0"/>
          <w:bCs w:val="0"/>
          <w:color w:val="auto"/>
          <w:kern w:val="2"/>
          <w:sz w:val="28"/>
          <w:szCs w:val="28"/>
          <w:highlight w:val="none"/>
          <w:lang w:val="zh-CN" w:eastAsia="zh-CN" w:bidi="ar-SA"/>
        </w:rPr>
        <w:t>的正常使用。</w:t>
      </w:r>
    </w:p>
    <w:p w14:paraId="3F5C64B6">
      <w:pPr>
        <w:keepNext w:val="0"/>
        <w:keepLines w:val="0"/>
        <w:pageBreakBefore w:val="0"/>
        <w:widowControl w:val="0"/>
        <w:numPr>
          <w:ilvl w:val="0"/>
          <w:numId w:val="8"/>
        </w:numPr>
        <w:kinsoku/>
        <w:wordWrap/>
        <w:overflowPunct/>
        <w:topLinePunct w:val="0"/>
        <w:autoSpaceDE/>
        <w:autoSpaceDN/>
        <w:bidi w:val="0"/>
        <w:adjustRightInd/>
        <w:snapToGrid/>
        <w:spacing w:beforeAutospacing="0" w:line="360" w:lineRule="auto"/>
        <w:ind w:firstLine="562" w:firstLineChars="200"/>
        <w:jc w:val="both"/>
        <w:textAlignment w:val="auto"/>
        <w:outlineLvl w:val="0"/>
        <w:rPr>
          <w:rFonts w:hint="default" w:ascii="仿宋" w:hAnsi="仿宋" w:eastAsia="仿宋" w:cs="仿宋"/>
          <w:b w:val="0"/>
          <w:bCs w:val="0"/>
          <w:color w:val="auto"/>
          <w:kern w:val="2"/>
          <w:sz w:val="28"/>
          <w:szCs w:val="28"/>
          <w:highlight w:val="none"/>
          <w:lang w:val="en-US" w:eastAsia="zh-CN" w:bidi="ar-SA"/>
        </w:rPr>
      </w:pPr>
      <w:bookmarkStart w:id="18" w:name="_Toc26685"/>
      <w:bookmarkStart w:id="19" w:name="_Toc16424"/>
      <w:r>
        <w:rPr>
          <w:rFonts w:hint="eastAsia" w:ascii="仿宋" w:hAnsi="仿宋" w:eastAsia="仿宋" w:cs="仿宋"/>
          <w:b/>
          <w:bCs/>
          <w:color w:val="auto"/>
          <w:kern w:val="2"/>
          <w:sz w:val="28"/>
          <w:szCs w:val="28"/>
          <w:highlight w:val="none"/>
          <w:lang w:val="en-US" w:eastAsia="zh-CN" w:bidi="ar-SA"/>
        </w:rPr>
        <w:t>质保期:</w:t>
      </w:r>
      <w:bookmarkEnd w:id="18"/>
      <w:r>
        <w:rPr>
          <w:rFonts w:hint="eastAsia" w:ascii="仿宋" w:hAnsi="仿宋" w:eastAsia="仿宋" w:cs="仿宋"/>
          <w:b w:val="0"/>
          <w:bCs w:val="0"/>
          <w:color w:val="auto"/>
          <w:kern w:val="2"/>
          <w:sz w:val="28"/>
          <w:szCs w:val="28"/>
          <w:highlight w:val="none"/>
          <w:lang w:val="en-US" w:eastAsia="zh-CN" w:bidi="ar-SA"/>
        </w:rPr>
        <w:t>摄像机、硬盘、解码器质保期为2年，其他设备为1年</w:t>
      </w:r>
    </w:p>
    <w:p w14:paraId="6695C0C8">
      <w:pPr>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562" w:firstLineChars="200"/>
        <w:jc w:val="both"/>
        <w:textAlignment w:val="auto"/>
        <w:outlineLvl w:val="0"/>
        <w:rPr>
          <w:rFonts w:hint="default" w:ascii="仿宋" w:hAnsi="仿宋" w:eastAsia="仿宋" w:cs="仿宋"/>
          <w:b w:val="0"/>
          <w:bCs w:val="0"/>
          <w:color w:val="auto"/>
          <w:kern w:val="2"/>
          <w:sz w:val="28"/>
          <w:szCs w:val="28"/>
          <w:highlight w:val="none"/>
          <w:lang w:val="en-US" w:eastAsia="zh-CN" w:bidi="ar-SA"/>
        </w:rPr>
        <w:sectPr>
          <w:footerReference r:id="rId13" w:type="default"/>
          <w:pgSz w:w="11900" w:h="16838"/>
          <w:pgMar w:top="1440" w:right="1046" w:bottom="1134" w:left="1440" w:header="0" w:footer="0" w:gutter="0"/>
          <w:pgBorders>
            <w:top w:val="none" w:sz="0" w:space="0"/>
            <w:left w:val="none" w:sz="0" w:space="0"/>
            <w:bottom w:val="none" w:sz="0" w:space="0"/>
            <w:right w:val="none" w:sz="0" w:space="0"/>
          </w:pgBorders>
          <w:pgNumType w:fmt="decimal"/>
          <w:cols w:equalWidth="0" w:num="1">
            <w:col w:w="9420"/>
          </w:cols>
          <w:rtlGutter w:val="0"/>
          <w:docGrid w:linePitch="0" w:charSpace="0"/>
        </w:sectPr>
      </w:pPr>
      <w:bookmarkStart w:id="20" w:name="_Toc19700"/>
      <w:r>
        <w:rPr>
          <w:rFonts w:hint="eastAsia" w:ascii="仿宋" w:hAnsi="仿宋" w:eastAsia="仿宋" w:cs="仿宋"/>
          <w:b/>
          <w:bCs/>
          <w:color w:val="auto"/>
          <w:kern w:val="2"/>
          <w:sz w:val="28"/>
          <w:szCs w:val="28"/>
          <w:highlight w:val="none"/>
          <w:lang w:val="en-US" w:eastAsia="zh-CN" w:bidi="ar-SA"/>
        </w:rPr>
        <w:t>五、质量标准：</w:t>
      </w:r>
      <w:r>
        <w:rPr>
          <w:rFonts w:hint="eastAsia" w:ascii="仿宋" w:hAnsi="仿宋" w:eastAsia="仿宋" w:cs="仿宋"/>
          <w:b w:val="0"/>
          <w:bCs w:val="0"/>
          <w:color w:val="auto"/>
          <w:kern w:val="2"/>
          <w:sz w:val="28"/>
          <w:szCs w:val="28"/>
          <w:highlight w:val="none"/>
          <w:lang w:val="en-US" w:eastAsia="zh-CN" w:bidi="ar-SA"/>
        </w:rPr>
        <w:t>符合国家及行业相关标准</w:t>
      </w:r>
      <w:bookmarkEnd w:id="20"/>
    </w:p>
    <w:p w14:paraId="4625D645">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0"/>
        <w:rPr>
          <w:rFonts w:hint="eastAsia" w:ascii="仿宋" w:hAnsi="仿宋" w:eastAsia="仿宋" w:cs="仿宋"/>
          <w:b/>
          <w:bCs/>
          <w:color w:val="auto"/>
          <w:sz w:val="32"/>
          <w:szCs w:val="32"/>
          <w:highlight w:val="none"/>
          <w:lang w:val="en-US" w:eastAsia="zh-CN"/>
        </w:rPr>
      </w:pPr>
      <w:bookmarkStart w:id="21" w:name="_Toc808"/>
      <w:r>
        <w:rPr>
          <w:rFonts w:hint="eastAsia" w:ascii="仿宋" w:hAnsi="仿宋" w:eastAsia="仿宋" w:cs="仿宋"/>
          <w:b/>
          <w:bCs/>
          <w:color w:val="auto"/>
          <w:sz w:val="32"/>
          <w:szCs w:val="32"/>
          <w:highlight w:val="none"/>
          <w:lang w:val="en-US" w:eastAsia="zh-CN"/>
        </w:rPr>
        <w:t>第五部分  采购合同（仅供参考）</w:t>
      </w:r>
      <w:bookmarkEnd w:id="13"/>
      <w:bookmarkEnd w:id="19"/>
      <w:bookmarkEnd w:id="21"/>
    </w:p>
    <w:p w14:paraId="4160B4E6">
      <w:pPr>
        <w:bidi w:val="0"/>
        <w:rPr>
          <w:rFonts w:hint="eastAsia" w:ascii="仿宋" w:hAnsi="仿宋" w:eastAsia="仿宋" w:cs="仿宋"/>
          <w:color w:val="auto"/>
        </w:rPr>
      </w:pPr>
    </w:p>
    <w:p w14:paraId="0A5665E6">
      <w:pPr>
        <w:widowControl/>
        <w:adjustRightInd w:val="0"/>
        <w:snapToGrid w:val="0"/>
        <w:spacing w:line="320" w:lineRule="exact"/>
        <w:ind w:firstLine="560" w:firstLineChars="200"/>
        <w:jc w:val="left"/>
        <w:rPr>
          <w:rFonts w:hint="eastAsia" w:ascii="仿宋" w:hAnsi="仿宋" w:eastAsia="仿宋" w:cs="仿宋"/>
          <w:color w:val="auto"/>
          <w:spacing w:val="-6"/>
          <w:sz w:val="28"/>
          <w:szCs w:val="28"/>
          <w:highlight w:val="none"/>
          <w:u w:val="single"/>
        </w:rPr>
      </w:pPr>
      <w:r>
        <w:rPr>
          <w:rFonts w:hint="eastAsia" w:ascii="仿宋" w:hAnsi="仿宋" w:eastAsia="仿宋" w:cs="仿宋"/>
          <w:color w:val="auto"/>
          <w:sz w:val="28"/>
          <w:szCs w:val="28"/>
          <w:highlight w:val="none"/>
        </w:rPr>
        <w:t>甲方：</w:t>
      </w:r>
      <w:r>
        <w:rPr>
          <w:rFonts w:hint="eastAsia" w:ascii="仿宋" w:hAnsi="仿宋" w:eastAsia="仿宋" w:cs="仿宋"/>
          <w:color w:val="auto"/>
          <w:spacing w:val="-6"/>
          <w:sz w:val="28"/>
          <w:szCs w:val="28"/>
          <w:highlight w:val="none"/>
          <w:u w:val="single"/>
        </w:rPr>
        <w:t xml:space="preserve">                             </w:t>
      </w:r>
    </w:p>
    <w:p w14:paraId="20CC561E">
      <w:pPr>
        <w:widowControl/>
        <w:adjustRightInd w:val="0"/>
        <w:snapToGrid w:val="0"/>
        <w:spacing w:line="320" w:lineRule="exact"/>
        <w:ind w:firstLine="560" w:firstLineChars="200"/>
        <w:jc w:val="left"/>
        <w:rPr>
          <w:rFonts w:hint="eastAsia" w:ascii="仿宋" w:hAnsi="仿宋" w:eastAsia="仿宋" w:cs="仿宋"/>
          <w:color w:val="auto"/>
          <w:sz w:val="28"/>
          <w:szCs w:val="28"/>
          <w:highlight w:val="none"/>
        </w:rPr>
      </w:pPr>
    </w:p>
    <w:p w14:paraId="1E55A9E1">
      <w:pPr>
        <w:widowControl/>
        <w:adjustRightInd w:val="0"/>
        <w:snapToGrid w:val="0"/>
        <w:spacing w:line="320" w:lineRule="exact"/>
        <w:ind w:firstLine="560" w:firstLineChars="200"/>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乙方：</w:t>
      </w:r>
      <w:r>
        <w:rPr>
          <w:rFonts w:hint="eastAsia" w:ascii="仿宋" w:hAnsi="仿宋" w:eastAsia="仿宋" w:cs="仿宋"/>
          <w:color w:val="auto"/>
          <w:sz w:val="28"/>
          <w:szCs w:val="28"/>
          <w:highlight w:val="none"/>
          <w:u w:val="single"/>
        </w:rPr>
        <w:t xml:space="preserve">                          </w:t>
      </w:r>
    </w:p>
    <w:p w14:paraId="4CE6A0E6">
      <w:pPr>
        <w:numPr>
          <w:ilvl w:val="0"/>
          <w:numId w:val="0"/>
        </w:numPr>
        <w:spacing w:line="4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根据《中华人民国共和国政府采购法》、《</w:t>
      </w:r>
      <w:r>
        <w:rPr>
          <w:rFonts w:hint="eastAsia" w:ascii="仿宋" w:hAnsi="仿宋" w:eastAsia="仿宋" w:cs="仿宋"/>
          <w:color w:val="auto"/>
          <w:sz w:val="28"/>
          <w:szCs w:val="28"/>
          <w:highlight w:val="none"/>
          <w:lang w:val="en-US" w:eastAsia="zh-CN"/>
        </w:rPr>
        <w:t>中华人民共和国民法典</w:t>
      </w:r>
      <w:r>
        <w:rPr>
          <w:rFonts w:hint="eastAsia" w:ascii="仿宋" w:hAnsi="仿宋" w:eastAsia="仿宋" w:cs="仿宋"/>
          <w:color w:val="auto"/>
          <w:sz w:val="28"/>
          <w:szCs w:val="28"/>
          <w:highlight w:val="none"/>
        </w:rPr>
        <w:t>》的相关规定，经甲乙双方协商，就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pacing w:val="-6"/>
          <w:sz w:val="28"/>
          <w:szCs w:val="28"/>
          <w:highlight w:val="none"/>
        </w:rPr>
        <w:t>（项目名称）</w:t>
      </w:r>
      <w:r>
        <w:rPr>
          <w:rFonts w:hint="eastAsia" w:ascii="仿宋" w:hAnsi="仿宋" w:eastAsia="仿宋" w:cs="仿宋"/>
          <w:color w:val="auto"/>
          <w:sz w:val="28"/>
          <w:szCs w:val="28"/>
          <w:highlight w:val="none"/>
        </w:rPr>
        <w:t>达成协议如下：</w:t>
      </w:r>
    </w:p>
    <w:p w14:paraId="5CAE0945">
      <w:pPr>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1、合同概况：</w:t>
      </w:r>
    </w:p>
    <w:p w14:paraId="18143DD9">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1.1合同项目名称：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27DB7983">
      <w:pPr>
        <w:spacing w:line="500" w:lineRule="exact"/>
        <w:ind w:left="240" w:hanging="280" w:hangingChars="1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1.2合同总价款：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67682014">
      <w:pPr>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    2、供货内容及交货地点：</w:t>
      </w:r>
    </w:p>
    <w:p w14:paraId="19D3D256">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2.1供货内容：</w:t>
      </w:r>
      <w:r>
        <w:rPr>
          <w:rFonts w:hint="eastAsia" w:ascii="仿宋" w:hAnsi="仿宋" w:eastAsia="仿宋" w:cs="仿宋"/>
          <w:color w:val="auto"/>
          <w:spacing w:val="-6"/>
          <w:sz w:val="28"/>
          <w:szCs w:val="28"/>
          <w:highlight w:val="none"/>
          <w:u w:val="single"/>
        </w:rPr>
        <w:t xml:space="preserve">              </w:t>
      </w:r>
    </w:p>
    <w:p w14:paraId="76205F07">
      <w:pPr>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    2.2供货地点：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p>
    <w:p w14:paraId="3A5090E9">
      <w:pPr>
        <w:spacing w:line="50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rPr>
        <w:t xml:space="preserve">    3、</w:t>
      </w:r>
      <w:r>
        <w:rPr>
          <w:rFonts w:hint="eastAsia" w:ascii="仿宋" w:hAnsi="仿宋" w:eastAsia="仿宋" w:cs="仿宋"/>
          <w:b/>
          <w:color w:val="auto"/>
          <w:sz w:val="28"/>
          <w:szCs w:val="28"/>
          <w:highlight w:val="none"/>
          <w:lang w:val="en-US" w:eastAsia="zh-CN"/>
        </w:rPr>
        <w:t>交货</w:t>
      </w:r>
      <w:r>
        <w:rPr>
          <w:rFonts w:hint="eastAsia" w:ascii="仿宋" w:hAnsi="仿宋" w:eastAsia="仿宋" w:cs="仿宋"/>
          <w:b/>
          <w:color w:val="auto"/>
          <w:sz w:val="28"/>
          <w:szCs w:val="28"/>
          <w:highlight w:val="none"/>
        </w:rPr>
        <w:t>期</w:t>
      </w:r>
      <w:r>
        <w:rPr>
          <w:rFonts w:hint="eastAsia" w:ascii="仿宋" w:hAnsi="仿宋" w:eastAsia="仿宋" w:cs="仿宋"/>
          <w:b/>
          <w:color w:val="auto"/>
          <w:sz w:val="28"/>
          <w:szCs w:val="28"/>
          <w:highlight w:val="none"/>
          <w:lang w:eastAsia="zh-CN"/>
        </w:rPr>
        <w:t>、</w:t>
      </w:r>
      <w:r>
        <w:rPr>
          <w:rFonts w:hint="eastAsia" w:ascii="仿宋" w:hAnsi="仿宋" w:eastAsia="仿宋" w:cs="仿宋"/>
          <w:b/>
          <w:color w:val="auto"/>
          <w:sz w:val="28"/>
          <w:szCs w:val="28"/>
          <w:highlight w:val="none"/>
          <w:lang w:val="en-US" w:eastAsia="zh-CN"/>
        </w:rPr>
        <w:t>质保期、质量标准</w:t>
      </w:r>
    </w:p>
    <w:p w14:paraId="78C8FD7A">
      <w:pPr>
        <w:spacing w:line="360" w:lineRule="auto"/>
        <w:ind w:firstLine="560" w:firstLineChars="200"/>
        <w:rPr>
          <w:rFonts w:hint="eastAsia" w:ascii="仿宋" w:hAnsi="仿宋" w:eastAsia="仿宋" w:cs="仿宋"/>
          <w:color w:val="auto"/>
          <w:sz w:val="28"/>
          <w:szCs w:val="28"/>
          <w:highlight w:val="none"/>
        </w:rPr>
      </w:pPr>
      <w:bookmarkStart w:id="22" w:name="OLE_LINK6"/>
      <w:r>
        <w:rPr>
          <w:rFonts w:hint="eastAsia" w:ascii="仿宋" w:hAnsi="仿宋" w:eastAsia="仿宋" w:cs="仿宋"/>
          <w:color w:val="auto"/>
          <w:sz w:val="28"/>
          <w:szCs w:val="28"/>
          <w:highlight w:val="none"/>
          <w:lang w:val="en-US" w:eastAsia="zh-CN"/>
        </w:rPr>
        <w:t>交货</w:t>
      </w:r>
      <w:r>
        <w:rPr>
          <w:rFonts w:hint="eastAsia" w:ascii="仿宋" w:hAnsi="仿宋" w:eastAsia="仿宋" w:cs="仿宋"/>
          <w:color w:val="auto"/>
          <w:sz w:val="28"/>
          <w:szCs w:val="28"/>
          <w:highlight w:val="none"/>
        </w:rPr>
        <w:t>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w:t>
      </w:r>
    </w:p>
    <w:bookmarkEnd w:id="22"/>
    <w:p w14:paraId="75F6577C">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质保</w:t>
      </w:r>
      <w:r>
        <w:rPr>
          <w:rFonts w:hint="eastAsia" w:ascii="仿宋" w:hAnsi="仿宋" w:eastAsia="仿宋" w:cs="仿宋"/>
          <w:color w:val="auto"/>
          <w:sz w:val="28"/>
          <w:szCs w:val="28"/>
          <w:highlight w:val="none"/>
        </w:rPr>
        <w:t>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w:t>
      </w:r>
    </w:p>
    <w:p w14:paraId="1984FFF4">
      <w:pPr>
        <w:pStyle w:val="14"/>
        <w:ind w:left="0" w:leftChars="0"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bCs/>
          <w:color w:val="auto"/>
          <w:sz w:val="28"/>
          <w:szCs w:val="28"/>
          <w:highlight w:val="none"/>
          <w:lang w:val="en-US" w:eastAsia="zh-CN"/>
        </w:rPr>
        <w:t>质量标准</w:t>
      </w:r>
      <w:r>
        <w:rPr>
          <w:rFonts w:hint="eastAsia" w:ascii="仿宋" w:hAnsi="仿宋" w:eastAsia="仿宋" w:cs="仿宋"/>
          <w:bCs/>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none"/>
          <w:lang w:eastAsia="zh-CN"/>
        </w:rPr>
        <w:t>。</w:t>
      </w:r>
    </w:p>
    <w:p w14:paraId="4B616F7E">
      <w:pPr>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4、甲方的责任和义务</w:t>
      </w:r>
    </w:p>
    <w:p w14:paraId="2BF4087D">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 甲方在采购内容到达指定地点后，甲方应在安装完后组织有关人员进行验收，并签署验收单。</w:t>
      </w:r>
    </w:p>
    <w:p w14:paraId="5A518DE8">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 甲方按合同规定向乙方支付应付合同价款。</w:t>
      </w:r>
    </w:p>
    <w:p w14:paraId="4D45700F">
      <w:pPr>
        <w:spacing w:line="50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b/>
          <w:color w:val="auto"/>
          <w:sz w:val="28"/>
          <w:szCs w:val="28"/>
          <w:highlight w:val="none"/>
        </w:rPr>
        <w:t>5、乙方的责任和义务</w:t>
      </w:r>
    </w:p>
    <w:p w14:paraId="67993AA5">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 乙方提供货物必须符合国家相关产品质量标准要求，且应达到乙方</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文件中的标准。</w:t>
      </w:r>
    </w:p>
    <w:p w14:paraId="726F574C">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5.2乙方负责在货物验收时</w:t>
      </w:r>
      <w:r>
        <w:rPr>
          <w:rFonts w:hint="eastAsia" w:ascii="仿宋" w:hAnsi="仿宋" w:eastAsia="仿宋" w:cs="仿宋"/>
          <w:color w:val="auto"/>
          <w:sz w:val="28"/>
          <w:szCs w:val="28"/>
          <w:highlight w:val="none"/>
          <w:lang w:eastAsia="zh-CN"/>
        </w:rPr>
        <w:t>保证</w:t>
      </w:r>
      <w:r>
        <w:rPr>
          <w:rFonts w:hint="eastAsia" w:ascii="仿宋" w:hAnsi="仿宋" w:eastAsia="仿宋" w:cs="仿宋"/>
          <w:color w:val="auto"/>
          <w:sz w:val="28"/>
          <w:szCs w:val="28"/>
          <w:highlight w:val="none"/>
          <w:lang w:val="en-US" w:eastAsia="zh-CN"/>
        </w:rPr>
        <w:t>质量符合甲方要求</w:t>
      </w:r>
      <w:r>
        <w:rPr>
          <w:rFonts w:hint="eastAsia" w:ascii="仿宋" w:hAnsi="仿宋" w:eastAsia="仿宋" w:cs="仿宋"/>
          <w:color w:val="auto"/>
          <w:sz w:val="28"/>
          <w:szCs w:val="28"/>
          <w:highlight w:val="none"/>
        </w:rPr>
        <w:t>；</w:t>
      </w:r>
    </w:p>
    <w:p w14:paraId="452B6BDC">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5.3供货期间产生的所有费用由乙方负责；</w:t>
      </w:r>
    </w:p>
    <w:p w14:paraId="64DC8049">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5.4 经甲方验收合格后，乙方向甲方移交相关的产品承诺书；</w:t>
      </w:r>
    </w:p>
    <w:p w14:paraId="7DAF3300">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乙方有权按合同规定向甲方收取应收合同价款；</w:t>
      </w:r>
    </w:p>
    <w:p w14:paraId="660C316B">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该项目所提供的货物，乙方必须保证在质保期内提供免费更换服务。</w:t>
      </w:r>
    </w:p>
    <w:p w14:paraId="69B6A7D7">
      <w:pPr>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b/>
          <w:color w:val="auto"/>
          <w:sz w:val="28"/>
          <w:szCs w:val="28"/>
          <w:highlight w:val="none"/>
        </w:rPr>
        <w:t xml:space="preserve">    6、</w:t>
      </w:r>
      <w:r>
        <w:rPr>
          <w:rFonts w:hint="eastAsia" w:ascii="仿宋" w:hAnsi="仿宋" w:eastAsia="仿宋" w:cs="仿宋"/>
          <w:b/>
          <w:color w:val="auto"/>
          <w:sz w:val="28"/>
          <w:szCs w:val="28"/>
          <w:highlight w:val="none"/>
          <w:lang w:val="en-US" w:eastAsia="zh-CN"/>
        </w:rPr>
        <w:t>合同结算</w:t>
      </w:r>
    </w:p>
    <w:p w14:paraId="119BCCF9">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（1）付款方式:本项目预付款为合同总价款的50%，自合同签订之日起15日内支付，剩余价款待项目验收合格后60日内一次性付清。</w:t>
      </w:r>
    </w:p>
    <w:p w14:paraId="76D49035">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（2）结算方式:银行转账。</w:t>
      </w:r>
    </w:p>
    <w:p w14:paraId="247971B0">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（3）结算单位:由甲方负责结算。</w:t>
      </w:r>
    </w:p>
    <w:p w14:paraId="1A0B72C7">
      <w:pPr>
        <w:spacing w:line="500" w:lineRule="exact"/>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7、合同变更</w:t>
      </w:r>
      <w:r>
        <w:rPr>
          <w:rFonts w:hint="eastAsia" w:ascii="仿宋" w:hAnsi="仿宋" w:eastAsia="仿宋" w:cs="仿宋"/>
          <w:color w:val="auto"/>
          <w:sz w:val="28"/>
          <w:szCs w:val="28"/>
          <w:highlight w:val="none"/>
        </w:rPr>
        <w:t xml:space="preserve">                    </w:t>
      </w:r>
    </w:p>
    <w:p w14:paraId="7A55603C">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本合同在双方协商同意的情况下可以变更，具体事宜双方协商确定后签订书面变更、补充协议，本合同和变更、补充协议应当和招标文件的实质性内容保持一致。</w:t>
      </w:r>
    </w:p>
    <w:p w14:paraId="5C7F7456">
      <w:pPr>
        <w:tabs>
          <w:tab w:val="center" w:pos="4707"/>
        </w:tabs>
        <w:spacing w:line="500" w:lineRule="exact"/>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rPr>
        <w:t xml:space="preserve">    8、违约责任</w:t>
      </w:r>
      <w:r>
        <w:rPr>
          <w:rFonts w:hint="eastAsia" w:ascii="仿宋" w:hAnsi="仿宋" w:eastAsia="仿宋" w:cs="仿宋"/>
          <w:b/>
          <w:color w:val="auto"/>
          <w:sz w:val="28"/>
          <w:szCs w:val="28"/>
          <w:highlight w:val="none"/>
          <w:lang w:eastAsia="zh-CN"/>
        </w:rPr>
        <w:tab/>
      </w:r>
    </w:p>
    <w:p w14:paraId="3C13681F">
      <w:pPr>
        <w:spacing w:line="500" w:lineRule="exact"/>
        <w:ind w:firstLine="5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8.1乙方未按期交付货物的，每迟延一日减少合同总价款1‰，迟延违约金总额不超过合同总价的10%；迟延超过三十日的，甲方有权解除合同。</w:t>
      </w:r>
    </w:p>
    <w:p w14:paraId="621EA9DA">
      <w:pPr>
        <w:spacing w:line="500" w:lineRule="exact"/>
        <w:ind w:firstLine="5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8.2乙方所交货物的品种</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质量不符合合同规定标准的，甲方有权拒收。</w:t>
      </w:r>
    </w:p>
    <w:p w14:paraId="6271DAA9">
      <w:pPr>
        <w:spacing w:line="500" w:lineRule="exact"/>
        <w:ind w:firstLine="5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8.3 质保期内乙方货物出现任何质量问题，乙方不及时解决的，甲方有权</w:t>
      </w:r>
      <w:r>
        <w:rPr>
          <w:rFonts w:hint="eastAsia" w:ascii="仿宋" w:hAnsi="仿宋" w:eastAsia="仿宋" w:cs="仿宋"/>
          <w:color w:val="auto"/>
          <w:sz w:val="28"/>
          <w:szCs w:val="28"/>
          <w:highlight w:val="none"/>
          <w:lang w:val="en-US" w:eastAsia="zh-CN"/>
        </w:rPr>
        <w:t>扣除合同金额5%的违约金</w:t>
      </w:r>
      <w:r>
        <w:rPr>
          <w:rFonts w:hint="eastAsia" w:ascii="仿宋" w:hAnsi="仿宋" w:eastAsia="仿宋" w:cs="仿宋"/>
          <w:color w:val="auto"/>
          <w:sz w:val="28"/>
          <w:szCs w:val="28"/>
          <w:highlight w:val="none"/>
        </w:rPr>
        <w:t>。</w:t>
      </w:r>
    </w:p>
    <w:p w14:paraId="6686DBE7">
      <w:pPr>
        <w:spacing w:line="500" w:lineRule="exact"/>
        <w:ind w:firstLine="5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8.4 甲方未按合同约定付余款，逾期按未付部分应按日向乙方支付0.5‰的违约金。</w:t>
      </w:r>
    </w:p>
    <w:p w14:paraId="0451589D">
      <w:pPr>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9、质量保证</w:t>
      </w:r>
    </w:p>
    <w:p w14:paraId="363561C9">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9.1乙方保证按合同规定的品种、数量、参数提供货物；</w:t>
      </w:r>
    </w:p>
    <w:p w14:paraId="34A9C46E">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9.2本合同规定货物质量标准以及售后服务均按原厂标准执行。质保期内，乙方承担免费更换义务，但因甲方人为因素损坏除外 ；质保期内经确定，因质量问题给甲方造成的损失，由乙方承担。 质保期后，乙方提供售后服务，费用由甲方支付。</w:t>
      </w:r>
    </w:p>
    <w:p w14:paraId="5819DB92">
      <w:pPr>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10、不可抗力、意外变故</w:t>
      </w:r>
    </w:p>
    <w:p w14:paraId="4492210E">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如果合同双方因不可抗力意外而被阻不能履行其职责，合同期的时间按照不可抗力变故的时间而顺延，或根据实际情况双方友好协商解决。</w:t>
      </w:r>
    </w:p>
    <w:p w14:paraId="3CF247C4">
      <w:pPr>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    11、解决合同纠纷方式</w:t>
      </w:r>
    </w:p>
    <w:p w14:paraId="0B6D2EC7">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如甲乙双方在合同履行过程中发生争议，应协商解决，协商不成，可向延安仲裁委员会申请仲裁。</w:t>
      </w:r>
    </w:p>
    <w:p w14:paraId="2F0C9CE8">
      <w:pPr>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    12、</w:t>
      </w:r>
      <w:r>
        <w:rPr>
          <w:rFonts w:hint="eastAsia" w:ascii="仿宋" w:hAnsi="仿宋" w:eastAsia="仿宋" w:cs="仿宋"/>
          <w:color w:val="auto"/>
          <w:sz w:val="28"/>
          <w:szCs w:val="28"/>
          <w:highlight w:val="none"/>
        </w:rPr>
        <w:t>未尽事宜，双方协商，达成补充协议，补充协议与本合同具有同等法律效力。</w:t>
      </w:r>
    </w:p>
    <w:p w14:paraId="3E491920">
      <w:pPr>
        <w:spacing w:line="500" w:lineRule="exact"/>
        <w:ind w:firstLine="480"/>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13</w:t>
      </w:r>
      <w:r>
        <w:rPr>
          <w:rFonts w:hint="eastAsia" w:ascii="仿宋" w:hAnsi="仿宋" w:eastAsia="仿宋" w:cs="仿宋"/>
          <w:color w:val="auto"/>
          <w:sz w:val="28"/>
          <w:szCs w:val="28"/>
          <w:highlight w:val="none"/>
        </w:rPr>
        <w:t>、本合同一式</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份，甲方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份，乙方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w:t>
      </w:r>
    </w:p>
    <w:p w14:paraId="08B58A2E">
      <w:pPr>
        <w:spacing w:line="360" w:lineRule="auto"/>
        <w:ind w:left="5425" w:leftChars="50" w:hanging="5320" w:hangingChars="1900"/>
        <w:rPr>
          <w:rFonts w:hint="eastAsia" w:ascii="仿宋" w:hAnsi="仿宋" w:eastAsia="仿宋" w:cs="仿宋"/>
          <w:color w:val="auto"/>
          <w:sz w:val="28"/>
          <w:szCs w:val="28"/>
          <w:highlight w:val="none"/>
        </w:rPr>
      </w:pPr>
    </w:p>
    <w:p w14:paraId="285E4D47">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乙方：  </w:t>
      </w:r>
    </w:p>
    <w:p w14:paraId="1F239139">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                     法定代表人： </w:t>
      </w:r>
    </w:p>
    <w:p w14:paraId="5A347BE4">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或授权代表：                     或授权代表： </w:t>
      </w:r>
    </w:p>
    <w:p w14:paraId="2555C992">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地址：  </w:t>
      </w:r>
    </w:p>
    <w:p w14:paraId="4F890CBC">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电话：                           电话： </w:t>
      </w:r>
    </w:p>
    <w:p w14:paraId="4838BB2F">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传真：                           传真：  </w:t>
      </w:r>
    </w:p>
    <w:p w14:paraId="1E7C8595">
      <w:pPr>
        <w:spacing w:line="72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1D59A9FF">
      <w:pPr>
        <w:bidi w:val="0"/>
        <w:rPr>
          <w:rFonts w:hint="eastAsia" w:ascii="仿宋" w:hAnsi="仿宋" w:eastAsia="仿宋" w:cs="仿宋"/>
          <w:color w:val="auto"/>
        </w:rPr>
      </w:pPr>
    </w:p>
    <w:p w14:paraId="709BF5EA">
      <w:pPr>
        <w:bidi w:val="0"/>
        <w:rPr>
          <w:rFonts w:hint="eastAsia" w:ascii="仿宋" w:hAnsi="仿宋" w:eastAsia="仿宋" w:cs="仿宋"/>
          <w:color w:val="auto"/>
        </w:rPr>
      </w:pPr>
    </w:p>
    <w:p w14:paraId="3F6CF8B8">
      <w:pPr>
        <w:pageBreakBefore w:val="0"/>
        <w:bidi w:val="0"/>
        <w:spacing w:line="274" w:lineRule="exact"/>
        <w:ind w:left="60"/>
        <w:outlineLvl w:val="9"/>
        <w:rPr>
          <w:rFonts w:hint="eastAsia" w:ascii="仿宋" w:hAnsi="仿宋" w:eastAsia="仿宋" w:cs="仿宋"/>
          <w:b/>
          <w:bCs/>
          <w:color w:val="auto"/>
          <w:sz w:val="28"/>
          <w:szCs w:val="28"/>
          <w:highlight w:val="none"/>
        </w:rPr>
      </w:pPr>
    </w:p>
    <w:p w14:paraId="0CF61150">
      <w:pPr>
        <w:pageBreakBefore w:val="0"/>
        <w:bidi w:val="0"/>
        <w:spacing w:line="274" w:lineRule="exact"/>
        <w:ind w:left="60"/>
        <w:outlineLvl w:val="9"/>
        <w:rPr>
          <w:rFonts w:hint="eastAsia" w:ascii="仿宋" w:hAnsi="仿宋" w:eastAsia="仿宋" w:cs="仿宋"/>
          <w:b/>
          <w:bCs/>
          <w:color w:val="auto"/>
          <w:sz w:val="28"/>
          <w:szCs w:val="28"/>
          <w:highlight w:val="none"/>
        </w:rPr>
        <w:sectPr>
          <w:pgSz w:w="11906" w:h="16838"/>
          <w:pgMar w:top="1559" w:right="1134" w:bottom="1020" w:left="1321" w:header="851" w:footer="992" w:gutter="0"/>
          <w:pgBorders>
            <w:top w:val="none" w:sz="0" w:space="0"/>
            <w:left w:val="none" w:sz="0" w:space="0"/>
            <w:bottom w:val="none" w:sz="0" w:space="0"/>
            <w:right w:val="none" w:sz="0" w:space="0"/>
          </w:pgBorders>
          <w:pgNumType w:fmt="decimal"/>
          <w:cols w:space="0" w:num="1"/>
          <w:docGrid w:type="lines" w:linePitch="315" w:charSpace="0"/>
        </w:sectPr>
      </w:pPr>
    </w:p>
    <w:p w14:paraId="7A734228">
      <w:pPr>
        <w:pageBreakBefore w:val="0"/>
        <w:bidi w:val="0"/>
        <w:spacing w:line="274" w:lineRule="exact"/>
        <w:ind w:left="60"/>
        <w:outlineLvl w:val="9"/>
        <w:rPr>
          <w:rFonts w:hint="eastAsia" w:ascii="仿宋" w:hAnsi="仿宋" w:eastAsia="仿宋" w:cs="仿宋"/>
          <w:b/>
          <w:bCs/>
          <w:color w:val="auto"/>
          <w:sz w:val="28"/>
          <w:szCs w:val="28"/>
          <w:highlight w:val="none"/>
        </w:rPr>
      </w:pPr>
    </w:p>
    <w:p w14:paraId="4B8C352C">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0"/>
        <w:rPr>
          <w:rFonts w:hint="eastAsia" w:ascii="仿宋" w:hAnsi="仿宋" w:eastAsia="仿宋" w:cs="仿宋"/>
          <w:b/>
          <w:bCs/>
          <w:color w:val="auto"/>
          <w:sz w:val="32"/>
          <w:szCs w:val="32"/>
          <w:highlight w:val="none"/>
          <w:lang w:val="en-US" w:eastAsia="zh-CN"/>
        </w:rPr>
      </w:pPr>
      <w:bookmarkStart w:id="23" w:name="_Toc13042"/>
      <w:bookmarkStart w:id="24" w:name="_Toc11697"/>
      <w:bookmarkStart w:id="25" w:name="_Toc5521"/>
      <w:r>
        <w:rPr>
          <w:rFonts w:hint="eastAsia" w:ascii="仿宋" w:hAnsi="仿宋" w:eastAsia="仿宋" w:cs="仿宋"/>
          <w:b/>
          <w:bCs/>
          <w:color w:val="auto"/>
          <w:sz w:val="32"/>
          <w:szCs w:val="32"/>
          <w:highlight w:val="none"/>
          <w:lang w:val="en-US" w:eastAsia="zh-CN"/>
        </w:rPr>
        <w:t>第六部分  投标文件格式</w:t>
      </w:r>
      <w:bookmarkEnd w:id="23"/>
      <w:bookmarkEnd w:id="24"/>
      <w:bookmarkEnd w:id="25"/>
    </w:p>
    <w:p w14:paraId="3461288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1、提供的投标文件格式，起到样式作用，编制投标文件前，请详细阅读招标文件，理解文件中的每一项要求。</w:t>
      </w:r>
    </w:p>
    <w:p w14:paraId="0FF5083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2、投标文件的编制应按照样本格式提供的内容，做出逐一明确的答复；供应商认为有必要，还可以做其它补充说明。</w:t>
      </w:r>
    </w:p>
    <w:p w14:paraId="1227CC1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3、全部编制完成，并加盖印章后，按规定分别装订成册。</w:t>
      </w:r>
    </w:p>
    <w:p w14:paraId="15A0F65B">
      <w:pPr>
        <w:pageBreakBefore w:val="0"/>
        <w:widowControl/>
        <w:bidi w:val="0"/>
        <w:spacing w:line="460" w:lineRule="exact"/>
        <w:jc w:val="lef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1545B28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仿宋" w:hAnsi="仿宋" w:eastAsia="仿宋" w:cs="仿宋"/>
          <w:i w:val="0"/>
          <w:iCs w:val="0"/>
          <w:caps w:val="0"/>
          <w:color w:val="auto"/>
          <w:spacing w:val="0"/>
          <w:sz w:val="32"/>
          <w:szCs w:val="32"/>
          <w:highlight w:val="none"/>
          <w:lang w:val="en-US" w:eastAsia="zh-CN"/>
        </w:rPr>
      </w:pPr>
      <w:r>
        <w:rPr>
          <w:rFonts w:hint="eastAsia" w:ascii="仿宋" w:hAnsi="仿宋" w:eastAsia="仿宋" w:cs="仿宋"/>
          <w:b/>
          <w:bCs/>
          <w:color w:val="auto"/>
          <w:sz w:val="32"/>
          <w:szCs w:val="32"/>
          <w:highlight w:val="none"/>
        </w:rPr>
        <w:t>项目编号:PZZX-26-B072</w:t>
      </w:r>
    </w:p>
    <w:p w14:paraId="0F09887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仿宋" w:hAnsi="仿宋" w:eastAsia="仿宋" w:cs="仿宋"/>
          <w:b/>
          <w:bCs/>
          <w:color w:val="auto"/>
          <w:sz w:val="30"/>
          <w:szCs w:val="30"/>
          <w:highlight w:val="none"/>
          <w:lang w:val="en-US" w:eastAsia="zh-CN"/>
        </w:rPr>
      </w:pPr>
    </w:p>
    <w:p w14:paraId="7647F485">
      <w:pPr>
        <w:pageBreakBefore w:val="0"/>
        <w:bidi w:val="0"/>
        <w:spacing w:line="360" w:lineRule="atLeast"/>
        <w:ind w:firstLine="7228" w:firstLineChars="2400"/>
        <w:outlineLvl w:val="9"/>
        <w:rPr>
          <w:rFonts w:hint="eastAsia" w:ascii="仿宋" w:hAnsi="仿宋" w:eastAsia="仿宋" w:cs="仿宋"/>
          <w:color w:val="auto"/>
          <w:sz w:val="30"/>
          <w:szCs w:val="30"/>
          <w:highlight w:val="none"/>
        </w:rPr>
      </w:pPr>
      <w:r>
        <w:rPr>
          <w:rFonts w:hint="eastAsia" w:ascii="仿宋" w:hAnsi="仿宋" w:eastAsia="仿宋" w:cs="仿宋"/>
          <w:b/>
          <w:color w:val="auto"/>
          <w:sz w:val="30"/>
          <w:szCs w:val="30"/>
          <w:highlight w:val="none"/>
        </w:rPr>
        <w:t>（正本或副本）</w:t>
      </w:r>
    </w:p>
    <w:p w14:paraId="63F2AD1F">
      <w:pPr>
        <w:pageBreakBefore w:val="0"/>
        <w:bidi w:val="0"/>
        <w:spacing w:line="880" w:lineRule="exact"/>
        <w:jc w:val="center"/>
        <w:outlineLvl w:val="9"/>
        <w:rPr>
          <w:rFonts w:hint="eastAsia" w:ascii="仿宋" w:hAnsi="仿宋" w:eastAsia="仿宋" w:cs="仿宋"/>
          <w:b/>
          <w:color w:val="auto"/>
          <w:spacing w:val="4"/>
          <w:sz w:val="40"/>
          <w:szCs w:val="40"/>
          <w:highlight w:val="none"/>
        </w:rPr>
      </w:pPr>
      <w:r>
        <w:rPr>
          <w:rFonts w:hint="eastAsia" w:ascii="仿宋" w:hAnsi="仿宋" w:eastAsia="仿宋" w:cs="仿宋"/>
          <w:b/>
          <w:bCs/>
          <w:i w:val="0"/>
          <w:iCs w:val="0"/>
          <w:caps w:val="0"/>
          <w:color w:val="auto"/>
          <w:spacing w:val="0"/>
          <w:kern w:val="0"/>
          <w:sz w:val="40"/>
          <w:szCs w:val="40"/>
          <w:highlight w:val="none"/>
          <w:shd w:val="clear" w:color="auto" w:fill="FFFFFF"/>
          <w:lang w:val="en-US" w:eastAsia="zh-CN" w:bidi="ar"/>
        </w:rPr>
        <w:t>延安市行政审批服务局延安市政务服务城市频道建设及运营（大厅硬件设备改造项目）</w:t>
      </w:r>
    </w:p>
    <w:p w14:paraId="23557763">
      <w:pPr>
        <w:pageBreakBefore w:val="0"/>
        <w:bidi w:val="0"/>
        <w:spacing w:line="880" w:lineRule="exact"/>
        <w:jc w:val="center"/>
        <w:outlineLvl w:val="9"/>
        <w:rPr>
          <w:rFonts w:hint="eastAsia" w:ascii="仿宋" w:hAnsi="仿宋" w:eastAsia="仿宋" w:cs="仿宋"/>
          <w:b/>
          <w:color w:val="auto"/>
          <w:spacing w:val="4"/>
          <w:sz w:val="32"/>
          <w:szCs w:val="32"/>
          <w:highlight w:val="none"/>
        </w:rPr>
      </w:pPr>
    </w:p>
    <w:p w14:paraId="7195C578">
      <w:pPr>
        <w:pageBreakBefore w:val="0"/>
        <w:bidi w:val="0"/>
        <w:spacing w:line="880" w:lineRule="exact"/>
        <w:jc w:val="center"/>
        <w:outlineLvl w:val="9"/>
        <w:rPr>
          <w:rFonts w:hint="eastAsia" w:ascii="仿宋" w:hAnsi="仿宋" w:eastAsia="仿宋" w:cs="仿宋"/>
          <w:b/>
          <w:bCs w:val="0"/>
          <w:color w:val="auto"/>
          <w:spacing w:val="4"/>
          <w:sz w:val="52"/>
          <w:szCs w:val="52"/>
          <w:highlight w:val="none"/>
        </w:rPr>
      </w:pPr>
      <w:r>
        <w:rPr>
          <w:rFonts w:hint="eastAsia" w:ascii="仿宋" w:hAnsi="仿宋" w:eastAsia="仿宋" w:cs="仿宋"/>
          <w:b/>
          <w:bCs w:val="0"/>
          <w:color w:val="auto"/>
          <w:spacing w:val="4"/>
          <w:sz w:val="52"/>
          <w:szCs w:val="52"/>
          <w:highlight w:val="none"/>
        </w:rPr>
        <w:t>投 标 文 件</w:t>
      </w:r>
    </w:p>
    <w:p w14:paraId="3F095854">
      <w:pPr>
        <w:pStyle w:val="7"/>
        <w:rPr>
          <w:rFonts w:hint="eastAsia" w:ascii="仿宋" w:hAnsi="仿宋" w:eastAsia="仿宋" w:cs="仿宋"/>
          <w:color w:val="auto"/>
          <w:sz w:val="24"/>
          <w:szCs w:val="24"/>
          <w:highlight w:val="none"/>
        </w:rPr>
      </w:pPr>
    </w:p>
    <w:p w14:paraId="459FCA55">
      <w:pPr>
        <w:pageBreakBefore w:val="0"/>
        <w:bidi w:val="0"/>
        <w:spacing w:line="240" w:lineRule="auto"/>
        <w:ind w:firstLine="2409" w:firstLineChars="1000"/>
        <w:outlineLvl w:val="9"/>
        <w:rPr>
          <w:rFonts w:hint="eastAsia" w:ascii="仿宋" w:hAnsi="仿宋" w:eastAsia="仿宋" w:cs="仿宋"/>
          <w:b/>
          <w:bCs/>
          <w:color w:val="auto"/>
          <w:sz w:val="24"/>
          <w:szCs w:val="24"/>
          <w:highlight w:val="none"/>
        </w:rPr>
      </w:pPr>
    </w:p>
    <w:p w14:paraId="7ABF1A8A">
      <w:pPr>
        <w:pageBreakBefore w:val="0"/>
        <w:bidi w:val="0"/>
        <w:spacing w:line="540" w:lineRule="exact"/>
        <w:outlineLvl w:val="9"/>
        <w:rPr>
          <w:rFonts w:hint="eastAsia" w:ascii="仿宋" w:hAnsi="仿宋" w:eastAsia="仿宋" w:cs="仿宋"/>
          <w:b/>
          <w:bCs/>
          <w:color w:val="auto"/>
          <w:spacing w:val="20"/>
          <w:sz w:val="24"/>
          <w:szCs w:val="24"/>
          <w:highlight w:val="none"/>
        </w:rPr>
      </w:pPr>
    </w:p>
    <w:p w14:paraId="6056A832">
      <w:pPr>
        <w:pStyle w:val="22"/>
        <w:pageBreakBefore w:val="0"/>
        <w:bidi w:val="0"/>
        <w:outlineLvl w:val="9"/>
        <w:rPr>
          <w:rFonts w:hint="eastAsia" w:ascii="仿宋" w:hAnsi="仿宋" w:eastAsia="仿宋" w:cs="仿宋"/>
          <w:color w:val="auto"/>
          <w:sz w:val="24"/>
          <w:szCs w:val="24"/>
          <w:highlight w:val="none"/>
        </w:rPr>
      </w:pPr>
    </w:p>
    <w:p w14:paraId="71FADABA">
      <w:pPr>
        <w:pStyle w:val="22"/>
        <w:pageBreakBefore w:val="0"/>
        <w:bidi w:val="0"/>
        <w:outlineLvl w:val="9"/>
        <w:rPr>
          <w:rFonts w:hint="eastAsia" w:ascii="仿宋" w:hAnsi="仿宋" w:eastAsia="仿宋" w:cs="仿宋"/>
          <w:color w:val="auto"/>
          <w:sz w:val="24"/>
          <w:szCs w:val="24"/>
          <w:highlight w:val="none"/>
        </w:rPr>
      </w:pPr>
    </w:p>
    <w:p w14:paraId="5320A8F3">
      <w:pPr>
        <w:pStyle w:val="23"/>
        <w:pageBreakBefore w:val="0"/>
        <w:bidi w:val="0"/>
        <w:outlineLvl w:val="9"/>
        <w:rPr>
          <w:rFonts w:hint="eastAsia" w:ascii="仿宋" w:hAnsi="仿宋" w:eastAsia="仿宋" w:cs="仿宋"/>
          <w:color w:val="auto"/>
          <w:sz w:val="24"/>
          <w:szCs w:val="24"/>
          <w:highlight w:val="none"/>
        </w:rPr>
      </w:pPr>
    </w:p>
    <w:p w14:paraId="11D54C78">
      <w:pPr>
        <w:pageBreakBefore w:val="0"/>
        <w:bidi w:val="0"/>
        <w:outlineLvl w:val="9"/>
        <w:rPr>
          <w:rFonts w:hint="eastAsia" w:ascii="仿宋" w:hAnsi="仿宋" w:eastAsia="仿宋" w:cs="仿宋"/>
          <w:color w:val="auto"/>
          <w:sz w:val="24"/>
          <w:szCs w:val="24"/>
          <w:highlight w:val="none"/>
        </w:rPr>
      </w:pPr>
    </w:p>
    <w:p w14:paraId="78B99048">
      <w:pPr>
        <w:pStyle w:val="9"/>
        <w:pageBreakBefore w:val="0"/>
        <w:bidi w:val="0"/>
        <w:outlineLvl w:val="9"/>
        <w:rPr>
          <w:rFonts w:hint="eastAsia" w:ascii="仿宋" w:hAnsi="仿宋" w:eastAsia="仿宋" w:cs="仿宋"/>
          <w:color w:val="auto"/>
          <w:sz w:val="24"/>
          <w:szCs w:val="24"/>
          <w:highlight w:val="none"/>
        </w:rPr>
      </w:pPr>
    </w:p>
    <w:p w14:paraId="38E5EFD6">
      <w:pPr>
        <w:pStyle w:val="22"/>
        <w:pageBreakBefore w:val="0"/>
        <w:bidi w:val="0"/>
        <w:ind w:firstLine="0"/>
        <w:outlineLvl w:val="9"/>
        <w:rPr>
          <w:rFonts w:hint="eastAsia" w:ascii="仿宋" w:hAnsi="仿宋" w:eastAsia="仿宋" w:cs="仿宋"/>
          <w:color w:val="auto"/>
          <w:sz w:val="24"/>
          <w:szCs w:val="24"/>
          <w:highlight w:val="none"/>
        </w:rPr>
      </w:pPr>
    </w:p>
    <w:p w14:paraId="03E45EDA">
      <w:pPr>
        <w:keepNext w:val="0"/>
        <w:keepLines w:val="0"/>
        <w:pageBreakBefore w:val="0"/>
        <w:widowControl w:val="0"/>
        <w:kinsoku/>
        <w:wordWrap/>
        <w:overflowPunct/>
        <w:topLinePunct w:val="0"/>
        <w:autoSpaceDE/>
        <w:autoSpaceDN/>
        <w:bidi w:val="0"/>
        <w:adjustRightInd/>
        <w:snapToGrid/>
        <w:spacing w:line="540" w:lineRule="exact"/>
        <w:ind w:firstLine="963" w:firstLineChars="300"/>
        <w:textAlignment w:val="auto"/>
        <w:outlineLvl w:val="9"/>
        <w:rPr>
          <w:rFonts w:hint="eastAsia" w:ascii="仿宋" w:hAnsi="仿宋" w:eastAsia="仿宋" w:cs="仿宋"/>
          <w:b/>
          <w:bCs/>
          <w:color w:val="auto"/>
          <w:spacing w:val="20"/>
          <w:sz w:val="28"/>
          <w:szCs w:val="28"/>
          <w:highlight w:val="none"/>
        </w:rPr>
      </w:pPr>
      <w:r>
        <w:rPr>
          <w:rFonts w:hint="eastAsia" w:ascii="仿宋" w:hAnsi="仿宋" w:eastAsia="仿宋" w:cs="仿宋"/>
          <w:b/>
          <w:bCs/>
          <w:color w:val="auto"/>
          <w:spacing w:val="20"/>
          <w:sz w:val="28"/>
          <w:szCs w:val="28"/>
          <w:highlight w:val="none"/>
        </w:rPr>
        <w:t>投   标  人：</w:t>
      </w:r>
      <w:r>
        <w:rPr>
          <w:rFonts w:hint="eastAsia" w:ascii="仿宋" w:hAnsi="仿宋" w:eastAsia="仿宋" w:cs="仿宋"/>
          <w:b/>
          <w:bCs/>
          <w:color w:val="auto"/>
          <w:spacing w:val="20"/>
          <w:sz w:val="28"/>
          <w:szCs w:val="28"/>
          <w:highlight w:val="none"/>
          <w:u w:val="single"/>
        </w:rPr>
        <w:t xml:space="preserve">                     </w:t>
      </w:r>
      <w:r>
        <w:rPr>
          <w:rFonts w:hint="eastAsia" w:ascii="仿宋" w:hAnsi="仿宋" w:eastAsia="仿宋" w:cs="仿宋"/>
          <w:b/>
          <w:bCs/>
          <w:color w:val="auto"/>
          <w:spacing w:val="20"/>
          <w:sz w:val="28"/>
          <w:szCs w:val="28"/>
          <w:highlight w:val="none"/>
        </w:rPr>
        <w:t>（盖单位公章）</w:t>
      </w:r>
    </w:p>
    <w:p w14:paraId="3771824D">
      <w:pPr>
        <w:keepNext w:val="0"/>
        <w:keepLines w:val="0"/>
        <w:pageBreakBefore w:val="0"/>
        <w:widowControl w:val="0"/>
        <w:kinsoku/>
        <w:wordWrap/>
        <w:overflowPunct/>
        <w:topLinePunct w:val="0"/>
        <w:autoSpaceDE/>
        <w:autoSpaceDN/>
        <w:bidi w:val="0"/>
        <w:adjustRightInd/>
        <w:snapToGrid/>
        <w:spacing w:line="540" w:lineRule="exact"/>
        <w:ind w:firstLine="963" w:firstLineChars="300"/>
        <w:textAlignment w:val="auto"/>
        <w:outlineLvl w:val="9"/>
        <w:rPr>
          <w:rFonts w:hint="eastAsia" w:ascii="仿宋" w:hAnsi="仿宋" w:eastAsia="仿宋" w:cs="仿宋"/>
          <w:b/>
          <w:bCs/>
          <w:color w:val="auto"/>
          <w:spacing w:val="20"/>
          <w:sz w:val="28"/>
          <w:szCs w:val="28"/>
          <w:highlight w:val="none"/>
        </w:rPr>
      </w:pPr>
      <w:r>
        <w:rPr>
          <w:rFonts w:hint="eastAsia" w:ascii="仿宋" w:hAnsi="仿宋" w:eastAsia="仿宋" w:cs="仿宋"/>
          <w:b/>
          <w:bCs/>
          <w:color w:val="auto"/>
          <w:spacing w:val="20"/>
          <w:sz w:val="28"/>
          <w:szCs w:val="28"/>
          <w:highlight w:val="none"/>
        </w:rPr>
        <w:t>法定代表人或</w:t>
      </w:r>
    </w:p>
    <w:p w14:paraId="42F86939">
      <w:pPr>
        <w:keepNext w:val="0"/>
        <w:keepLines w:val="0"/>
        <w:pageBreakBefore w:val="0"/>
        <w:widowControl w:val="0"/>
        <w:kinsoku/>
        <w:wordWrap/>
        <w:overflowPunct/>
        <w:topLinePunct w:val="0"/>
        <w:autoSpaceDE/>
        <w:autoSpaceDN/>
        <w:bidi w:val="0"/>
        <w:adjustRightInd/>
        <w:snapToGrid/>
        <w:spacing w:line="540" w:lineRule="exact"/>
        <w:ind w:firstLine="963" w:firstLineChars="300"/>
        <w:textAlignment w:val="auto"/>
        <w:outlineLvl w:val="9"/>
        <w:rPr>
          <w:rFonts w:hint="eastAsia" w:ascii="仿宋" w:hAnsi="仿宋" w:eastAsia="仿宋" w:cs="仿宋"/>
          <w:b/>
          <w:bCs/>
          <w:color w:val="auto"/>
          <w:spacing w:val="20"/>
          <w:sz w:val="28"/>
          <w:szCs w:val="28"/>
          <w:highlight w:val="none"/>
        </w:rPr>
      </w:pPr>
      <w:r>
        <w:rPr>
          <w:rFonts w:hint="eastAsia" w:ascii="仿宋" w:hAnsi="仿宋" w:eastAsia="仿宋" w:cs="仿宋"/>
          <w:b/>
          <w:bCs/>
          <w:color w:val="auto"/>
          <w:spacing w:val="20"/>
          <w:sz w:val="28"/>
          <w:szCs w:val="28"/>
          <w:highlight w:val="none"/>
        </w:rPr>
        <w:t>其委托代理人：</w:t>
      </w:r>
      <w:r>
        <w:rPr>
          <w:rFonts w:hint="eastAsia" w:ascii="仿宋" w:hAnsi="仿宋" w:eastAsia="仿宋" w:cs="仿宋"/>
          <w:b/>
          <w:bCs/>
          <w:color w:val="auto"/>
          <w:spacing w:val="20"/>
          <w:sz w:val="28"/>
          <w:szCs w:val="28"/>
          <w:highlight w:val="none"/>
          <w:u w:val="single"/>
        </w:rPr>
        <w:t xml:space="preserve">                    </w:t>
      </w:r>
      <w:r>
        <w:rPr>
          <w:rFonts w:hint="eastAsia" w:ascii="仿宋" w:hAnsi="仿宋" w:eastAsia="仿宋" w:cs="仿宋"/>
          <w:b/>
          <w:bCs/>
          <w:color w:val="auto"/>
          <w:spacing w:val="20"/>
          <w:sz w:val="28"/>
          <w:szCs w:val="28"/>
          <w:highlight w:val="none"/>
        </w:rPr>
        <w:t xml:space="preserve"> （签字或盖章）</w:t>
      </w:r>
    </w:p>
    <w:p w14:paraId="5E61D8A9">
      <w:pPr>
        <w:keepNext w:val="0"/>
        <w:keepLines w:val="0"/>
        <w:pageBreakBefore w:val="0"/>
        <w:widowControl w:val="0"/>
        <w:kinsoku/>
        <w:wordWrap/>
        <w:overflowPunct/>
        <w:topLinePunct w:val="0"/>
        <w:autoSpaceDE/>
        <w:autoSpaceDN/>
        <w:bidi w:val="0"/>
        <w:adjustRightInd/>
        <w:snapToGrid/>
        <w:spacing w:line="540" w:lineRule="exact"/>
        <w:ind w:firstLine="963" w:firstLineChars="300"/>
        <w:textAlignment w:val="auto"/>
        <w:outlineLvl w:val="9"/>
        <w:rPr>
          <w:rFonts w:hint="eastAsia" w:ascii="仿宋" w:hAnsi="仿宋" w:eastAsia="仿宋" w:cs="仿宋"/>
          <w:b/>
          <w:color w:val="auto"/>
          <w:sz w:val="28"/>
          <w:szCs w:val="28"/>
          <w:highlight w:val="none"/>
        </w:rPr>
      </w:pPr>
      <w:r>
        <w:rPr>
          <w:rFonts w:hint="eastAsia" w:ascii="仿宋" w:hAnsi="仿宋" w:eastAsia="仿宋" w:cs="仿宋"/>
          <w:b/>
          <w:bCs/>
          <w:color w:val="auto"/>
          <w:spacing w:val="20"/>
          <w:sz w:val="28"/>
          <w:szCs w:val="28"/>
          <w:highlight w:val="none"/>
        </w:rPr>
        <w:t>日       期：</w:t>
      </w:r>
      <w:r>
        <w:rPr>
          <w:rFonts w:hint="eastAsia" w:ascii="仿宋" w:hAnsi="仿宋" w:eastAsia="仿宋" w:cs="仿宋"/>
          <w:b/>
          <w:bCs/>
          <w:color w:val="auto"/>
          <w:spacing w:val="20"/>
          <w:sz w:val="28"/>
          <w:szCs w:val="28"/>
          <w:highlight w:val="none"/>
          <w:u w:val="single"/>
        </w:rPr>
        <w:t xml:space="preserve">      </w:t>
      </w:r>
      <w:r>
        <w:rPr>
          <w:rFonts w:hint="eastAsia" w:ascii="仿宋" w:hAnsi="仿宋" w:eastAsia="仿宋" w:cs="仿宋"/>
          <w:b/>
          <w:bCs/>
          <w:color w:val="auto"/>
          <w:spacing w:val="20"/>
          <w:sz w:val="28"/>
          <w:szCs w:val="28"/>
          <w:highlight w:val="none"/>
        </w:rPr>
        <w:t>年</w:t>
      </w:r>
      <w:r>
        <w:rPr>
          <w:rFonts w:hint="eastAsia" w:ascii="仿宋" w:hAnsi="仿宋" w:eastAsia="仿宋" w:cs="仿宋"/>
          <w:b/>
          <w:bCs/>
          <w:color w:val="auto"/>
          <w:spacing w:val="20"/>
          <w:sz w:val="28"/>
          <w:szCs w:val="28"/>
          <w:highlight w:val="none"/>
          <w:u w:val="single"/>
        </w:rPr>
        <w:t xml:space="preserve">     </w:t>
      </w:r>
      <w:r>
        <w:rPr>
          <w:rFonts w:hint="eastAsia" w:ascii="仿宋" w:hAnsi="仿宋" w:eastAsia="仿宋" w:cs="仿宋"/>
          <w:b/>
          <w:bCs/>
          <w:color w:val="auto"/>
          <w:spacing w:val="20"/>
          <w:sz w:val="28"/>
          <w:szCs w:val="28"/>
          <w:highlight w:val="none"/>
        </w:rPr>
        <w:t>月</w:t>
      </w:r>
      <w:r>
        <w:rPr>
          <w:rFonts w:hint="eastAsia" w:ascii="仿宋" w:hAnsi="仿宋" w:eastAsia="仿宋" w:cs="仿宋"/>
          <w:b/>
          <w:bCs/>
          <w:color w:val="auto"/>
          <w:spacing w:val="20"/>
          <w:sz w:val="28"/>
          <w:szCs w:val="28"/>
          <w:highlight w:val="none"/>
          <w:u w:val="single"/>
        </w:rPr>
        <w:t xml:space="preserve">     </w:t>
      </w:r>
      <w:r>
        <w:rPr>
          <w:rFonts w:hint="eastAsia" w:ascii="仿宋" w:hAnsi="仿宋" w:eastAsia="仿宋" w:cs="仿宋"/>
          <w:b/>
          <w:bCs/>
          <w:color w:val="auto"/>
          <w:spacing w:val="20"/>
          <w:sz w:val="28"/>
          <w:szCs w:val="28"/>
          <w:highlight w:val="none"/>
        </w:rPr>
        <w:t>日</w:t>
      </w:r>
    </w:p>
    <w:p w14:paraId="06AF6F7F">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72930B33">
      <w:pPr>
        <w:pStyle w:val="40"/>
        <w:rPr>
          <w:rFonts w:hint="eastAsia" w:ascii="仿宋" w:hAnsi="仿宋" w:eastAsia="仿宋" w:cs="仿宋"/>
          <w:color w:val="auto"/>
        </w:rPr>
      </w:pPr>
    </w:p>
    <w:p w14:paraId="11F9EF9B">
      <w:pPr>
        <w:pageBreakBefore w:val="0"/>
        <w:bidi w:val="0"/>
        <w:spacing w:line="360" w:lineRule="atLeast"/>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目     录</w:t>
      </w:r>
    </w:p>
    <w:p w14:paraId="3BA64878">
      <w:pPr>
        <w:pStyle w:val="12"/>
        <w:keepNext w:val="0"/>
        <w:keepLines w:val="0"/>
        <w:pageBreakBefore w:val="0"/>
        <w:widowControl w:val="0"/>
        <w:kinsoku/>
        <w:wordWrap/>
        <w:overflowPunct/>
        <w:topLinePunct w:val="0"/>
        <w:autoSpaceDE/>
        <w:autoSpaceDN/>
        <w:bidi w:val="0"/>
        <w:adjustRightInd/>
        <w:snapToGrid/>
        <w:spacing w:line="360" w:lineRule="auto"/>
        <w:ind w:right="0" w:firstLine="562" w:firstLineChars="200"/>
        <w:textAlignment w:val="auto"/>
        <w:outlineLvl w:val="9"/>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一、</w:t>
      </w:r>
      <w:r>
        <w:rPr>
          <w:rFonts w:hint="eastAsia" w:ascii="仿宋" w:hAnsi="仿宋" w:eastAsia="仿宋" w:cs="仿宋"/>
          <w:b/>
          <w:bCs/>
          <w:color w:val="auto"/>
          <w:sz w:val="28"/>
          <w:szCs w:val="28"/>
          <w:highlight w:val="none"/>
        </w:rPr>
        <w:t>投标函</w:t>
      </w:r>
    </w:p>
    <w:p w14:paraId="04ABF196">
      <w:pPr>
        <w:keepNext w:val="0"/>
        <w:keepLines w:val="0"/>
        <w:pageBreakBefore w:val="0"/>
        <w:widowControl w:val="0"/>
        <w:kinsoku/>
        <w:wordWrap/>
        <w:overflowPunct/>
        <w:topLinePunct w:val="0"/>
        <w:autoSpaceDE/>
        <w:autoSpaceDN/>
        <w:bidi w:val="0"/>
        <w:adjustRightInd/>
        <w:snapToGrid/>
        <w:spacing w:line="360" w:lineRule="auto"/>
        <w:ind w:right="0" w:firstLine="562" w:firstLineChars="200"/>
        <w:textAlignment w:val="auto"/>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二、</w:t>
      </w:r>
      <w:r>
        <w:rPr>
          <w:rFonts w:hint="eastAsia" w:ascii="仿宋" w:hAnsi="仿宋" w:eastAsia="仿宋" w:cs="仿宋"/>
          <w:b/>
          <w:color w:val="auto"/>
          <w:sz w:val="28"/>
          <w:szCs w:val="28"/>
          <w:highlight w:val="none"/>
        </w:rPr>
        <w:t>开标一览表</w:t>
      </w:r>
    </w:p>
    <w:p w14:paraId="0FEBE746">
      <w:pPr>
        <w:pStyle w:val="12"/>
        <w:keepNext w:val="0"/>
        <w:keepLines w:val="0"/>
        <w:pageBreakBefore w:val="0"/>
        <w:widowControl w:val="0"/>
        <w:kinsoku/>
        <w:wordWrap/>
        <w:overflowPunct/>
        <w:topLinePunct w:val="0"/>
        <w:autoSpaceDE/>
        <w:autoSpaceDN/>
        <w:bidi w:val="0"/>
        <w:adjustRightInd/>
        <w:snapToGrid/>
        <w:spacing w:line="360" w:lineRule="auto"/>
        <w:ind w:right="0" w:firstLine="562" w:firstLineChars="200"/>
        <w:textAlignment w:val="auto"/>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三、</w:t>
      </w:r>
      <w:r>
        <w:rPr>
          <w:rFonts w:hint="eastAsia" w:ascii="仿宋" w:hAnsi="仿宋" w:eastAsia="仿宋" w:cs="仿宋"/>
          <w:b/>
          <w:color w:val="auto"/>
          <w:sz w:val="28"/>
          <w:szCs w:val="28"/>
          <w:highlight w:val="none"/>
        </w:rPr>
        <w:t>分项报价表</w:t>
      </w:r>
    </w:p>
    <w:p w14:paraId="2DB5641E">
      <w:pPr>
        <w:keepNext w:val="0"/>
        <w:keepLines w:val="0"/>
        <w:pageBreakBefore w:val="0"/>
        <w:widowControl w:val="0"/>
        <w:kinsoku/>
        <w:wordWrap/>
        <w:overflowPunct/>
        <w:topLinePunct w:val="0"/>
        <w:autoSpaceDE/>
        <w:autoSpaceDN/>
        <w:bidi w:val="0"/>
        <w:adjustRightInd/>
        <w:snapToGrid/>
        <w:spacing w:line="360" w:lineRule="auto"/>
        <w:ind w:right="0" w:firstLine="562" w:firstLineChars="200"/>
        <w:jc w:val="both"/>
        <w:textAlignment w:val="auto"/>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四、投标保证金交纳凭证</w:t>
      </w:r>
    </w:p>
    <w:p w14:paraId="118793F6">
      <w:pPr>
        <w:pStyle w:val="12"/>
        <w:keepNext w:val="0"/>
        <w:keepLines w:val="0"/>
        <w:pageBreakBefore w:val="0"/>
        <w:widowControl w:val="0"/>
        <w:kinsoku/>
        <w:wordWrap/>
        <w:overflowPunct/>
        <w:topLinePunct w:val="0"/>
        <w:autoSpaceDE/>
        <w:autoSpaceDN/>
        <w:bidi w:val="0"/>
        <w:adjustRightInd/>
        <w:snapToGrid/>
        <w:spacing w:line="360" w:lineRule="auto"/>
        <w:ind w:right="0" w:firstLine="562" w:firstLineChars="200"/>
        <w:textAlignment w:val="auto"/>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五、</w:t>
      </w:r>
      <w:r>
        <w:rPr>
          <w:rFonts w:hint="eastAsia" w:ascii="仿宋" w:hAnsi="仿宋" w:eastAsia="仿宋" w:cs="仿宋"/>
          <w:b/>
          <w:color w:val="auto"/>
          <w:sz w:val="28"/>
          <w:szCs w:val="28"/>
          <w:highlight w:val="none"/>
        </w:rPr>
        <w:t>技术</w:t>
      </w:r>
      <w:r>
        <w:rPr>
          <w:rFonts w:hint="eastAsia" w:ascii="仿宋" w:hAnsi="仿宋" w:eastAsia="仿宋" w:cs="仿宋"/>
          <w:b/>
          <w:color w:val="auto"/>
          <w:sz w:val="28"/>
          <w:szCs w:val="28"/>
          <w:highlight w:val="none"/>
          <w:lang w:eastAsia="zh-CN"/>
        </w:rPr>
        <w:t>参数</w:t>
      </w:r>
      <w:r>
        <w:rPr>
          <w:rFonts w:hint="eastAsia" w:ascii="仿宋" w:hAnsi="仿宋" w:eastAsia="仿宋" w:cs="仿宋"/>
          <w:b/>
          <w:color w:val="auto"/>
          <w:sz w:val="28"/>
          <w:szCs w:val="28"/>
          <w:highlight w:val="none"/>
        </w:rPr>
        <w:t>响应偏离表</w:t>
      </w:r>
    </w:p>
    <w:p w14:paraId="1D44F076">
      <w:pPr>
        <w:keepNext w:val="0"/>
        <w:keepLines w:val="0"/>
        <w:pageBreakBefore w:val="0"/>
        <w:widowControl w:val="0"/>
        <w:kinsoku/>
        <w:wordWrap/>
        <w:overflowPunct/>
        <w:topLinePunct w:val="0"/>
        <w:autoSpaceDE/>
        <w:autoSpaceDN/>
        <w:bidi w:val="0"/>
        <w:adjustRightInd/>
        <w:snapToGrid/>
        <w:spacing w:line="360" w:lineRule="auto"/>
        <w:ind w:left="0" w:leftChars="0" w:right="0" w:firstLine="526" w:firstLineChars="187"/>
        <w:jc w:val="both"/>
        <w:textAlignment w:val="auto"/>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六、</w:t>
      </w:r>
      <w:r>
        <w:rPr>
          <w:rFonts w:hint="eastAsia" w:ascii="仿宋" w:hAnsi="仿宋" w:eastAsia="仿宋" w:cs="仿宋"/>
          <w:b/>
          <w:color w:val="auto"/>
          <w:sz w:val="28"/>
          <w:szCs w:val="28"/>
          <w:highlight w:val="none"/>
        </w:rPr>
        <w:t>商务及合同主要条款响应说明</w:t>
      </w:r>
    </w:p>
    <w:p w14:paraId="495ED107">
      <w:pPr>
        <w:pStyle w:val="12"/>
        <w:keepNext w:val="0"/>
        <w:keepLines w:val="0"/>
        <w:pageBreakBefore w:val="0"/>
        <w:widowControl w:val="0"/>
        <w:kinsoku/>
        <w:wordWrap/>
        <w:overflowPunct/>
        <w:topLinePunct w:val="0"/>
        <w:autoSpaceDE/>
        <w:autoSpaceDN/>
        <w:bidi w:val="0"/>
        <w:adjustRightInd/>
        <w:snapToGrid/>
        <w:spacing w:line="360" w:lineRule="auto"/>
        <w:ind w:right="0" w:firstLine="562" w:firstLineChars="200"/>
        <w:textAlignment w:val="auto"/>
        <w:outlineLvl w:val="9"/>
        <w:rPr>
          <w:rFonts w:hint="eastAsia" w:ascii="仿宋" w:hAnsi="仿宋" w:eastAsia="仿宋" w:cs="仿宋"/>
          <w:b/>
          <w:bCs/>
          <w:color w:val="auto"/>
          <w:sz w:val="28"/>
          <w:szCs w:val="28"/>
          <w:highlight w:val="none"/>
        </w:rPr>
      </w:pPr>
      <w:r>
        <w:rPr>
          <w:rFonts w:hint="eastAsia" w:ascii="仿宋" w:hAnsi="仿宋" w:eastAsia="仿宋" w:cs="仿宋"/>
          <w:b/>
          <w:color w:val="auto"/>
          <w:kern w:val="0"/>
          <w:sz w:val="28"/>
          <w:szCs w:val="28"/>
          <w:highlight w:val="none"/>
          <w:lang w:val="en-US" w:eastAsia="zh-CN"/>
        </w:rPr>
        <w:t>七、</w:t>
      </w:r>
      <w:r>
        <w:rPr>
          <w:rFonts w:hint="eastAsia" w:ascii="仿宋" w:hAnsi="仿宋" w:eastAsia="仿宋" w:cs="仿宋"/>
          <w:b/>
          <w:color w:val="auto"/>
          <w:kern w:val="0"/>
          <w:sz w:val="28"/>
          <w:szCs w:val="28"/>
          <w:highlight w:val="none"/>
        </w:rPr>
        <w:t>法定代表人证明书与授权书</w:t>
      </w:r>
    </w:p>
    <w:p w14:paraId="5230895E">
      <w:pPr>
        <w:pStyle w:val="12"/>
        <w:keepNext w:val="0"/>
        <w:keepLines w:val="0"/>
        <w:pageBreakBefore w:val="0"/>
        <w:widowControl w:val="0"/>
        <w:kinsoku/>
        <w:wordWrap/>
        <w:overflowPunct/>
        <w:topLinePunct w:val="0"/>
        <w:autoSpaceDE/>
        <w:autoSpaceDN/>
        <w:bidi w:val="0"/>
        <w:adjustRightInd/>
        <w:snapToGrid/>
        <w:spacing w:line="360" w:lineRule="auto"/>
        <w:ind w:right="0" w:firstLine="562" w:firstLine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rPr>
        <w:t>投标人</w:t>
      </w:r>
      <w:r>
        <w:rPr>
          <w:rFonts w:hint="eastAsia" w:ascii="仿宋" w:hAnsi="仿宋" w:eastAsia="仿宋" w:cs="仿宋"/>
          <w:b/>
          <w:bCs/>
          <w:color w:val="auto"/>
          <w:sz w:val="28"/>
          <w:szCs w:val="28"/>
          <w:highlight w:val="none"/>
          <w:lang w:val="en-US" w:eastAsia="zh-CN"/>
        </w:rPr>
        <w:t>资格证明资料</w:t>
      </w:r>
    </w:p>
    <w:p w14:paraId="7A890963">
      <w:pPr>
        <w:pStyle w:val="12"/>
        <w:keepNext w:val="0"/>
        <w:keepLines w:val="0"/>
        <w:pageBreakBefore w:val="0"/>
        <w:widowControl w:val="0"/>
        <w:kinsoku/>
        <w:wordWrap/>
        <w:overflowPunct/>
        <w:topLinePunct w:val="0"/>
        <w:autoSpaceDE/>
        <w:autoSpaceDN/>
        <w:bidi w:val="0"/>
        <w:adjustRightInd/>
        <w:snapToGrid/>
        <w:spacing w:line="360" w:lineRule="auto"/>
        <w:ind w:right="0" w:firstLine="562" w:firstLineChars="200"/>
        <w:textAlignment w:val="auto"/>
        <w:outlineLvl w:val="9"/>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lang w:val="en-US" w:eastAsia="zh-CN"/>
        </w:rPr>
        <w:t>九、</w:t>
      </w:r>
      <w:r>
        <w:rPr>
          <w:rFonts w:hint="eastAsia" w:ascii="仿宋" w:hAnsi="仿宋" w:eastAsia="仿宋" w:cs="仿宋"/>
          <w:b/>
          <w:color w:val="auto"/>
          <w:sz w:val="28"/>
          <w:szCs w:val="28"/>
          <w:highlight w:val="none"/>
        </w:rPr>
        <w:t>技术方案</w:t>
      </w:r>
    </w:p>
    <w:p w14:paraId="3E5F6DA2">
      <w:pPr>
        <w:pStyle w:val="12"/>
        <w:keepNext w:val="0"/>
        <w:keepLines w:val="0"/>
        <w:pageBreakBefore w:val="0"/>
        <w:widowControl w:val="0"/>
        <w:kinsoku/>
        <w:wordWrap/>
        <w:overflowPunct/>
        <w:topLinePunct w:val="0"/>
        <w:autoSpaceDE/>
        <w:autoSpaceDN/>
        <w:bidi w:val="0"/>
        <w:adjustRightInd/>
        <w:snapToGrid/>
        <w:spacing w:line="360" w:lineRule="auto"/>
        <w:ind w:right="0" w:firstLine="562" w:firstLineChars="200"/>
        <w:textAlignment w:val="auto"/>
        <w:outlineLvl w:val="9"/>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十、</w:t>
      </w:r>
      <w:r>
        <w:rPr>
          <w:rFonts w:hint="eastAsia" w:ascii="仿宋" w:hAnsi="仿宋" w:eastAsia="仿宋" w:cs="仿宋"/>
          <w:b/>
          <w:bCs/>
          <w:color w:val="auto"/>
          <w:sz w:val="28"/>
          <w:szCs w:val="28"/>
          <w:highlight w:val="none"/>
        </w:rPr>
        <w:t>商务</w:t>
      </w:r>
      <w:r>
        <w:rPr>
          <w:rFonts w:hint="eastAsia" w:ascii="仿宋" w:hAnsi="仿宋" w:eastAsia="仿宋" w:cs="仿宋"/>
          <w:b/>
          <w:bCs/>
          <w:color w:val="auto"/>
          <w:sz w:val="28"/>
          <w:szCs w:val="28"/>
          <w:highlight w:val="none"/>
          <w:lang w:val="en-US" w:eastAsia="zh-CN"/>
        </w:rPr>
        <w:t>部分</w:t>
      </w:r>
    </w:p>
    <w:p w14:paraId="2F7986FF">
      <w:pPr>
        <w:pStyle w:val="12"/>
        <w:keepNext w:val="0"/>
        <w:keepLines w:val="0"/>
        <w:pageBreakBefore w:val="0"/>
        <w:widowControl w:val="0"/>
        <w:kinsoku/>
        <w:wordWrap/>
        <w:overflowPunct/>
        <w:topLinePunct w:val="0"/>
        <w:autoSpaceDE/>
        <w:autoSpaceDN/>
        <w:bidi w:val="0"/>
        <w:adjustRightInd/>
        <w:snapToGrid/>
        <w:spacing w:line="360" w:lineRule="auto"/>
        <w:ind w:right="0" w:firstLine="562" w:firstLineChars="200"/>
        <w:textAlignment w:val="auto"/>
        <w:outlineLvl w:val="9"/>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十一、其他资料</w:t>
      </w:r>
    </w:p>
    <w:p w14:paraId="33D142FE">
      <w:pPr>
        <w:pageBreakBefore w:val="0"/>
        <w:bidi w:val="0"/>
        <w:outlineLvl w:val="9"/>
        <w:rPr>
          <w:rFonts w:hint="eastAsia" w:ascii="仿宋" w:hAnsi="仿宋" w:eastAsia="仿宋" w:cs="仿宋"/>
          <w:b/>
          <w:color w:val="auto"/>
          <w:sz w:val="24"/>
          <w:szCs w:val="24"/>
          <w:highlight w:val="none"/>
        </w:rPr>
      </w:pPr>
    </w:p>
    <w:p w14:paraId="328C2CF9">
      <w:pPr>
        <w:pageBreakBefore w:val="0"/>
        <w:bidi w:val="0"/>
        <w:spacing w:line="440" w:lineRule="exact"/>
        <w:jc w:val="center"/>
        <w:outlineLvl w:val="9"/>
        <w:rPr>
          <w:rFonts w:hint="eastAsia" w:ascii="仿宋" w:hAnsi="仿宋" w:eastAsia="仿宋" w:cs="仿宋"/>
          <w:b/>
          <w:color w:val="auto"/>
          <w:sz w:val="24"/>
          <w:szCs w:val="24"/>
          <w:highlight w:val="none"/>
        </w:rPr>
        <w:sectPr>
          <w:pgSz w:w="11906" w:h="16838"/>
          <w:pgMar w:top="1559" w:right="1134" w:bottom="1020" w:left="1321" w:header="851" w:footer="992" w:gutter="0"/>
          <w:pgBorders>
            <w:top w:val="none" w:sz="0" w:space="0"/>
            <w:left w:val="none" w:sz="0" w:space="0"/>
            <w:bottom w:val="none" w:sz="0" w:space="0"/>
            <w:right w:val="none" w:sz="0" w:space="0"/>
          </w:pgBorders>
          <w:pgNumType w:fmt="decimal"/>
          <w:cols w:space="0" w:num="1"/>
          <w:docGrid w:type="lines" w:linePitch="315" w:charSpace="0"/>
        </w:sectPr>
      </w:pPr>
    </w:p>
    <w:p w14:paraId="6A4450A7">
      <w:pPr>
        <w:pageBreakBefore w:val="0"/>
        <w:bidi w:val="0"/>
        <w:spacing w:line="440" w:lineRule="exact"/>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一、</w:t>
      </w:r>
      <w:r>
        <w:rPr>
          <w:rFonts w:hint="eastAsia" w:ascii="仿宋" w:hAnsi="仿宋" w:eastAsia="仿宋" w:cs="仿宋"/>
          <w:b/>
          <w:color w:val="auto"/>
          <w:sz w:val="28"/>
          <w:szCs w:val="28"/>
          <w:highlight w:val="none"/>
        </w:rPr>
        <w:t>投标函</w:t>
      </w:r>
    </w:p>
    <w:p w14:paraId="77A10E36">
      <w:pPr>
        <w:pageBreakBefore w:val="0"/>
        <w:bidi w:val="0"/>
        <w:spacing w:line="440" w:lineRule="exact"/>
        <w:jc w:val="center"/>
        <w:outlineLvl w:val="9"/>
        <w:rPr>
          <w:rFonts w:hint="eastAsia" w:ascii="仿宋" w:hAnsi="仿宋" w:eastAsia="仿宋" w:cs="仿宋"/>
          <w:b/>
          <w:color w:val="auto"/>
          <w:sz w:val="28"/>
          <w:szCs w:val="28"/>
          <w:highlight w:val="none"/>
        </w:rPr>
      </w:pPr>
    </w:p>
    <w:p w14:paraId="6C5FCD63">
      <w:pPr>
        <w:pageBreakBefore w:val="0"/>
        <w:kinsoku w:val="0"/>
        <w:bidi w:val="0"/>
        <w:spacing w:line="44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延安市行政审批服务局</w:t>
      </w:r>
      <w:r>
        <w:rPr>
          <w:rFonts w:hint="eastAsia" w:ascii="仿宋" w:hAnsi="仿宋" w:eastAsia="仿宋" w:cs="仿宋"/>
          <w:color w:val="auto"/>
          <w:sz w:val="28"/>
          <w:szCs w:val="28"/>
          <w:highlight w:val="none"/>
        </w:rPr>
        <w:t>：</w:t>
      </w:r>
    </w:p>
    <w:p w14:paraId="000B653B">
      <w:pPr>
        <w:pageBreakBefore w:val="0"/>
        <w:kinsoku w:val="0"/>
        <w:bidi w:val="0"/>
        <w:spacing w:line="440" w:lineRule="exact"/>
        <w:ind w:firstLine="560" w:firstLineChars="200"/>
        <w:outlineLvl w:val="9"/>
        <w:rPr>
          <w:rFonts w:hint="eastAsia" w:ascii="仿宋" w:hAnsi="仿宋" w:eastAsia="仿宋" w:cs="仿宋"/>
          <w:color w:val="auto"/>
          <w:sz w:val="28"/>
          <w:szCs w:val="28"/>
          <w:highlight w:val="none"/>
        </w:rPr>
      </w:pPr>
    </w:p>
    <w:p w14:paraId="11D08E25">
      <w:pPr>
        <w:pageBreakBefore w:val="0"/>
        <w:kinsoku w:val="0"/>
        <w:bidi w:val="0"/>
        <w:spacing w:line="44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我公司收到</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项目名称</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招标文件，经详细研究，决定参加本次投标活动</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为此，我方郑重声明以下几点，并愿负法律责任。</w:t>
      </w:r>
    </w:p>
    <w:p w14:paraId="5BF7BA4C">
      <w:pPr>
        <w:pageBreakBefore w:val="0"/>
        <w:kinsoku w:val="0"/>
        <w:bidi w:val="0"/>
        <w:spacing w:line="44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1.按照招标文件中的一切要求，提供完全满足采购需求的</w:t>
      </w:r>
      <w:r>
        <w:rPr>
          <w:rFonts w:hint="eastAsia" w:ascii="仿宋" w:hAnsi="仿宋" w:eastAsia="仿宋" w:cs="仿宋"/>
          <w:color w:val="auto"/>
          <w:sz w:val="28"/>
          <w:szCs w:val="28"/>
          <w:highlight w:val="none"/>
          <w:lang w:val="en-US" w:eastAsia="zh-CN"/>
        </w:rPr>
        <w:t>货物</w:t>
      </w:r>
      <w:r>
        <w:rPr>
          <w:rFonts w:hint="eastAsia" w:ascii="仿宋" w:hAnsi="仿宋" w:eastAsia="仿宋" w:cs="仿宋"/>
          <w:color w:val="auto"/>
          <w:sz w:val="28"/>
          <w:szCs w:val="28"/>
          <w:highlight w:val="none"/>
        </w:rPr>
        <w:t>和全面技术、售后服务保障；</w:t>
      </w:r>
    </w:p>
    <w:p w14:paraId="15BE4E2A">
      <w:pPr>
        <w:pageBreakBefore w:val="0"/>
        <w:kinsoku w:val="0"/>
        <w:bidi w:val="0"/>
        <w:spacing w:line="44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2.如若中标，将根据招标文件的要求、投标文件及承诺条件，全面签约并履行合同规定的责任和义务；</w:t>
      </w:r>
    </w:p>
    <w:p w14:paraId="17B00BED">
      <w:pPr>
        <w:pageBreakBefore w:val="0"/>
        <w:bidi w:val="0"/>
        <w:spacing w:line="50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3.我方提交的投标文件共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份，其中正本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份，副本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份，及电子版投标文件（U盘）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份；</w:t>
      </w:r>
    </w:p>
    <w:p w14:paraId="025F77DD">
      <w:pPr>
        <w:pageBreakBefore w:val="0"/>
        <w:kinsoku w:val="0"/>
        <w:bidi w:val="0"/>
        <w:spacing w:line="44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.我方已详细阅读和核实全部招标文件内容，完全理解并同意招标文件</w:t>
      </w:r>
      <w:r>
        <w:rPr>
          <w:rFonts w:hint="eastAsia" w:ascii="仿宋" w:hAnsi="仿宋" w:eastAsia="仿宋" w:cs="仿宋"/>
          <w:color w:val="auto"/>
          <w:sz w:val="28"/>
          <w:szCs w:val="28"/>
          <w:highlight w:val="none"/>
          <w:lang w:val="en-US" w:eastAsia="zh-CN"/>
        </w:rPr>
        <w:t>中规定的所有</w:t>
      </w:r>
      <w:r>
        <w:rPr>
          <w:rFonts w:hint="eastAsia" w:ascii="仿宋" w:hAnsi="仿宋" w:eastAsia="仿宋" w:cs="仿宋"/>
          <w:color w:val="auto"/>
          <w:sz w:val="28"/>
          <w:szCs w:val="28"/>
          <w:highlight w:val="none"/>
        </w:rPr>
        <w:t>内容；</w:t>
      </w:r>
    </w:p>
    <w:p w14:paraId="0A464A5E">
      <w:pPr>
        <w:pageBreakBefore w:val="0"/>
        <w:kinsoku w:val="0"/>
        <w:bidi w:val="0"/>
        <w:spacing w:line="44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.同意提供贵方要求的与本次招标有关的任何证明资料；</w:t>
      </w:r>
    </w:p>
    <w:p w14:paraId="2F7C5CF7">
      <w:pPr>
        <w:pageBreakBefore w:val="0"/>
        <w:kinsoku w:val="0"/>
        <w:bidi w:val="0"/>
        <w:spacing w:line="44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.我方的投标文件在</w:t>
      </w:r>
      <w:r>
        <w:rPr>
          <w:rFonts w:hint="eastAsia" w:ascii="仿宋" w:hAnsi="仿宋" w:eastAsia="仿宋" w:cs="仿宋"/>
          <w:color w:val="auto"/>
          <w:sz w:val="28"/>
          <w:szCs w:val="28"/>
          <w:highlight w:val="none"/>
          <w:lang w:eastAsia="zh-CN"/>
        </w:rPr>
        <w:t>递交投标文件截止之日起</w:t>
      </w:r>
      <w:r>
        <w:rPr>
          <w:rFonts w:hint="eastAsia" w:ascii="仿宋" w:hAnsi="仿宋" w:eastAsia="仿宋" w:cs="仿宋"/>
          <w:color w:val="auto"/>
          <w:sz w:val="28"/>
          <w:szCs w:val="28"/>
          <w:highlight w:val="none"/>
        </w:rPr>
        <w:t>计算有效</w:t>
      </w:r>
      <w:r>
        <w:rPr>
          <w:rFonts w:hint="eastAsia" w:ascii="仿宋" w:hAnsi="仿宋" w:eastAsia="仿宋" w:cs="仿宋"/>
          <w:color w:val="auto"/>
          <w:sz w:val="28"/>
          <w:szCs w:val="28"/>
          <w:highlight w:val="none"/>
          <w:lang w:val="en-US" w:eastAsia="zh-CN"/>
        </w:rPr>
        <w:t>期</w:t>
      </w:r>
      <w:r>
        <w:rPr>
          <w:rFonts w:hint="eastAsia" w:ascii="仿宋" w:hAnsi="仿宋" w:eastAsia="仿宋" w:cs="仿宋"/>
          <w:color w:val="auto"/>
          <w:sz w:val="28"/>
          <w:szCs w:val="28"/>
          <w:highlight w:val="none"/>
        </w:rPr>
        <w:t>为</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lang w:val="en-US" w:eastAsia="zh-CN"/>
        </w:rPr>
        <w:t>日历</w:t>
      </w:r>
      <w:r>
        <w:rPr>
          <w:rFonts w:hint="eastAsia" w:ascii="仿宋" w:hAnsi="仿宋" w:eastAsia="仿宋" w:cs="仿宋"/>
          <w:color w:val="auto"/>
          <w:sz w:val="28"/>
          <w:szCs w:val="28"/>
          <w:highlight w:val="none"/>
        </w:rPr>
        <w:t>天；</w:t>
      </w:r>
    </w:p>
    <w:p w14:paraId="3626A5C3">
      <w:pPr>
        <w:pageBreakBefore w:val="0"/>
        <w:kinsoku w:val="0"/>
        <w:bidi w:val="0"/>
        <w:spacing w:line="44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.所有关于本次投标的函电，请按下列地址、方式联系：</w:t>
      </w:r>
    </w:p>
    <w:p w14:paraId="7BDF4727">
      <w:pPr>
        <w:pageBreakBefore w:val="0"/>
        <w:kinsoku w:val="0"/>
        <w:bidi w:val="0"/>
        <w:spacing w:line="440" w:lineRule="exact"/>
        <w:ind w:firstLine="840"/>
        <w:outlineLvl w:val="9"/>
        <w:rPr>
          <w:rFonts w:hint="eastAsia" w:ascii="仿宋" w:hAnsi="仿宋" w:eastAsia="仿宋" w:cs="仿宋"/>
          <w:color w:val="auto"/>
          <w:sz w:val="28"/>
          <w:szCs w:val="28"/>
          <w:highlight w:val="none"/>
        </w:rPr>
      </w:pPr>
    </w:p>
    <w:p w14:paraId="7AD306CD">
      <w:pPr>
        <w:pageBreakBefore w:val="0"/>
        <w:kinsoku w:val="0"/>
        <w:bidi w:val="0"/>
        <w:spacing w:line="440" w:lineRule="exact"/>
        <w:ind w:firstLine="84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 xml:space="preserve">                        </w:t>
      </w:r>
    </w:p>
    <w:p w14:paraId="1C917778">
      <w:pPr>
        <w:pageBreakBefore w:val="0"/>
        <w:kinsoku w:val="0"/>
        <w:bidi w:val="0"/>
        <w:spacing w:line="440" w:lineRule="exact"/>
        <w:ind w:firstLine="840"/>
        <w:outlineLvl w:val="9"/>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电    话：</w:t>
      </w:r>
      <w:r>
        <w:rPr>
          <w:rFonts w:hint="eastAsia" w:ascii="仿宋" w:hAnsi="仿宋" w:eastAsia="仿宋" w:cs="仿宋"/>
          <w:color w:val="auto"/>
          <w:sz w:val="28"/>
          <w:szCs w:val="28"/>
          <w:highlight w:val="none"/>
          <w:u w:val="single"/>
        </w:rPr>
        <w:t xml:space="preserve">                        </w:t>
      </w:r>
    </w:p>
    <w:p w14:paraId="16079BD7">
      <w:pPr>
        <w:pageBreakBefore w:val="0"/>
        <w:kinsoku w:val="0"/>
        <w:bidi w:val="0"/>
        <w:spacing w:line="440" w:lineRule="exact"/>
        <w:ind w:firstLine="840"/>
        <w:outlineLvl w:val="9"/>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传    真：</w:t>
      </w:r>
      <w:r>
        <w:rPr>
          <w:rFonts w:hint="eastAsia" w:ascii="仿宋" w:hAnsi="仿宋" w:eastAsia="仿宋" w:cs="仿宋"/>
          <w:color w:val="auto"/>
          <w:sz w:val="28"/>
          <w:szCs w:val="28"/>
          <w:highlight w:val="none"/>
          <w:u w:val="single"/>
        </w:rPr>
        <w:t xml:space="preserve">                        </w:t>
      </w:r>
    </w:p>
    <w:p w14:paraId="446A2436">
      <w:pPr>
        <w:pageBreakBefore w:val="0"/>
        <w:kinsoku w:val="0"/>
        <w:bidi w:val="0"/>
        <w:spacing w:line="440" w:lineRule="exact"/>
        <w:ind w:firstLine="840"/>
        <w:outlineLvl w:val="9"/>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邮    编：</w:t>
      </w:r>
      <w:r>
        <w:rPr>
          <w:rFonts w:hint="eastAsia" w:ascii="仿宋" w:hAnsi="仿宋" w:eastAsia="仿宋" w:cs="仿宋"/>
          <w:color w:val="auto"/>
          <w:sz w:val="28"/>
          <w:szCs w:val="28"/>
          <w:highlight w:val="none"/>
          <w:u w:val="single"/>
        </w:rPr>
        <w:t xml:space="preserve">                        </w:t>
      </w:r>
    </w:p>
    <w:p w14:paraId="7BA009B6">
      <w:pPr>
        <w:pageBreakBefore w:val="0"/>
        <w:kinsoku w:val="0"/>
        <w:bidi w:val="0"/>
        <w:spacing w:line="440" w:lineRule="exact"/>
        <w:ind w:firstLine="570"/>
        <w:outlineLvl w:val="9"/>
        <w:rPr>
          <w:rFonts w:hint="eastAsia" w:ascii="仿宋" w:hAnsi="仿宋" w:eastAsia="仿宋" w:cs="仿宋"/>
          <w:color w:val="auto"/>
          <w:sz w:val="28"/>
          <w:szCs w:val="28"/>
          <w:highlight w:val="none"/>
        </w:rPr>
      </w:pPr>
    </w:p>
    <w:p w14:paraId="0AB06501">
      <w:pPr>
        <w:pageBreakBefore w:val="0"/>
        <w:kinsoku w:val="0"/>
        <w:bidi w:val="0"/>
        <w:spacing w:line="440" w:lineRule="exact"/>
        <w:ind w:firstLine="943" w:firstLineChars="337"/>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（公章）</w:t>
      </w:r>
    </w:p>
    <w:p w14:paraId="57D7308F">
      <w:pPr>
        <w:pageBreakBefore w:val="0"/>
        <w:kinsoku w:val="0"/>
        <w:bidi w:val="0"/>
        <w:spacing w:line="440" w:lineRule="exact"/>
        <w:ind w:firstLine="570"/>
        <w:outlineLvl w:val="9"/>
        <w:rPr>
          <w:rFonts w:hint="eastAsia" w:ascii="仿宋" w:hAnsi="仿宋" w:eastAsia="仿宋" w:cs="仿宋"/>
          <w:color w:val="auto"/>
          <w:sz w:val="28"/>
          <w:szCs w:val="28"/>
          <w:highlight w:val="none"/>
        </w:rPr>
      </w:pPr>
    </w:p>
    <w:p w14:paraId="0F91A10C">
      <w:pPr>
        <w:pageBreakBefore w:val="0"/>
        <w:kinsoku w:val="0"/>
        <w:bidi w:val="0"/>
        <w:spacing w:line="440" w:lineRule="exact"/>
        <w:ind w:firstLine="943" w:firstLineChars="337"/>
        <w:outlineLvl w:val="9"/>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法定代表人/被授权人（签字或盖章）：</w:t>
      </w:r>
      <w:r>
        <w:rPr>
          <w:rFonts w:hint="eastAsia" w:ascii="仿宋" w:hAnsi="仿宋" w:eastAsia="仿宋" w:cs="仿宋"/>
          <w:color w:val="auto"/>
          <w:sz w:val="28"/>
          <w:szCs w:val="28"/>
          <w:highlight w:val="none"/>
          <w:u w:val="single"/>
        </w:rPr>
        <w:t xml:space="preserve">                </w:t>
      </w:r>
    </w:p>
    <w:p w14:paraId="225B4201">
      <w:pPr>
        <w:pageBreakBefore w:val="0"/>
        <w:kinsoku w:val="0"/>
        <w:bidi w:val="0"/>
        <w:spacing w:line="440" w:lineRule="exact"/>
        <w:outlineLvl w:val="9"/>
        <w:rPr>
          <w:rFonts w:hint="eastAsia" w:ascii="仿宋" w:hAnsi="仿宋" w:eastAsia="仿宋" w:cs="仿宋"/>
          <w:color w:val="auto"/>
          <w:sz w:val="28"/>
          <w:szCs w:val="28"/>
          <w:highlight w:val="none"/>
          <w:u w:val="single"/>
        </w:rPr>
      </w:pPr>
    </w:p>
    <w:p w14:paraId="5EEA25E0">
      <w:pPr>
        <w:pageBreakBefore w:val="0"/>
        <w:kinsoku w:val="0"/>
        <w:bidi w:val="0"/>
        <w:spacing w:line="440" w:lineRule="exact"/>
        <w:ind w:firstLine="57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05132D79">
      <w:pPr>
        <w:pageBreakBefore w:val="0"/>
        <w:bidi w:val="0"/>
        <w:spacing w:line="360" w:lineRule="atLeast"/>
        <w:outlineLvl w:val="9"/>
        <w:rPr>
          <w:rFonts w:hint="eastAsia" w:ascii="仿宋" w:hAnsi="仿宋" w:eastAsia="仿宋" w:cs="仿宋"/>
          <w:color w:val="auto"/>
          <w:sz w:val="28"/>
          <w:szCs w:val="28"/>
          <w:highlight w:val="none"/>
        </w:rPr>
        <w:sectPr>
          <w:pgSz w:w="11906" w:h="16838"/>
          <w:pgMar w:top="1559" w:right="1134" w:bottom="1020" w:left="1321" w:header="851" w:footer="992" w:gutter="0"/>
          <w:pgBorders>
            <w:top w:val="none" w:sz="0" w:space="0"/>
            <w:left w:val="none" w:sz="0" w:space="0"/>
            <w:bottom w:val="none" w:sz="0" w:space="0"/>
            <w:right w:val="none" w:sz="0" w:space="0"/>
          </w:pgBorders>
          <w:pgNumType w:fmt="decimal"/>
          <w:cols w:space="0" w:num="1"/>
          <w:docGrid w:type="lines" w:linePitch="315" w:charSpace="0"/>
        </w:sectPr>
      </w:pPr>
    </w:p>
    <w:p w14:paraId="2F46881E">
      <w:pPr>
        <w:pageBreakBefore w:val="0"/>
        <w:bidi w:val="0"/>
        <w:spacing w:line="360" w:lineRule="atLeast"/>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二、</w:t>
      </w:r>
      <w:r>
        <w:rPr>
          <w:rFonts w:hint="eastAsia" w:ascii="仿宋" w:hAnsi="仿宋" w:eastAsia="仿宋" w:cs="仿宋"/>
          <w:b/>
          <w:color w:val="auto"/>
          <w:sz w:val="28"/>
          <w:szCs w:val="28"/>
          <w:highlight w:val="none"/>
        </w:rPr>
        <w:t>开标一览表</w:t>
      </w:r>
    </w:p>
    <w:p w14:paraId="0425203B">
      <w:pPr>
        <w:pageBreakBefore w:val="0"/>
        <w:kinsoku w:val="0"/>
        <w:bidi w:val="0"/>
        <w:spacing w:line="500" w:lineRule="exact"/>
        <w:outlineLvl w:val="9"/>
        <w:rPr>
          <w:rFonts w:hint="eastAsia" w:ascii="仿宋" w:hAnsi="仿宋" w:eastAsia="仿宋" w:cs="仿宋"/>
          <w:color w:val="auto"/>
          <w:sz w:val="28"/>
          <w:szCs w:val="28"/>
          <w:highlight w:val="none"/>
        </w:rPr>
      </w:pPr>
    </w:p>
    <w:p w14:paraId="33F5F23A">
      <w:pPr>
        <w:pageBreakBefore w:val="0"/>
        <w:kinsoku w:val="0"/>
        <w:bidi w:val="0"/>
        <w:spacing w:line="500" w:lineRule="exact"/>
        <w:ind w:firstLine="140" w:firstLineChars="5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1410A60D">
      <w:pPr>
        <w:pageBreakBefore w:val="0"/>
        <w:kinsoku w:val="0"/>
        <w:bidi w:val="0"/>
        <w:spacing w:line="500" w:lineRule="exact"/>
        <w:ind w:firstLine="140" w:firstLineChars="50"/>
        <w:outlineLvl w:val="9"/>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u w:val="single"/>
        </w:rPr>
        <w:t xml:space="preserve">                                      </w:t>
      </w:r>
    </w:p>
    <w:p w14:paraId="54DFDF6D">
      <w:pPr>
        <w:pageBreakBefore w:val="0"/>
        <w:kinsoku w:val="0"/>
        <w:bidi w:val="0"/>
        <w:spacing w:line="500" w:lineRule="exact"/>
        <w:ind w:firstLine="140" w:firstLineChars="50"/>
        <w:jc w:val="righ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tbl>
      <w:tblPr>
        <w:tblStyle w:val="24"/>
        <w:tblW w:w="9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3"/>
        <w:gridCol w:w="2505"/>
        <w:gridCol w:w="1975"/>
        <w:gridCol w:w="1548"/>
        <w:gridCol w:w="1292"/>
      </w:tblGrid>
      <w:tr w14:paraId="66557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7" w:hRule="atLeast"/>
          <w:jc w:val="center"/>
        </w:trPr>
        <w:tc>
          <w:tcPr>
            <w:tcW w:w="2643" w:type="dxa"/>
            <w:tcBorders>
              <w:tl2br w:val="single" w:color="auto" w:sz="4" w:space="0"/>
            </w:tcBorders>
          </w:tcPr>
          <w:p w14:paraId="7DDEB8CB">
            <w:pPr>
              <w:pageBreakBefore w:val="0"/>
              <w:kinsoku w:val="0"/>
              <w:bidi w:val="0"/>
              <w:spacing w:line="500" w:lineRule="exact"/>
              <w:ind w:firstLine="1400" w:firstLineChars="5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报价内容</w:t>
            </w:r>
          </w:p>
          <w:p w14:paraId="7CF5A555">
            <w:pPr>
              <w:pageBreakBefore w:val="0"/>
              <w:kinsoku w:val="0"/>
              <w:bidi w:val="0"/>
              <w:spacing w:line="500" w:lineRule="exact"/>
              <w:outlineLvl w:val="9"/>
              <w:rPr>
                <w:rFonts w:hint="eastAsia" w:ascii="仿宋" w:hAnsi="仿宋" w:eastAsia="仿宋" w:cs="仿宋"/>
                <w:color w:val="auto"/>
                <w:sz w:val="28"/>
                <w:szCs w:val="28"/>
                <w:highlight w:val="none"/>
              </w:rPr>
            </w:pPr>
          </w:p>
          <w:p w14:paraId="1A85FF2A">
            <w:pPr>
              <w:pageBreakBefore w:val="0"/>
              <w:kinsoku w:val="0"/>
              <w:bidi w:val="0"/>
              <w:spacing w:line="500" w:lineRule="exac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供应商名称</w:t>
            </w:r>
          </w:p>
        </w:tc>
        <w:tc>
          <w:tcPr>
            <w:tcW w:w="2505" w:type="dxa"/>
            <w:vAlign w:val="center"/>
          </w:tcPr>
          <w:p w14:paraId="17EF99A8">
            <w:pPr>
              <w:pageBreakBefore w:val="0"/>
              <w:kinsoku w:val="0"/>
              <w:bidi w:val="0"/>
              <w:spacing w:line="500" w:lineRule="exact"/>
              <w:jc w:val="center"/>
              <w:outlineLvl w:val="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投标总</w:t>
            </w:r>
            <w:r>
              <w:rPr>
                <w:rFonts w:hint="eastAsia" w:ascii="仿宋" w:hAnsi="仿宋" w:eastAsia="仿宋" w:cs="仿宋"/>
                <w:color w:val="auto"/>
                <w:sz w:val="28"/>
                <w:szCs w:val="28"/>
                <w:highlight w:val="none"/>
              </w:rPr>
              <w:t>报价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元</w:t>
            </w:r>
            <w:r>
              <w:rPr>
                <w:rFonts w:hint="eastAsia" w:ascii="仿宋" w:hAnsi="仿宋" w:eastAsia="仿宋" w:cs="仿宋"/>
                <w:color w:val="auto"/>
                <w:sz w:val="28"/>
                <w:szCs w:val="28"/>
                <w:highlight w:val="none"/>
                <w:lang w:eastAsia="zh-CN"/>
              </w:rPr>
              <w:t>）</w:t>
            </w:r>
          </w:p>
        </w:tc>
        <w:tc>
          <w:tcPr>
            <w:tcW w:w="1975" w:type="dxa"/>
            <w:vAlign w:val="center"/>
          </w:tcPr>
          <w:p w14:paraId="2FFD46D7">
            <w:pPr>
              <w:pageBreakBefore w:val="0"/>
              <w:kinsoku w:val="0"/>
              <w:bidi w:val="0"/>
              <w:spacing w:line="50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交货</w:t>
            </w:r>
            <w:r>
              <w:rPr>
                <w:rFonts w:hint="eastAsia" w:ascii="仿宋" w:hAnsi="仿宋" w:eastAsia="仿宋" w:cs="仿宋"/>
                <w:color w:val="auto"/>
                <w:sz w:val="28"/>
                <w:szCs w:val="28"/>
                <w:highlight w:val="none"/>
              </w:rPr>
              <w:t>期</w:t>
            </w:r>
          </w:p>
        </w:tc>
        <w:tc>
          <w:tcPr>
            <w:tcW w:w="1548" w:type="dxa"/>
            <w:vAlign w:val="center"/>
          </w:tcPr>
          <w:p w14:paraId="1235EDDA">
            <w:pPr>
              <w:pageBreakBefore w:val="0"/>
              <w:kinsoku w:val="0"/>
              <w:bidi w:val="0"/>
              <w:spacing w:line="500" w:lineRule="exact"/>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质保期</w:t>
            </w:r>
          </w:p>
        </w:tc>
        <w:tc>
          <w:tcPr>
            <w:tcW w:w="1292" w:type="dxa"/>
            <w:vAlign w:val="center"/>
          </w:tcPr>
          <w:p w14:paraId="24D83EE1">
            <w:pPr>
              <w:pageBreakBefore w:val="0"/>
              <w:kinsoku w:val="0"/>
              <w:bidi w:val="0"/>
              <w:spacing w:line="500" w:lineRule="exact"/>
              <w:jc w:val="center"/>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质量标准</w:t>
            </w:r>
          </w:p>
        </w:tc>
      </w:tr>
      <w:tr w14:paraId="14BBC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 w:hRule="atLeast"/>
          <w:jc w:val="center"/>
        </w:trPr>
        <w:tc>
          <w:tcPr>
            <w:tcW w:w="2643" w:type="dxa"/>
            <w:vAlign w:val="center"/>
          </w:tcPr>
          <w:p w14:paraId="4814ABF6">
            <w:pPr>
              <w:pageBreakBefore w:val="0"/>
              <w:kinsoku w:val="0"/>
              <w:bidi w:val="0"/>
              <w:spacing w:line="500" w:lineRule="exact"/>
              <w:jc w:val="center"/>
              <w:outlineLvl w:val="9"/>
              <w:rPr>
                <w:rFonts w:hint="eastAsia" w:ascii="仿宋" w:hAnsi="仿宋" w:eastAsia="仿宋" w:cs="仿宋"/>
                <w:color w:val="auto"/>
                <w:sz w:val="28"/>
                <w:szCs w:val="28"/>
                <w:highlight w:val="none"/>
              </w:rPr>
            </w:pPr>
          </w:p>
        </w:tc>
        <w:tc>
          <w:tcPr>
            <w:tcW w:w="2505" w:type="dxa"/>
            <w:vAlign w:val="center"/>
          </w:tcPr>
          <w:p w14:paraId="49A9F8C5">
            <w:pPr>
              <w:pageBreakBefore w:val="0"/>
              <w:kinsoku w:val="0"/>
              <w:bidi w:val="0"/>
              <w:spacing w:line="500" w:lineRule="exact"/>
              <w:jc w:val="center"/>
              <w:outlineLvl w:val="9"/>
              <w:rPr>
                <w:rFonts w:hint="eastAsia" w:ascii="仿宋" w:hAnsi="仿宋" w:eastAsia="仿宋" w:cs="仿宋"/>
                <w:color w:val="auto"/>
                <w:sz w:val="28"/>
                <w:szCs w:val="28"/>
                <w:highlight w:val="none"/>
              </w:rPr>
            </w:pPr>
          </w:p>
        </w:tc>
        <w:tc>
          <w:tcPr>
            <w:tcW w:w="1975" w:type="dxa"/>
            <w:vAlign w:val="center"/>
          </w:tcPr>
          <w:p w14:paraId="1C54EF18">
            <w:pPr>
              <w:pageBreakBefore w:val="0"/>
              <w:kinsoku w:val="0"/>
              <w:bidi w:val="0"/>
              <w:spacing w:line="500" w:lineRule="exact"/>
              <w:jc w:val="center"/>
              <w:outlineLvl w:val="9"/>
              <w:rPr>
                <w:rFonts w:hint="eastAsia" w:ascii="仿宋" w:hAnsi="仿宋" w:eastAsia="仿宋" w:cs="仿宋"/>
                <w:color w:val="auto"/>
                <w:sz w:val="28"/>
                <w:szCs w:val="28"/>
                <w:highlight w:val="none"/>
              </w:rPr>
            </w:pPr>
          </w:p>
        </w:tc>
        <w:tc>
          <w:tcPr>
            <w:tcW w:w="1548" w:type="dxa"/>
            <w:vAlign w:val="center"/>
          </w:tcPr>
          <w:p w14:paraId="52ADFA36">
            <w:pPr>
              <w:pageBreakBefore w:val="0"/>
              <w:kinsoku w:val="0"/>
              <w:bidi w:val="0"/>
              <w:spacing w:line="500" w:lineRule="exact"/>
              <w:jc w:val="center"/>
              <w:outlineLvl w:val="9"/>
              <w:rPr>
                <w:rFonts w:hint="eastAsia" w:ascii="仿宋" w:hAnsi="仿宋" w:eastAsia="仿宋" w:cs="仿宋"/>
                <w:color w:val="auto"/>
                <w:sz w:val="28"/>
                <w:szCs w:val="28"/>
                <w:highlight w:val="none"/>
                <w:lang w:val="en-US" w:eastAsia="zh-CN"/>
              </w:rPr>
            </w:pPr>
          </w:p>
        </w:tc>
        <w:tc>
          <w:tcPr>
            <w:tcW w:w="1292" w:type="dxa"/>
            <w:vAlign w:val="center"/>
          </w:tcPr>
          <w:p w14:paraId="1D337233">
            <w:pPr>
              <w:pageBreakBefore w:val="0"/>
              <w:kinsoku w:val="0"/>
              <w:bidi w:val="0"/>
              <w:spacing w:line="500" w:lineRule="exact"/>
              <w:jc w:val="center"/>
              <w:outlineLvl w:val="9"/>
              <w:rPr>
                <w:rFonts w:hint="eastAsia" w:ascii="仿宋" w:hAnsi="仿宋" w:eastAsia="仿宋" w:cs="仿宋"/>
                <w:color w:val="auto"/>
                <w:sz w:val="28"/>
                <w:szCs w:val="28"/>
                <w:highlight w:val="none"/>
              </w:rPr>
            </w:pPr>
          </w:p>
        </w:tc>
      </w:tr>
    </w:tbl>
    <w:p w14:paraId="1FAA1711">
      <w:pPr>
        <w:pageBreakBefore w:val="0"/>
        <w:kinsoku w:val="0"/>
        <w:bidi w:val="0"/>
        <w:spacing w:line="500" w:lineRule="exac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注：报价包含完成本项目的所有费用。</w:t>
      </w:r>
    </w:p>
    <w:p w14:paraId="02E7DCAF">
      <w:pPr>
        <w:pageBreakBefore w:val="0"/>
        <w:kinsoku w:val="0"/>
        <w:bidi w:val="0"/>
        <w:spacing w:line="500" w:lineRule="exact"/>
        <w:outlineLvl w:val="9"/>
        <w:rPr>
          <w:rFonts w:hint="eastAsia" w:ascii="仿宋" w:hAnsi="仿宋" w:eastAsia="仿宋" w:cs="仿宋"/>
          <w:color w:val="auto"/>
          <w:sz w:val="28"/>
          <w:szCs w:val="28"/>
          <w:highlight w:val="none"/>
        </w:rPr>
      </w:pPr>
    </w:p>
    <w:p w14:paraId="4A290B8B">
      <w:pPr>
        <w:pageBreakBefore w:val="0"/>
        <w:kinsoku w:val="0"/>
        <w:bidi w:val="0"/>
        <w:spacing w:line="500" w:lineRule="exact"/>
        <w:ind w:firstLine="3640" w:firstLineChars="13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投标人（公章）：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3EA1E7AB">
      <w:pPr>
        <w:pageBreakBefore w:val="0"/>
        <w:kinsoku w:val="0"/>
        <w:bidi w:val="0"/>
        <w:spacing w:line="500" w:lineRule="exact"/>
        <w:ind w:firstLine="3640" w:firstLineChars="1300"/>
        <w:outlineLvl w:val="9"/>
        <w:rPr>
          <w:rFonts w:hint="eastAsia" w:ascii="仿宋" w:hAnsi="仿宋" w:eastAsia="仿宋" w:cs="仿宋"/>
          <w:color w:val="auto"/>
          <w:sz w:val="28"/>
          <w:szCs w:val="28"/>
          <w:highlight w:val="none"/>
          <w:u w:val="none"/>
          <w:lang w:val="en-US" w:eastAsia="zh-CN"/>
        </w:rPr>
        <w:sectPr>
          <w:pgSz w:w="11906" w:h="16838"/>
          <w:pgMar w:top="1440" w:right="1588" w:bottom="1440" w:left="1588" w:header="851" w:footer="992" w:gutter="0"/>
          <w:pgNumType w:fmt="decimal"/>
          <w:cols w:space="720" w:num="1"/>
          <w:docGrid w:linePitch="312" w:charSpace="0"/>
        </w:sect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none"/>
          <w:lang w:val="en-US" w:eastAsia="zh-CN"/>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none"/>
          <w:lang w:val="en-US" w:eastAsia="zh-CN"/>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none"/>
          <w:lang w:val="en-US" w:eastAsia="zh-CN"/>
        </w:rPr>
        <w:t>日</w:t>
      </w:r>
    </w:p>
    <w:p w14:paraId="59A1735E">
      <w:pPr>
        <w:pStyle w:val="12"/>
        <w:pageBreakBefore w:val="0"/>
        <w:bidi w:val="0"/>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三、</w:t>
      </w:r>
      <w:r>
        <w:rPr>
          <w:rFonts w:hint="eastAsia" w:ascii="仿宋" w:hAnsi="仿宋" w:eastAsia="仿宋" w:cs="仿宋"/>
          <w:b/>
          <w:color w:val="auto"/>
          <w:sz w:val="28"/>
          <w:szCs w:val="28"/>
          <w:highlight w:val="none"/>
        </w:rPr>
        <w:t>分项报价表</w:t>
      </w:r>
    </w:p>
    <w:p w14:paraId="6D5B684C">
      <w:pPr>
        <w:pageBreakBefore w:val="0"/>
        <w:kinsoku w:val="0"/>
        <w:bidi w:val="0"/>
        <w:spacing w:line="50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7BFA2384">
      <w:pPr>
        <w:pageBreakBefore w:val="0"/>
        <w:kinsoku w:val="0"/>
        <w:bidi w:val="0"/>
        <w:spacing w:line="50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u w:val="single"/>
        </w:rPr>
        <w:t xml:space="preserve">                                      </w:t>
      </w:r>
    </w:p>
    <w:p w14:paraId="4CF5E4F4">
      <w:pPr>
        <w:pageBreakBefore w:val="0"/>
        <w:kinsoku w:val="0"/>
        <w:bidi w:val="0"/>
        <w:spacing w:line="50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tbl>
      <w:tblPr>
        <w:tblStyle w:val="24"/>
        <w:tblW w:w="9776" w:type="dxa"/>
        <w:tblInd w:w="93" w:type="dxa"/>
        <w:tblLayout w:type="fixed"/>
        <w:tblCellMar>
          <w:top w:w="0" w:type="dxa"/>
          <w:left w:w="108" w:type="dxa"/>
          <w:bottom w:w="0" w:type="dxa"/>
          <w:right w:w="108" w:type="dxa"/>
        </w:tblCellMar>
      </w:tblPr>
      <w:tblGrid>
        <w:gridCol w:w="4813"/>
        <w:gridCol w:w="4963"/>
      </w:tblGrid>
      <w:tr w14:paraId="3F146675">
        <w:tblPrEx>
          <w:tblCellMar>
            <w:top w:w="0" w:type="dxa"/>
            <w:left w:w="108" w:type="dxa"/>
            <w:bottom w:w="0" w:type="dxa"/>
            <w:right w:w="108" w:type="dxa"/>
          </w:tblCellMar>
        </w:tblPrEx>
        <w:trPr>
          <w:trHeight w:val="615" w:hRule="atLeast"/>
        </w:trPr>
        <w:tc>
          <w:tcPr>
            <w:tcW w:w="9776" w:type="dxa"/>
            <w:gridSpan w:val="2"/>
            <w:tcBorders>
              <w:top w:val="single" w:color="000000" w:sz="4" w:space="0"/>
              <w:left w:val="single" w:color="000000" w:sz="4" w:space="0"/>
              <w:bottom w:val="single" w:color="000000" w:sz="4" w:space="0"/>
              <w:right w:val="single" w:color="000000" w:sz="4" w:space="0"/>
            </w:tcBorders>
            <w:noWrap/>
            <w:vAlign w:val="center"/>
          </w:tcPr>
          <w:p w14:paraId="16199AEE">
            <w:pPr>
              <w:widowControl/>
              <w:jc w:val="center"/>
              <w:textAlignment w:val="center"/>
              <w:rPr>
                <w:rFonts w:hint="eastAsia" w:ascii="仿宋" w:hAnsi="仿宋" w:eastAsia="仿宋" w:cs="仿宋"/>
                <w:b/>
                <w:bCs/>
                <w:color w:val="auto"/>
                <w:kern w:val="0"/>
                <w:sz w:val="28"/>
                <w:szCs w:val="28"/>
                <w:highlight w:val="none"/>
                <w:lang w:val="en-US" w:eastAsia="zh-CN" w:bidi="ar"/>
              </w:rPr>
            </w:pPr>
            <w:r>
              <w:rPr>
                <w:rFonts w:hint="eastAsia" w:ascii="仿宋" w:hAnsi="仿宋" w:eastAsia="仿宋" w:cs="仿宋"/>
                <w:b/>
                <w:bCs/>
                <w:color w:val="auto"/>
                <w:kern w:val="0"/>
                <w:sz w:val="28"/>
                <w:szCs w:val="28"/>
                <w:highlight w:val="none"/>
                <w:lang w:val="en-US" w:eastAsia="zh-CN" w:bidi="ar"/>
              </w:rPr>
              <w:t>延安市行政审批服务局延安市政务服务城市频道建设及运营（大厅硬件设备改造项目）</w:t>
            </w:r>
          </w:p>
          <w:p w14:paraId="2F9AFB78">
            <w:pPr>
              <w:widowControl/>
              <w:jc w:val="center"/>
              <w:textAlignment w:val="center"/>
              <w:rPr>
                <w:rFonts w:hint="eastAsia" w:ascii="仿宋" w:hAnsi="仿宋" w:eastAsia="仿宋" w:cs="仿宋"/>
                <w:b/>
                <w:bCs/>
                <w:color w:val="auto"/>
                <w:sz w:val="28"/>
                <w:szCs w:val="28"/>
                <w:highlight w:val="none"/>
              </w:rPr>
            </w:pPr>
            <w:r>
              <w:rPr>
                <w:rFonts w:hint="eastAsia" w:ascii="仿宋" w:hAnsi="仿宋" w:eastAsia="仿宋" w:cs="仿宋"/>
                <w:b/>
                <w:bCs/>
                <w:color w:val="auto"/>
                <w:kern w:val="0"/>
                <w:sz w:val="28"/>
                <w:szCs w:val="28"/>
                <w:highlight w:val="none"/>
                <w:lang w:val="en-US" w:eastAsia="zh-CN" w:bidi="ar"/>
              </w:rPr>
              <w:t>报价</w:t>
            </w:r>
            <w:r>
              <w:rPr>
                <w:rFonts w:hint="eastAsia" w:ascii="仿宋" w:hAnsi="仿宋" w:eastAsia="仿宋" w:cs="仿宋"/>
                <w:b/>
                <w:bCs/>
                <w:color w:val="auto"/>
                <w:kern w:val="0"/>
                <w:sz w:val="28"/>
                <w:szCs w:val="28"/>
                <w:highlight w:val="none"/>
                <w:lang w:bidi="ar"/>
              </w:rPr>
              <w:t>汇总表</w:t>
            </w:r>
          </w:p>
        </w:tc>
      </w:tr>
      <w:tr w14:paraId="3DDD2BEC">
        <w:tblPrEx>
          <w:tblCellMar>
            <w:top w:w="0" w:type="dxa"/>
            <w:left w:w="108" w:type="dxa"/>
            <w:bottom w:w="0" w:type="dxa"/>
            <w:right w:w="108" w:type="dxa"/>
          </w:tblCellMar>
        </w:tblPrEx>
        <w:trPr>
          <w:trHeight w:val="640" w:hRule="atLeast"/>
        </w:trPr>
        <w:tc>
          <w:tcPr>
            <w:tcW w:w="4813" w:type="dxa"/>
            <w:tcBorders>
              <w:top w:val="single" w:color="000000" w:sz="4" w:space="0"/>
              <w:left w:val="single" w:color="000000" w:sz="4" w:space="0"/>
              <w:bottom w:val="single" w:color="000000" w:sz="4" w:space="0"/>
              <w:right w:val="single" w:color="000000" w:sz="4" w:space="0"/>
            </w:tcBorders>
            <w:noWrap/>
            <w:vAlign w:val="center"/>
          </w:tcPr>
          <w:p w14:paraId="6DED64ED">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项目名称</w:t>
            </w:r>
          </w:p>
        </w:tc>
        <w:tc>
          <w:tcPr>
            <w:tcW w:w="4963" w:type="dxa"/>
            <w:tcBorders>
              <w:top w:val="single" w:color="000000" w:sz="4" w:space="0"/>
              <w:left w:val="single" w:color="000000" w:sz="4" w:space="0"/>
              <w:bottom w:val="single" w:color="000000" w:sz="4" w:space="0"/>
              <w:right w:val="single" w:color="000000" w:sz="4" w:space="0"/>
            </w:tcBorders>
            <w:noWrap/>
            <w:vAlign w:val="center"/>
          </w:tcPr>
          <w:p w14:paraId="7298E0AE">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val="en-US" w:eastAsia="zh-CN" w:bidi="ar"/>
              </w:rPr>
              <w:t>投标报价</w:t>
            </w:r>
            <w:r>
              <w:rPr>
                <w:rFonts w:hint="eastAsia" w:ascii="仿宋" w:hAnsi="仿宋" w:eastAsia="仿宋" w:cs="仿宋"/>
                <w:color w:val="auto"/>
                <w:kern w:val="0"/>
                <w:sz w:val="28"/>
                <w:szCs w:val="28"/>
                <w:highlight w:val="none"/>
                <w:lang w:bidi="ar"/>
              </w:rPr>
              <w:t>（元）</w:t>
            </w:r>
          </w:p>
        </w:tc>
      </w:tr>
      <w:tr w14:paraId="74B876E1">
        <w:tblPrEx>
          <w:tblCellMar>
            <w:top w:w="0" w:type="dxa"/>
            <w:left w:w="108" w:type="dxa"/>
            <w:bottom w:w="0" w:type="dxa"/>
            <w:right w:w="108" w:type="dxa"/>
          </w:tblCellMar>
        </w:tblPrEx>
        <w:trPr>
          <w:trHeight w:val="640" w:hRule="atLeast"/>
        </w:trPr>
        <w:tc>
          <w:tcPr>
            <w:tcW w:w="4813" w:type="dxa"/>
            <w:tcBorders>
              <w:top w:val="single" w:color="000000" w:sz="4" w:space="0"/>
              <w:left w:val="single" w:color="000000" w:sz="4" w:space="0"/>
              <w:bottom w:val="single" w:color="000000" w:sz="4" w:space="0"/>
              <w:right w:val="single" w:color="000000" w:sz="4" w:space="0"/>
            </w:tcBorders>
            <w:noWrap/>
            <w:vAlign w:val="center"/>
          </w:tcPr>
          <w:p w14:paraId="079BED24">
            <w:pPr>
              <w:widowControl/>
              <w:jc w:val="center"/>
              <w:textAlignment w:val="center"/>
              <w:rPr>
                <w:rFonts w:hint="eastAsia" w:ascii="仿宋" w:hAnsi="仿宋" w:eastAsia="仿宋" w:cs="仿宋"/>
                <w:color w:val="auto"/>
                <w:kern w:val="0"/>
                <w:sz w:val="28"/>
                <w:szCs w:val="28"/>
                <w:highlight w:val="none"/>
                <w:lang w:bidi="ar"/>
              </w:rPr>
            </w:pPr>
            <w:r>
              <w:rPr>
                <w:rFonts w:hint="eastAsia" w:ascii="仿宋" w:hAnsi="仿宋" w:eastAsia="仿宋" w:cs="仿宋"/>
                <w:color w:val="auto"/>
                <w:kern w:val="0"/>
                <w:sz w:val="28"/>
                <w:szCs w:val="28"/>
                <w:highlight w:val="none"/>
                <w:lang w:val="en-US" w:eastAsia="zh-CN" w:bidi="ar"/>
              </w:rPr>
              <w:t>政务服务大厅设施设备（大屏）智能化升级改造工程</w:t>
            </w:r>
          </w:p>
        </w:tc>
        <w:tc>
          <w:tcPr>
            <w:tcW w:w="4963" w:type="dxa"/>
            <w:tcBorders>
              <w:top w:val="single" w:color="000000" w:sz="4" w:space="0"/>
              <w:left w:val="single" w:color="000000" w:sz="4" w:space="0"/>
              <w:bottom w:val="single" w:color="000000" w:sz="4" w:space="0"/>
              <w:right w:val="single" w:color="000000" w:sz="4" w:space="0"/>
            </w:tcBorders>
            <w:noWrap/>
            <w:vAlign w:val="center"/>
          </w:tcPr>
          <w:p w14:paraId="6E147114">
            <w:pPr>
              <w:widowControl/>
              <w:jc w:val="center"/>
              <w:textAlignment w:val="center"/>
              <w:rPr>
                <w:rFonts w:hint="eastAsia" w:ascii="仿宋" w:hAnsi="仿宋" w:eastAsia="仿宋" w:cs="仿宋"/>
                <w:color w:val="auto"/>
                <w:sz w:val="28"/>
                <w:szCs w:val="28"/>
                <w:highlight w:val="none"/>
              </w:rPr>
            </w:pPr>
          </w:p>
        </w:tc>
      </w:tr>
      <w:tr w14:paraId="7FFFF98F">
        <w:tblPrEx>
          <w:tblCellMar>
            <w:top w:w="0" w:type="dxa"/>
            <w:left w:w="108" w:type="dxa"/>
            <w:bottom w:w="0" w:type="dxa"/>
            <w:right w:w="108" w:type="dxa"/>
          </w:tblCellMar>
        </w:tblPrEx>
        <w:trPr>
          <w:trHeight w:val="640" w:hRule="atLeast"/>
        </w:trPr>
        <w:tc>
          <w:tcPr>
            <w:tcW w:w="4813" w:type="dxa"/>
            <w:tcBorders>
              <w:top w:val="single" w:color="000000" w:sz="4" w:space="0"/>
              <w:left w:val="single" w:color="000000" w:sz="4" w:space="0"/>
              <w:bottom w:val="single" w:color="000000" w:sz="4" w:space="0"/>
              <w:right w:val="single" w:color="000000" w:sz="4" w:space="0"/>
            </w:tcBorders>
            <w:noWrap/>
            <w:vAlign w:val="center"/>
          </w:tcPr>
          <w:p w14:paraId="4A997275">
            <w:pPr>
              <w:widowControl/>
              <w:jc w:val="center"/>
              <w:textAlignment w:val="center"/>
              <w:rPr>
                <w:rFonts w:hint="eastAsia" w:ascii="仿宋" w:hAnsi="仿宋" w:eastAsia="仿宋" w:cs="仿宋"/>
                <w:color w:val="auto"/>
                <w:kern w:val="0"/>
                <w:sz w:val="28"/>
                <w:szCs w:val="28"/>
                <w:highlight w:val="none"/>
                <w:lang w:bidi="ar"/>
              </w:rPr>
            </w:pPr>
            <w:r>
              <w:rPr>
                <w:rFonts w:hint="eastAsia" w:ascii="仿宋" w:hAnsi="仿宋" w:eastAsia="仿宋" w:cs="仿宋"/>
                <w:color w:val="auto"/>
                <w:kern w:val="0"/>
                <w:sz w:val="28"/>
                <w:szCs w:val="28"/>
                <w:highlight w:val="none"/>
                <w:lang w:val="en-US" w:eastAsia="zh-CN" w:bidi="ar"/>
              </w:rPr>
              <w:t>智慧叫号设施设备及系统整体升级改造工程</w:t>
            </w:r>
          </w:p>
        </w:tc>
        <w:tc>
          <w:tcPr>
            <w:tcW w:w="4963" w:type="dxa"/>
            <w:tcBorders>
              <w:top w:val="single" w:color="000000" w:sz="4" w:space="0"/>
              <w:left w:val="single" w:color="000000" w:sz="4" w:space="0"/>
              <w:bottom w:val="single" w:color="000000" w:sz="4" w:space="0"/>
              <w:right w:val="single" w:color="000000" w:sz="4" w:space="0"/>
            </w:tcBorders>
            <w:noWrap/>
            <w:vAlign w:val="center"/>
          </w:tcPr>
          <w:p w14:paraId="2C373F2E">
            <w:pPr>
              <w:widowControl/>
              <w:jc w:val="center"/>
              <w:textAlignment w:val="center"/>
              <w:rPr>
                <w:rFonts w:hint="eastAsia" w:ascii="仿宋" w:hAnsi="仿宋" w:eastAsia="仿宋" w:cs="仿宋"/>
                <w:color w:val="auto"/>
                <w:sz w:val="28"/>
                <w:szCs w:val="28"/>
                <w:highlight w:val="none"/>
              </w:rPr>
            </w:pPr>
          </w:p>
        </w:tc>
      </w:tr>
      <w:tr w14:paraId="438EA637">
        <w:tblPrEx>
          <w:tblCellMar>
            <w:top w:w="0" w:type="dxa"/>
            <w:left w:w="108" w:type="dxa"/>
            <w:bottom w:w="0" w:type="dxa"/>
            <w:right w:w="108" w:type="dxa"/>
          </w:tblCellMar>
        </w:tblPrEx>
        <w:trPr>
          <w:trHeight w:val="640" w:hRule="atLeast"/>
        </w:trPr>
        <w:tc>
          <w:tcPr>
            <w:tcW w:w="4813" w:type="dxa"/>
            <w:tcBorders>
              <w:top w:val="single" w:color="000000" w:sz="4" w:space="0"/>
              <w:left w:val="single" w:color="000000" w:sz="4" w:space="0"/>
              <w:bottom w:val="single" w:color="000000" w:sz="4" w:space="0"/>
              <w:right w:val="single" w:color="000000" w:sz="4" w:space="0"/>
            </w:tcBorders>
            <w:noWrap/>
            <w:vAlign w:val="center"/>
          </w:tcPr>
          <w:p w14:paraId="706D30F9">
            <w:pPr>
              <w:widowControl/>
              <w:jc w:val="center"/>
              <w:textAlignment w:val="center"/>
              <w:rPr>
                <w:rFonts w:hint="eastAsia" w:ascii="仿宋" w:hAnsi="仿宋" w:eastAsia="仿宋" w:cs="仿宋"/>
                <w:color w:val="auto"/>
                <w:kern w:val="0"/>
                <w:sz w:val="28"/>
                <w:szCs w:val="28"/>
                <w:highlight w:val="none"/>
                <w:lang w:bidi="ar"/>
              </w:rPr>
            </w:pPr>
            <w:r>
              <w:rPr>
                <w:rFonts w:hint="eastAsia" w:ascii="仿宋" w:hAnsi="仿宋" w:eastAsia="仿宋" w:cs="仿宋"/>
                <w:color w:val="auto"/>
                <w:kern w:val="0"/>
                <w:sz w:val="28"/>
                <w:szCs w:val="28"/>
                <w:highlight w:val="none"/>
                <w:lang w:val="en-US" w:eastAsia="zh-CN" w:bidi="ar"/>
              </w:rPr>
              <w:t>原有设施拆除及场地恢复工程</w:t>
            </w:r>
          </w:p>
        </w:tc>
        <w:tc>
          <w:tcPr>
            <w:tcW w:w="4963" w:type="dxa"/>
            <w:tcBorders>
              <w:top w:val="single" w:color="000000" w:sz="4" w:space="0"/>
              <w:left w:val="single" w:color="000000" w:sz="4" w:space="0"/>
              <w:bottom w:val="single" w:color="000000" w:sz="4" w:space="0"/>
              <w:right w:val="single" w:color="000000" w:sz="4" w:space="0"/>
            </w:tcBorders>
            <w:noWrap/>
            <w:vAlign w:val="center"/>
          </w:tcPr>
          <w:p w14:paraId="2219A068">
            <w:pPr>
              <w:widowControl/>
              <w:jc w:val="center"/>
              <w:textAlignment w:val="center"/>
              <w:rPr>
                <w:rFonts w:hint="eastAsia" w:ascii="仿宋" w:hAnsi="仿宋" w:eastAsia="仿宋" w:cs="仿宋"/>
                <w:color w:val="auto"/>
                <w:sz w:val="28"/>
                <w:szCs w:val="28"/>
                <w:highlight w:val="none"/>
              </w:rPr>
            </w:pPr>
          </w:p>
        </w:tc>
      </w:tr>
      <w:tr w14:paraId="719CCB50">
        <w:tblPrEx>
          <w:tblCellMar>
            <w:top w:w="0" w:type="dxa"/>
            <w:left w:w="108" w:type="dxa"/>
            <w:bottom w:w="0" w:type="dxa"/>
            <w:right w:w="108" w:type="dxa"/>
          </w:tblCellMar>
        </w:tblPrEx>
        <w:trPr>
          <w:trHeight w:val="640" w:hRule="atLeast"/>
        </w:trPr>
        <w:tc>
          <w:tcPr>
            <w:tcW w:w="4813" w:type="dxa"/>
            <w:tcBorders>
              <w:top w:val="single" w:color="000000" w:sz="4" w:space="0"/>
              <w:left w:val="single" w:color="000000" w:sz="4" w:space="0"/>
              <w:bottom w:val="single" w:color="000000" w:sz="4" w:space="0"/>
              <w:right w:val="single" w:color="000000" w:sz="4" w:space="0"/>
            </w:tcBorders>
            <w:noWrap/>
            <w:vAlign w:val="center"/>
          </w:tcPr>
          <w:p w14:paraId="4146DCD9">
            <w:pPr>
              <w:widowControl/>
              <w:jc w:val="center"/>
              <w:textAlignment w:val="center"/>
              <w:rPr>
                <w:rFonts w:hint="eastAsia" w:ascii="仿宋" w:hAnsi="仿宋" w:eastAsia="仿宋" w:cs="仿宋"/>
                <w:color w:val="auto"/>
                <w:kern w:val="0"/>
                <w:sz w:val="28"/>
                <w:szCs w:val="28"/>
                <w:highlight w:val="none"/>
                <w:lang w:bidi="ar"/>
              </w:rPr>
            </w:pPr>
            <w:r>
              <w:rPr>
                <w:rFonts w:hint="eastAsia" w:ascii="仿宋" w:hAnsi="仿宋" w:eastAsia="仿宋" w:cs="仿宋"/>
                <w:color w:val="auto"/>
                <w:kern w:val="0"/>
                <w:sz w:val="28"/>
                <w:szCs w:val="28"/>
                <w:highlight w:val="none"/>
                <w:lang w:val="en-US" w:eastAsia="zh-CN" w:bidi="ar"/>
              </w:rPr>
              <w:t>档案室配套设施建设工程</w:t>
            </w:r>
          </w:p>
        </w:tc>
        <w:tc>
          <w:tcPr>
            <w:tcW w:w="4963" w:type="dxa"/>
            <w:tcBorders>
              <w:top w:val="single" w:color="000000" w:sz="4" w:space="0"/>
              <w:left w:val="single" w:color="000000" w:sz="4" w:space="0"/>
              <w:bottom w:val="single" w:color="000000" w:sz="4" w:space="0"/>
              <w:right w:val="single" w:color="000000" w:sz="4" w:space="0"/>
            </w:tcBorders>
            <w:noWrap/>
            <w:vAlign w:val="center"/>
          </w:tcPr>
          <w:p w14:paraId="29F439A0">
            <w:pPr>
              <w:widowControl/>
              <w:jc w:val="center"/>
              <w:textAlignment w:val="center"/>
              <w:rPr>
                <w:rFonts w:hint="eastAsia" w:ascii="仿宋" w:hAnsi="仿宋" w:eastAsia="仿宋" w:cs="仿宋"/>
                <w:color w:val="auto"/>
                <w:sz w:val="28"/>
                <w:szCs w:val="28"/>
                <w:highlight w:val="none"/>
              </w:rPr>
            </w:pPr>
          </w:p>
        </w:tc>
      </w:tr>
      <w:tr w14:paraId="3C40E173">
        <w:tblPrEx>
          <w:tblCellMar>
            <w:top w:w="0" w:type="dxa"/>
            <w:left w:w="108" w:type="dxa"/>
            <w:bottom w:w="0" w:type="dxa"/>
            <w:right w:w="108" w:type="dxa"/>
          </w:tblCellMar>
        </w:tblPrEx>
        <w:trPr>
          <w:trHeight w:val="640" w:hRule="atLeast"/>
        </w:trPr>
        <w:tc>
          <w:tcPr>
            <w:tcW w:w="4813" w:type="dxa"/>
            <w:tcBorders>
              <w:top w:val="single" w:color="000000" w:sz="4" w:space="0"/>
              <w:left w:val="single" w:color="000000" w:sz="4" w:space="0"/>
              <w:bottom w:val="single" w:color="000000" w:sz="4" w:space="0"/>
              <w:right w:val="single" w:color="000000" w:sz="4" w:space="0"/>
            </w:tcBorders>
            <w:noWrap/>
            <w:vAlign w:val="center"/>
          </w:tcPr>
          <w:p w14:paraId="2F3BCD56">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bidi="ar"/>
              </w:rPr>
              <w:t>合计</w:t>
            </w:r>
          </w:p>
        </w:tc>
        <w:tc>
          <w:tcPr>
            <w:tcW w:w="4963" w:type="dxa"/>
            <w:tcBorders>
              <w:top w:val="single" w:color="000000" w:sz="4" w:space="0"/>
              <w:left w:val="single" w:color="000000" w:sz="4" w:space="0"/>
              <w:bottom w:val="single" w:color="000000" w:sz="4" w:space="0"/>
              <w:right w:val="single" w:color="000000" w:sz="4" w:space="0"/>
            </w:tcBorders>
            <w:noWrap/>
            <w:vAlign w:val="center"/>
          </w:tcPr>
          <w:p w14:paraId="53DDF222">
            <w:pPr>
              <w:widowControl/>
              <w:jc w:val="center"/>
              <w:textAlignment w:val="center"/>
              <w:rPr>
                <w:rFonts w:hint="eastAsia" w:ascii="仿宋" w:hAnsi="仿宋" w:eastAsia="仿宋" w:cs="仿宋"/>
                <w:color w:val="auto"/>
                <w:sz w:val="28"/>
                <w:szCs w:val="28"/>
                <w:highlight w:val="none"/>
              </w:rPr>
            </w:pPr>
          </w:p>
        </w:tc>
      </w:tr>
    </w:tbl>
    <w:p w14:paraId="22933C2D">
      <w:pPr>
        <w:spacing w:line="360" w:lineRule="auto"/>
        <w:jc w:val="center"/>
        <w:rPr>
          <w:rFonts w:hint="eastAsia" w:ascii="仿宋" w:hAnsi="仿宋" w:eastAsia="仿宋" w:cs="仿宋"/>
          <w:b/>
          <w:bCs/>
          <w:color w:val="auto"/>
          <w:sz w:val="28"/>
          <w:szCs w:val="28"/>
          <w:highlight w:val="none"/>
        </w:rPr>
        <w:sectPr>
          <w:pgSz w:w="16838" w:h="11906" w:orient="landscape"/>
          <w:pgMar w:top="1588" w:right="1440" w:bottom="1588" w:left="1440" w:header="851" w:footer="992" w:gutter="0"/>
          <w:pgNumType w:fmt="decimal"/>
          <w:cols w:space="720" w:num="1"/>
          <w:docGrid w:linePitch="312" w:charSpace="0"/>
        </w:sectPr>
      </w:pPr>
    </w:p>
    <w:p w14:paraId="0DFD2BFC">
      <w:pPr>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报价明细表（</w:t>
      </w:r>
      <w:r>
        <w:rPr>
          <w:rFonts w:hint="eastAsia" w:ascii="仿宋" w:hAnsi="仿宋" w:eastAsia="仿宋" w:cs="仿宋"/>
          <w:b/>
          <w:bCs/>
          <w:color w:val="auto"/>
          <w:sz w:val="28"/>
          <w:szCs w:val="28"/>
          <w:highlight w:val="none"/>
          <w:u w:val="single"/>
        </w:rPr>
        <w:t>例如:</w:t>
      </w:r>
      <w:r>
        <w:rPr>
          <w:rFonts w:hint="eastAsia" w:ascii="仿宋" w:hAnsi="仿宋" w:eastAsia="仿宋" w:cs="仿宋"/>
          <w:b/>
          <w:bCs/>
          <w:color w:val="auto"/>
          <w:sz w:val="28"/>
          <w:szCs w:val="28"/>
          <w:highlight w:val="none"/>
          <w:u w:val="single"/>
          <w:lang w:val="en-US" w:eastAsia="zh-CN"/>
        </w:rPr>
        <w:t>政务服务大厅设施设备（大屏）智能化升级改造工程</w:t>
      </w:r>
      <w:r>
        <w:rPr>
          <w:rFonts w:hint="eastAsia" w:ascii="仿宋" w:hAnsi="仿宋" w:eastAsia="仿宋" w:cs="仿宋"/>
          <w:b/>
          <w:bCs/>
          <w:color w:val="auto"/>
          <w:sz w:val="28"/>
          <w:szCs w:val="28"/>
          <w:highlight w:val="none"/>
        </w:rPr>
        <w:t>）</w:t>
      </w:r>
    </w:p>
    <w:tbl>
      <w:tblPr>
        <w:tblStyle w:val="24"/>
        <w:tblW w:w="14158" w:type="dxa"/>
        <w:tblInd w:w="-46" w:type="dxa"/>
        <w:tblLayout w:type="fixed"/>
        <w:tblCellMar>
          <w:top w:w="0" w:type="dxa"/>
          <w:left w:w="108" w:type="dxa"/>
          <w:bottom w:w="0" w:type="dxa"/>
          <w:right w:w="108" w:type="dxa"/>
        </w:tblCellMar>
      </w:tblPr>
      <w:tblGrid>
        <w:gridCol w:w="507"/>
        <w:gridCol w:w="1677"/>
        <w:gridCol w:w="4508"/>
        <w:gridCol w:w="1366"/>
        <w:gridCol w:w="1034"/>
        <w:gridCol w:w="1050"/>
        <w:gridCol w:w="1183"/>
        <w:gridCol w:w="1202"/>
        <w:gridCol w:w="720"/>
        <w:gridCol w:w="911"/>
      </w:tblGrid>
      <w:tr w14:paraId="2BC9D98C">
        <w:tblPrEx>
          <w:tblCellMar>
            <w:top w:w="0" w:type="dxa"/>
            <w:left w:w="108" w:type="dxa"/>
            <w:bottom w:w="0" w:type="dxa"/>
            <w:right w:w="108" w:type="dxa"/>
          </w:tblCellMar>
        </w:tblPrEx>
        <w:trPr>
          <w:trHeight w:val="509" w:hRule="atLeast"/>
        </w:trPr>
        <w:tc>
          <w:tcPr>
            <w:tcW w:w="507" w:type="dxa"/>
            <w:tcBorders>
              <w:top w:val="single" w:color="000000" w:sz="4" w:space="0"/>
              <w:left w:val="single" w:color="000000" w:sz="4" w:space="0"/>
              <w:bottom w:val="single" w:color="000000" w:sz="4" w:space="0"/>
              <w:right w:val="single" w:color="000000" w:sz="4" w:space="0"/>
            </w:tcBorders>
            <w:noWrap w:val="0"/>
            <w:vAlign w:val="center"/>
          </w:tcPr>
          <w:p w14:paraId="7382396C">
            <w:pPr>
              <w:widowControl/>
              <w:jc w:val="center"/>
              <w:textAlignment w:val="center"/>
              <w:rPr>
                <w:rFonts w:hint="eastAsia" w:ascii="仿宋" w:hAnsi="仿宋" w:eastAsia="仿宋" w:cs="仿宋"/>
                <w:b/>
                <w:bCs/>
                <w:color w:val="auto"/>
                <w:sz w:val="28"/>
                <w:szCs w:val="28"/>
                <w:highlight w:val="none"/>
              </w:rPr>
            </w:pPr>
            <w:r>
              <w:rPr>
                <w:rFonts w:hint="eastAsia" w:ascii="仿宋" w:hAnsi="仿宋" w:eastAsia="仿宋" w:cs="仿宋"/>
                <w:b/>
                <w:bCs/>
                <w:color w:val="auto"/>
                <w:kern w:val="0"/>
                <w:sz w:val="28"/>
                <w:szCs w:val="28"/>
                <w:highlight w:val="none"/>
                <w:lang w:bidi="ar"/>
              </w:rPr>
              <w:t>序号</w:t>
            </w:r>
          </w:p>
        </w:tc>
        <w:tc>
          <w:tcPr>
            <w:tcW w:w="1677" w:type="dxa"/>
            <w:tcBorders>
              <w:top w:val="single" w:color="000000" w:sz="4" w:space="0"/>
              <w:left w:val="single" w:color="000000" w:sz="4" w:space="0"/>
              <w:bottom w:val="single" w:color="000000" w:sz="4" w:space="0"/>
              <w:right w:val="single" w:color="000000" w:sz="4" w:space="0"/>
            </w:tcBorders>
            <w:noWrap w:val="0"/>
            <w:vAlign w:val="center"/>
          </w:tcPr>
          <w:p w14:paraId="7689CF5A">
            <w:pPr>
              <w:widowControl/>
              <w:jc w:val="center"/>
              <w:textAlignment w:val="center"/>
              <w:rPr>
                <w:rFonts w:hint="eastAsia" w:ascii="仿宋" w:hAnsi="仿宋" w:eastAsia="仿宋" w:cs="仿宋"/>
                <w:b/>
                <w:bCs/>
                <w:color w:val="auto"/>
                <w:sz w:val="28"/>
                <w:szCs w:val="28"/>
                <w:highlight w:val="none"/>
              </w:rPr>
            </w:pPr>
            <w:r>
              <w:rPr>
                <w:rFonts w:hint="eastAsia" w:ascii="仿宋" w:hAnsi="仿宋" w:eastAsia="仿宋" w:cs="仿宋"/>
                <w:b/>
                <w:bCs/>
                <w:color w:val="auto"/>
                <w:kern w:val="0"/>
                <w:sz w:val="28"/>
                <w:szCs w:val="28"/>
                <w:highlight w:val="none"/>
                <w:lang w:bidi="ar"/>
              </w:rPr>
              <w:t>产品名称</w:t>
            </w:r>
          </w:p>
        </w:tc>
        <w:tc>
          <w:tcPr>
            <w:tcW w:w="4508" w:type="dxa"/>
            <w:tcBorders>
              <w:top w:val="single" w:color="000000" w:sz="4" w:space="0"/>
              <w:left w:val="single" w:color="000000" w:sz="4" w:space="0"/>
              <w:bottom w:val="single" w:color="000000" w:sz="4" w:space="0"/>
              <w:right w:val="single" w:color="000000" w:sz="4" w:space="0"/>
            </w:tcBorders>
            <w:noWrap w:val="0"/>
            <w:vAlign w:val="center"/>
          </w:tcPr>
          <w:p w14:paraId="1EB143C7">
            <w:pPr>
              <w:widowControl/>
              <w:ind w:left="611" w:leftChars="200" w:hanging="191" w:hangingChars="68"/>
              <w:jc w:val="center"/>
              <w:textAlignment w:val="center"/>
              <w:rPr>
                <w:rFonts w:hint="eastAsia" w:ascii="仿宋" w:hAnsi="仿宋" w:eastAsia="仿宋" w:cs="仿宋"/>
                <w:b/>
                <w:bCs/>
                <w:color w:val="auto"/>
                <w:sz w:val="28"/>
                <w:szCs w:val="28"/>
                <w:highlight w:val="none"/>
              </w:rPr>
            </w:pPr>
            <w:r>
              <w:rPr>
                <w:rFonts w:hint="eastAsia" w:ascii="仿宋" w:hAnsi="仿宋" w:eastAsia="仿宋" w:cs="仿宋"/>
                <w:b/>
                <w:bCs/>
                <w:color w:val="auto"/>
                <w:kern w:val="0"/>
                <w:sz w:val="28"/>
                <w:szCs w:val="28"/>
                <w:highlight w:val="none"/>
                <w:lang w:bidi="ar"/>
              </w:rPr>
              <w:t>型号</w:t>
            </w:r>
          </w:p>
        </w:tc>
        <w:tc>
          <w:tcPr>
            <w:tcW w:w="1366" w:type="dxa"/>
            <w:tcBorders>
              <w:top w:val="single" w:color="000000" w:sz="4" w:space="0"/>
              <w:left w:val="single" w:color="000000" w:sz="4" w:space="0"/>
              <w:bottom w:val="single" w:color="000000" w:sz="4" w:space="0"/>
              <w:right w:val="single" w:color="000000" w:sz="4" w:space="0"/>
            </w:tcBorders>
            <w:noWrap w:val="0"/>
            <w:vAlign w:val="center"/>
          </w:tcPr>
          <w:p w14:paraId="1314949E">
            <w:pPr>
              <w:widowControl/>
              <w:jc w:val="center"/>
              <w:textAlignment w:val="center"/>
              <w:rPr>
                <w:rFonts w:hint="eastAsia" w:ascii="仿宋" w:hAnsi="仿宋" w:eastAsia="仿宋" w:cs="仿宋"/>
                <w:b/>
                <w:bCs/>
                <w:color w:val="auto"/>
                <w:sz w:val="28"/>
                <w:szCs w:val="28"/>
                <w:highlight w:val="none"/>
              </w:rPr>
            </w:pPr>
            <w:r>
              <w:rPr>
                <w:rFonts w:hint="eastAsia" w:ascii="仿宋" w:hAnsi="仿宋" w:eastAsia="仿宋" w:cs="仿宋"/>
                <w:b/>
                <w:bCs/>
                <w:color w:val="auto"/>
                <w:kern w:val="0"/>
                <w:sz w:val="28"/>
                <w:szCs w:val="28"/>
                <w:highlight w:val="none"/>
                <w:lang w:bidi="ar"/>
              </w:rPr>
              <w:t>数量</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6DFF536">
            <w:pPr>
              <w:widowControl/>
              <w:jc w:val="center"/>
              <w:textAlignment w:val="center"/>
              <w:rPr>
                <w:rFonts w:hint="eastAsia" w:ascii="仿宋" w:hAnsi="仿宋" w:eastAsia="仿宋" w:cs="仿宋"/>
                <w:b/>
                <w:bCs/>
                <w:color w:val="auto"/>
                <w:sz w:val="28"/>
                <w:szCs w:val="28"/>
                <w:highlight w:val="none"/>
              </w:rPr>
            </w:pPr>
            <w:r>
              <w:rPr>
                <w:rFonts w:hint="eastAsia" w:ascii="仿宋" w:hAnsi="仿宋" w:eastAsia="仿宋" w:cs="仿宋"/>
                <w:b/>
                <w:bCs/>
                <w:color w:val="auto"/>
                <w:kern w:val="0"/>
                <w:sz w:val="28"/>
                <w:szCs w:val="28"/>
                <w:highlight w:val="none"/>
                <w:lang w:bidi="ar"/>
              </w:rPr>
              <w:t>单位</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38F6C7A8">
            <w:pPr>
              <w:widowControl/>
              <w:jc w:val="center"/>
              <w:textAlignment w:val="center"/>
              <w:rPr>
                <w:rFonts w:hint="eastAsia" w:ascii="仿宋" w:hAnsi="仿宋" w:eastAsia="仿宋" w:cs="仿宋"/>
                <w:b/>
                <w:bCs/>
                <w:color w:val="auto"/>
                <w:sz w:val="28"/>
                <w:szCs w:val="28"/>
                <w:highlight w:val="none"/>
              </w:rPr>
            </w:pPr>
            <w:r>
              <w:rPr>
                <w:rFonts w:hint="eastAsia" w:ascii="仿宋" w:hAnsi="仿宋" w:eastAsia="仿宋" w:cs="仿宋"/>
                <w:b/>
                <w:bCs/>
                <w:color w:val="auto"/>
                <w:kern w:val="0"/>
                <w:sz w:val="28"/>
                <w:szCs w:val="28"/>
                <w:highlight w:val="none"/>
                <w:lang w:bidi="ar"/>
              </w:rPr>
              <w:t>单价（元）</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1D7FAC54">
            <w:pPr>
              <w:widowControl/>
              <w:jc w:val="center"/>
              <w:textAlignment w:val="center"/>
              <w:rPr>
                <w:rFonts w:hint="eastAsia" w:ascii="仿宋" w:hAnsi="仿宋" w:eastAsia="仿宋" w:cs="仿宋"/>
                <w:b/>
                <w:bCs/>
                <w:color w:val="auto"/>
                <w:sz w:val="28"/>
                <w:szCs w:val="28"/>
                <w:highlight w:val="none"/>
              </w:rPr>
            </w:pPr>
            <w:r>
              <w:rPr>
                <w:rFonts w:hint="eastAsia" w:ascii="仿宋" w:hAnsi="仿宋" w:eastAsia="仿宋" w:cs="仿宋"/>
                <w:b/>
                <w:bCs/>
                <w:color w:val="auto"/>
                <w:kern w:val="0"/>
                <w:sz w:val="28"/>
                <w:szCs w:val="28"/>
                <w:highlight w:val="none"/>
                <w:lang w:bidi="ar"/>
              </w:rPr>
              <w:t>总价（元）</w:t>
            </w:r>
          </w:p>
        </w:tc>
        <w:tc>
          <w:tcPr>
            <w:tcW w:w="1202" w:type="dxa"/>
            <w:tcBorders>
              <w:top w:val="single" w:color="000000" w:sz="4" w:space="0"/>
              <w:left w:val="single" w:color="auto" w:sz="4" w:space="0"/>
              <w:bottom w:val="single" w:color="000000" w:sz="4" w:space="0"/>
              <w:right w:val="single" w:color="auto" w:sz="4" w:space="0"/>
            </w:tcBorders>
            <w:noWrap w:val="0"/>
            <w:vAlign w:val="center"/>
          </w:tcPr>
          <w:p w14:paraId="64FEDCDF">
            <w:pPr>
              <w:widowControl/>
              <w:jc w:val="center"/>
              <w:textAlignment w:val="center"/>
              <w:rPr>
                <w:rFonts w:hint="eastAsia" w:ascii="仿宋" w:hAnsi="仿宋" w:eastAsia="仿宋" w:cs="仿宋"/>
                <w:b/>
                <w:bCs/>
                <w:color w:val="auto"/>
                <w:kern w:val="0"/>
                <w:sz w:val="28"/>
                <w:szCs w:val="28"/>
                <w:highlight w:val="none"/>
                <w:lang w:bidi="ar"/>
              </w:rPr>
            </w:pPr>
            <w:r>
              <w:rPr>
                <w:rFonts w:hint="eastAsia" w:ascii="仿宋" w:hAnsi="仿宋" w:eastAsia="仿宋" w:cs="仿宋"/>
                <w:b/>
                <w:bCs/>
                <w:color w:val="auto"/>
                <w:kern w:val="0"/>
                <w:sz w:val="28"/>
                <w:szCs w:val="28"/>
                <w:highlight w:val="none"/>
                <w:lang w:bidi="ar"/>
              </w:rPr>
              <w:t>品牌（如有）</w:t>
            </w:r>
          </w:p>
        </w:tc>
        <w:tc>
          <w:tcPr>
            <w:tcW w:w="720" w:type="dxa"/>
            <w:tcBorders>
              <w:top w:val="single" w:color="000000" w:sz="4" w:space="0"/>
              <w:left w:val="single" w:color="auto" w:sz="4" w:space="0"/>
              <w:bottom w:val="single" w:color="000000" w:sz="4" w:space="0"/>
              <w:right w:val="single" w:color="auto" w:sz="4" w:space="0"/>
            </w:tcBorders>
            <w:noWrap w:val="0"/>
            <w:vAlign w:val="center"/>
          </w:tcPr>
          <w:p w14:paraId="45F95FD9">
            <w:pPr>
              <w:widowControl/>
              <w:jc w:val="center"/>
              <w:textAlignment w:val="center"/>
              <w:rPr>
                <w:rFonts w:hint="eastAsia" w:ascii="仿宋" w:hAnsi="仿宋" w:eastAsia="仿宋" w:cs="仿宋"/>
                <w:b/>
                <w:bCs/>
                <w:color w:val="auto"/>
                <w:kern w:val="0"/>
                <w:sz w:val="28"/>
                <w:szCs w:val="28"/>
                <w:highlight w:val="none"/>
                <w:lang w:bidi="ar"/>
              </w:rPr>
            </w:pPr>
            <w:r>
              <w:rPr>
                <w:rFonts w:hint="eastAsia" w:ascii="仿宋" w:hAnsi="仿宋" w:eastAsia="仿宋" w:cs="仿宋"/>
                <w:b/>
                <w:bCs/>
                <w:color w:val="auto"/>
                <w:kern w:val="0"/>
                <w:sz w:val="28"/>
                <w:szCs w:val="28"/>
                <w:highlight w:val="none"/>
                <w:lang w:bidi="ar"/>
              </w:rPr>
              <w:t>厂家</w:t>
            </w:r>
          </w:p>
        </w:tc>
        <w:tc>
          <w:tcPr>
            <w:tcW w:w="911" w:type="dxa"/>
            <w:tcBorders>
              <w:top w:val="single" w:color="000000" w:sz="4" w:space="0"/>
              <w:left w:val="single" w:color="auto" w:sz="4" w:space="0"/>
              <w:bottom w:val="single" w:color="000000" w:sz="4" w:space="0"/>
              <w:right w:val="single" w:color="000000" w:sz="4" w:space="0"/>
            </w:tcBorders>
            <w:noWrap w:val="0"/>
            <w:vAlign w:val="center"/>
          </w:tcPr>
          <w:p w14:paraId="7E9CD835">
            <w:pPr>
              <w:widowControl/>
              <w:jc w:val="center"/>
              <w:textAlignment w:val="center"/>
              <w:rPr>
                <w:rFonts w:hint="eastAsia" w:ascii="仿宋" w:hAnsi="仿宋" w:eastAsia="仿宋" w:cs="仿宋"/>
                <w:b/>
                <w:bCs/>
                <w:color w:val="auto"/>
                <w:kern w:val="0"/>
                <w:sz w:val="28"/>
                <w:szCs w:val="28"/>
                <w:highlight w:val="none"/>
                <w:lang w:bidi="ar"/>
              </w:rPr>
            </w:pPr>
            <w:r>
              <w:rPr>
                <w:rFonts w:hint="eastAsia" w:ascii="仿宋" w:hAnsi="仿宋" w:eastAsia="仿宋" w:cs="仿宋"/>
                <w:b/>
                <w:bCs/>
                <w:color w:val="auto"/>
                <w:kern w:val="0"/>
                <w:sz w:val="28"/>
                <w:szCs w:val="28"/>
                <w:highlight w:val="none"/>
                <w:lang w:bidi="ar"/>
              </w:rPr>
              <w:t>备注</w:t>
            </w:r>
          </w:p>
        </w:tc>
      </w:tr>
      <w:tr w14:paraId="1EC868C9">
        <w:tblPrEx>
          <w:tblCellMar>
            <w:top w:w="0" w:type="dxa"/>
            <w:left w:w="108" w:type="dxa"/>
            <w:bottom w:w="0" w:type="dxa"/>
            <w:right w:w="108" w:type="dxa"/>
          </w:tblCellMar>
        </w:tblPrEx>
        <w:trPr>
          <w:trHeight w:val="567"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87A033">
            <w:pPr>
              <w:widowControl/>
              <w:jc w:val="center"/>
              <w:textAlignment w:val="center"/>
              <w:rPr>
                <w:rFonts w:hint="eastAsia" w:ascii="仿宋" w:hAnsi="仿宋" w:eastAsia="仿宋" w:cs="仿宋"/>
                <w:color w:val="auto"/>
                <w:sz w:val="28"/>
                <w:szCs w:val="28"/>
                <w:highlight w:val="none"/>
              </w:rPr>
            </w:pPr>
          </w:p>
        </w:tc>
        <w:tc>
          <w:tcPr>
            <w:tcW w:w="1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4876B6">
            <w:pPr>
              <w:widowControl/>
              <w:jc w:val="center"/>
              <w:textAlignment w:val="center"/>
              <w:rPr>
                <w:rFonts w:hint="eastAsia" w:ascii="仿宋" w:hAnsi="仿宋" w:eastAsia="仿宋" w:cs="仿宋"/>
                <w:color w:val="auto"/>
                <w:sz w:val="28"/>
                <w:szCs w:val="28"/>
                <w:highlight w:val="none"/>
              </w:rPr>
            </w:pPr>
          </w:p>
        </w:tc>
        <w:tc>
          <w:tcPr>
            <w:tcW w:w="4508" w:type="dxa"/>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75E04C0">
            <w:pPr>
              <w:widowControl/>
              <w:spacing w:line="280" w:lineRule="exact"/>
              <w:ind w:left="610" w:leftChars="200" w:hanging="190" w:hangingChars="68"/>
              <w:jc w:val="left"/>
              <w:textAlignment w:val="top"/>
              <w:rPr>
                <w:rFonts w:hint="eastAsia" w:ascii="仿宋" w:hAnsi="仿宋" w:eastAsia="仿宋" w:cs="仿宋"/>
                <w:color w:val="auto"/>
                <w:kern w:val="0"/>
                <w:sz w:val="28"/>
                <w:szCs w:val="28"/>
                <w:highlight w:val="none"/>
                <w:lang w:bidi="ar"/>
              </w:rPr>
            </w:pPr>
          </w:p>
        </w:tc>
        <w:tc>
          <w:tcPr>
            <w:tcW w:w="1366" w:type="dxa"/>
            <w:tcBorders>
              <w:top w:val="single" w:color="000000" w:sz="4" w:space="0"/>
              <w:left w:val="single" w:color="000000" w:sz="4" w:space="0"/>
              <w:bottom w:val="single" w:color="000000" w:sz="4" w:space="0"/>
              <w:right w:val="single" w:color="000000" w:sz="4" w:space="0"/>
            </w:tcBorders>
            <w:noWrap w:val="0"/>
            <w:vAlign w:val="center"/>
          </w:tcPr>
          <w:p w14:paraId="5B066A6D">
            <w:pPr>
              <w:widowControl/>
              <w:jc w:val="center"/>
              <w:textAlignment w:val="center"/>
              <w:rPr>
                <w:rFonts w:hint="eastAsia" w:ascii="仿宋" w:hAnsi="仿宋" w:eastAsia="仿宋" w:cs="仿宋"/>
                <w:color w:val="auto"/>
                <w:sz w:val="28"/>
                <w:szCs w:val="28"/>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0949B238">
            <w:pPr>
              <w:widowControl/>
              <w:jc w:val="center"/>
              <w:textAlignment w:val="center"/>
              <w:rPr>
                <w:rFonts w:hint="eastAsia" w:ascii="仿宋" w:hAnsi="仿宋" w:eastAsia="仿宋" w:cs="仿宋"/>
                <w:color w:val="auto"/>
                <w:sz w:val="28"/>
                <w:szCs w:val="28"/>
                <w:highlight w:val="none"/>
              </w:rPr>
            </w:pP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1FC68878">
            <w:pPr>
              <w:widowControl/>
              <w:jc w:val="center"/>
              <w:textAlignment w:val="center"/>
              <w:rPr>
                <w:rFonts w:hint="eastAsia" w:ascii="仿宋" w:hAnsi="仿宋" w:eastAsia="仿宋" w:cs="仿宋"/>
                <w:color w:val="auto"/>
                <w:sz w:val="28"/>
                <w:szCs w:val="28"/>
                <w:highlight w:val="none"/>
              </w:rPr>
            </w:pP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4C0E68ED">
            <w:pPr>
              <w:widowControl/>
              <w:jc w:val="center"/>
              <w:textAlignment w:val="center"/>
              <w:rPr>
                <w:rFonts w:hint="eastAsia" w:ascii="仿宋" w:hAnsi="仿宋" w:eastAsia="仿宋" w:cs="仿宋"/>
                <w:color w:val="auto"/>
                <w:sz w:val="28"/>
                <w:szCs w:val="28"/>
                <w:highlight w:val="none"/>
              </w:rPr>
            </w:pPr>
          </w:p>
        </w:tc>
        <w:tc>
          <w:tcPr>
            <w:tcW w:w="1202" w:type="dxa"/>
            <w:tcBorders>
              <w:top w:val="single" w:color="000000" w:sz="4" w:space="0"/>
              <w:left w:val="single" w:color="auto" w:sz="4" w:space="0"/>
              <w:bottom w:val="single" w:color="000000" w:sz="4" w:space="0"/>
              <w:right w:val="single" w:color="auto" w:sz="4" w:space="0"/>
            </w:tcBorders>
            <w:noWrap/>
            <w:vAlign w:val="center"/>
          </w:tcPr>
          <w:p w14:paraId="48DA02F8">
            <w:pPr>
              <w:ind w:left="611" w:leftChars="200" w:hanging="191" w:hangingChars="68"/>
              <w:jc w:val="center"/>
              <w:rPr>
                <w:rFonts w:hint="eastAsia" w:ascii="仿宋" w:hAnsi="仿宋" w:eastAsia="仿宋" w:cs="仿宋"/>
                <w:b/>
                <w:bCs/>
                <w:color w:val="auto"/>
                <w:sz w:val="28"/>
                <w:szCs w:val="28"/>
                <w:highlight w:val="none"/>
              </w:rPr>
            </w:pPr>
          </w:p>
        </w:tc>
        <w:tc>
          <w:tcPr>
            <w:tcW w:w="720" w:type="dxa"/>
            <w:tcBorders>
              <w:top w:val="single" w:color="000000" w:sz="4" w:space="0"/>
              <w:left w:val="single" w:color="auto" w:sz="4" w:space="0"/>
              <w:bottom w:val="single" w:color="000000" w:sz="4" w:space="0"/>
              <w:right w:val="single" w:color="auto" w:sz="4" w:space="0"/>
            </w:tcBorders>
            <w:noWrap/>
            <w:vAlign w:val="center"/>
          </w:tcPr>
          <w:p w14:paraId="668136C0">
            <w:pPr>
              <w:ind w:left="611" w:leftChars="200" w:hanging="191" w:hangingChars="68"/>
              <w:jc w:val="center"/>
              <w:rPr>
                <w:rFonts w:hint="eastAsia" w:ascii="仿宋" w:hAnsi="仿宋" w:eastAsia="仿宋" w:cs="仿宋"/>
                <w:b/>
                <w:bCs/>
                <w:color w:val="auto"/>
                <w:sz w:val="28"/>
                <w:szCs w:val="28"/>
                <w:highlight w:val="none"/>
              </w:rPr>
            </w:pPr>
          </w:p>
        </w:tc>
        <w:tc>
          <w:tcPr>
            <w:tcW w:w="911" w:type="dxa"/>
            <w:tcBorders>
              <w:top w:val="single" w:color="000000" w:sz="4" w:space="0"/>
              <w:left w:val="single" w:color="auto" w:sz="4" w:space="0"/>
              <w:bottom w:val="single" w:color="000000" w:sz="4" w:space="0"/>
              <w:right w:val="single" w:color="000000" w:sz="4" w:space="0"/>
            </w:tcBorders>
            <w:noWrap/>
            <w:vAlign w:val="center"/>
          </w:tcPr>
          <w:p w14:paraId="6E135280">
            <w:pPr>
              <w:ind w:left="611" w:leftChars="200" w:hanging="191" w:hangingChars="68"/>
              <w:jc w:val="center"/>
              <w:rPr>
                <w:rFonts w:hint="eastAsia" w:ascii="仿宋" w:hAnsi="仿宋" w:eastAsia="仿宋" w:cs="仿宋"/>
                <w:b/>
                <w:bCs/>
                <w:color w:val="auto"/>
                <w:sz w:val="28"/>
                <w:szCs w:val="28"/>
                <w:highlight w:val="none"/>
              </w:rPr>
            </w:pPr>
          </w:p>
        </w:tc>
      </w:tr>
      <w:tr w14:paraId="5F098580">
        <w:tblPrEx>
          <w:tblCellMar>
            <w:top w:w="0" w:type="dxa"/>
            <w:left w:w="108" w:type="dxa"/>
            <w:bottom w:w="0" w:type="dxa"/>
            <w:right w:w="108" w:type="dxa"/>
          </w:tblCellMar>
        </w:tblPrEx>
        <w:trPr>
          <w:trHeight w:val="567"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FBB1BE">
            <w:pPr>
              <w:widowControl/>
              <w:jc w:val="center"/>
              <w:textAlignment w:val="center"/>
              <w:rPr>
                <w:rFonts w:hint="eastAsia" w:ascii="仿宋" w:hAnsi="仿宋" w:eastAsia="仿宋" w:cs="仿宋"/>
                <w:color w:val="auto"/>
                <w:sz w:val="28"/>
                <w:szCs w:val="28"/>
                <w:highlight w:val="none"/>
              </w:rPr>
            </w:pPr>
          </w:p>
        </w:tc>
        <w:tc>
          <w:tcPr>
            <w:tcW w:w="1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D37C45">
            <w:pPr>
              <w:widowControl/>
              <w:jc w:val="center"/>
              <w:textAlignment w:val="center"/>
              <w:rPr>
                <w:rFonts w:hint="eastAsia" w:ascii="仿宋" w:hAnsi="仿宋" w:eastAsia="仿宋" w:cs="仿宋"/>
                <w:color w:val="auto"/>
                <w:sz w:val="28"/>
                <w:szCs w:val="28"/>
                <w:highlight w:val="none"/>
              </w:rPr>
            </w:pPr>
          </w:p>
        </w:tc>
        <w:tc>
          <w:tcPr>
            <w:tcW w:w="4508" w:type="dxa"/>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0704659F">
            <w:pPr>
              <w:widowControl/>
              <w:spacing w:line="280" w:lineRule="exact"/>
              <w:ind w:left="610" w:leftChars="200" w:hanging="190" w:hangingChars="68"/>
              <w:jc w:val="left"/>
              <w:textAlignment w:val="top"/>
              <w:rPr>
                <w:rFonts w:hint="eastAsia" w:ascii="仿宋" w:hAnsi="仿宋" w:eastAsia="仿宋" w:cs="仿宋"/>
                <w:color w:val="auto"/>
                <w:sz w:val="28"/>
                <w:szCs w:val="28"/>
                <w:highlight w:val="none"/>
                <w:lang w:bidi="ar"/>
              </w:rPr>
            </w:pPr>
          </w:p>
        </w:tc>
        <w:tc>
          <w:tcPr>
            <w:tcW w:w="1366" w:type="dxa"/>
            <w:tcBorders>
              <w:top w:val="single" w:color="000000" w:sz="4" w:space="0"/>
              <w:left w:val="single" w:color="000000" w:sz="4" w:space="0"/>
              <w:bottom w:val="single" w:color="000000" w:sz="4" w:space="0"/>
              <w:right w:val="single" w:color="000000" w:sz="4" w:space="0"/>
            </w:tcBorders>
            <w:noWrap w:val="0"/>
            <w:vAlign w:val="center"/>
          </w:tcPr>
          <w:p w14:paraId="74B58EE7">
            <w:pPr>
              <w:widowControl/>
              <w:jc w:val="center"/>
              <w:textAlignment w:val="center"/>
              <w:rPr>
                <w:rFonts w:hint="eastAsia" w:ascii="仿宋" w:hAnsi="仿宋" w:eastAsia="仿宋" w:cs="仿宋"/>
                <w:color w:val="auto"/>
                <w:sz w:val="28"/>
                <w:szCs w:val="28"/>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E72BC1B">
            <w:pPr>
              <w:widowControl/>
              <w:jc w:val="center"/>
              <w:textAlignment w:val="center"/>
              <w:rPr>
                <w:rFonts w:hint="eastAsia" w:ascii="仿宋" w:hAnsi="仿宋" w:eastAsia="仿宋" w:cs="仿宋"/>
                <w:color w:val="auto"/>
                <w:sz w:val="28"/>
                <w:szCs w:val="28"/>
                <w:highlight w:val="none"/>
              </w:rPr>
            </w:pP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2E544DF8">
            <w:pPr>
              <w:widowControl/>
              <w:jc w:val="center"/>
              <w:textAlignment w:val="center"/>
              <w:rPr>
                <w:rFonts w:hint="eastAsia" w:ascii="仿宋" w:hAnsi="仿宋" w:eastAsia="仿宋" w:cs="仿宋"/>
                <w:color w:val="auto"/>
                <w:sz w:val="28"/>
                <w:szCs w:val="28"/>
                <w:highlight w:val="none"/>
              </w:rPr>
            </w:pP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4D501B66">
            <w:pPr>
              <w:widowControl/>
              <w:textAlignment w:val="center"/>
              <w:rPr>
                <w:rFonts w:hint="eastAsia" w:ascii="仿宋" w:hAnsi="仿宋" w:eastAsia="仿宋" w:cs="仿宋"/>
                <w:color w:val="auto"/>
                <w:sz w:val="28"/>
                <w:szCs w:val="28"/>
                <w:highlight w:val="none"/>
              </w:rPr>
            </w:pPr>
          </w:p>
        </w:tc>
        <w:tc>
          <w:tcPr>
            <w:tcW w:w="1202" w:type="dxa"/>
            <w:tcBorders>
              <w:top w:val="single" w:color="000000" w:sz="4" w:space="0"/>
              <w:left w:val="single" w:color="auto" w:sz="4" w:space="0"/>
              <w:bottom w:val="single" w:color="000000" w:sz="4" w:space="0"/>
              <w:right w:val="single" w:color="auto" w:sz="4" w:space="0"/>
            </w:tcBorders>
            <w:noWrap/>
            <w:vAlign w:val="center"/>
          </w:tcPr>
          <w:p w14:paraId="2A7D51DC">
            <w:pPr>
              <w:ind w:left="611" w:leftChars="200" w:hanging="191" w:hangingChars="68"/>
              <w:rPr>
                <w:rFonts w:hint="eastAsia" w:ascii="仿宋" w:hAnsi="仿宋" w:eastAsia="仿宋" w:cs="仿宋"/>
                <w:b/>
                <w:bCs/>
                <w:color w:val="auto"/>
                <w:sz w:val="28"/>
                <w:szCs w:val="28"/>
                <w:highlight w:val="none"/>
              </w:rPr>
            </w:pPr>
          </w:p>
        </w:tc>
        <w:tc>
          <w:tcPr>
            <w:tcW w:w="720" w:type="dxa"/>
            <w:tcBorders>
              <w:top w:val="single" w:color="000000" w:sz="4" w:space="0"/>
              <w:left w:val="single" w:color="auto" w:sz="4" w:space="0"/>
              <w:bottom w:val="single" w:color="000000" w:sz="4" w:space="0"/>
              <w:right w:val="single" w:color="auto" w:sz="4" w:space="0"/>
            </w:tcBorders>
            <w:noWrap/>
            <w:vAlign w:val="center"/>
          </w:tcPr>
          <w:p w14:paraId="422F92CF">
            <w:pPr>
              <w:ind w:left="611" w:leftChars="200" w:hanging="191" w:hangingChars="68"/>
              <w:rPr>
                <w:rFonts w:hint="eastAsia" w:ascii="仿宋" w:hAnsi="仿宋" w:eastAsia="仿宋" w:cs="仿宋"/>
                <w:b/>
                <w:bCs/>
                <w:color w:val="auto"/>
                <w:sz w:val="28"/>
                <w:szCs w:val="28"/>
                <w:highlight w:val="none"/>
              </w:rPr>
            </w:pPr>
          </w:p>
        </w:tc>
        <w:tc>
          <w:tcPr>
            <w:tcW w:w="911" w:type="dxa"/>
            <w:tcBorders>
              <w:top w:val="single" w:color="000000" w:sz="4" w:space="0"/>
              <w:left w:val="single" w:color="auto" w:sz="4" w:space="0"/>
              <w:bottom w:val="single" w:color="000000" w:sz="4" w:space="0"/>
              <w:right w:val="single" w:color="000000" w:sz="4" w:space="0"/>
            </w:tcBorders>
            <w:noWrap/>
            <w:vAlign w:val="center"/>
          </w:tcPr>
          <w:p w14:paraId="430E0434">
            <w:pPr>
              <w:ind w:left="611" w:leftChars="200" w:hanging="191" w:hangingChars="68"/>
              <w:rPr>
                <w:rFonts w:hint="eastAsia" w:ascii="仿宋" w:hAnsi="仿宋" w:eastAsia="仿宋" w:cs="仿宋"/>
                <w:b/>
                <w:bCs/>
                <w:color w:val="auto"/>
                <w:sz w:val="28"/>
                <w:szCs w:val="28"/>
                <w:highlight w:val="none"/>
              </w:rPr>
            </w:pPr>
          </w:p>
        </w:tc>
      </w:tr>
      <w:tr w14:paraId="00DED248">
        <w:tblPrEx>
          <w:tblCellMar>
            <w:top w:w="0" w:type="dxa"/>
            <w:left w:w="108" w:type="dxa"/>
            <w:bottom w:w="0" w:type="dxa"/>
            <w:right w:w="108" w:type="dxa"/>
          </w:tblCellMar>
        </w:tblPrEx>
        <w:trPr>
          <w:trHeight w:val="567"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BEB4F1">
            <w:pPr>
              <w:widowControl/>
              <w:jc w:val="center"/>
              <w:textAlignment w:val="center"/>
              <w:rPr>
                <w:rFonts w:hint="eastAsia" w:ascii="仿宋" w:hAnsi="仿宋" w:eastAsia="仿宋" w:cs="仿宋"/>
                <w:color w:val="auto"/>
                <w:sz w:val="28"/>
                <w:szCs w:val="28"/>
                <w:highlight w:val="none"/>
              </w:rPr>
            </w:pPr>
          </w:p>
        </w:tc>
        <w:tc>
          <w:tcPr>
            <w:tcW w:w="1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2CB275">
            <w:pPr>
              <w:widowControl/>
              <w:jc w:val="center"/>
              <w:textAlignment w:val="center"/>
              <w:rPr>
                <w:rFonts w:hint="eastAsia" w:ascii="仿宋" w:hAnsi="仿宋" w:eastAsia="仿宋" w:cs="仿宋"/>
                <w:color w:val="auto"/>
                <w:sz w:val="28"/>
                <w:szCs w:val="28"/>
                <w:highlight w:val="none"/>
              </w:rPr>
            </w:pPr>
          </w:p>
        </w:tc>
        <w:tc>
          <w:tcPr>
            <w:tcW w:w="4508" w:type="dxa"/>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372B2810">
            <w:pPr>
              <w:widowControl/>
              <w:spacing w:line="280" w:lineRule="exact"/>
              <w:ind w:left="610" w:leftChars="200" w:hanging="190" w:hangingChars="68"/>
              <w:jc w:val="left"/>
              <w:textAlignment w:val="top"/>
              <w:rPr>
                <w:rFonts w:hint="eastAsia" w:ascii="仿宋" w:hAnsi="仿宋" w:eastAsia="仿宋" w:cs="仿宋"/>
                <w:color w:val="auto"/>
                <w:kern w:val="0"/>
                <w:sz w:val="28"/>
                <w:szCs w:val="28"/>
                <w:highlight w:val="none"/>
                <w:lang w:bidi="ar"/>
              </w:rPr>
            </w:pPr>
          </w:p>
        </w:tc>
        <w:tc>
          <w:tcPr>
            <w:tcW w:w="1366" w:type="dxa"/>
            <w:tcBorders>
              <w:top w:val="single" w:color="000000" w:sz="4" w:space="0"/>
              <w:left w:val="single" w:color="000000" w:sz="4" w:space="0"/>
              <w:bottom w:val="single" w:color="000000" w:sz="4" w:space="0"/>
              <w:right w:val="single" w:color="000000" w:sz="4" w:space="0"/>
            </w:tcBorders>
            <w:noWrap w:val="0"/>
            <w:vAlign w:val="center"/>
          </w:tcPr>
          <w:p w14:paraId="3188D393">
            <w:pPr>
              <w:widowControl/>
              <w:jc w:val="center"/>
              <w:textAlignment w:val="center"/>
              <w:rPr>
                <w:rFonts w:hint="eastAsia" w:ascii="仿宋" w:hAnsi="仿宋" w:eastAsia="仿宋" w:cs="仿宋"/>
                <w:color w:val="auto"/>
                <w:sz w:val="28"/>
                <w:szCs w:val="28"/>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4F956DF">
            <w:pPr>
              <w:widowControl/>
              <w:jc w:val="center"/>
              <w:textAlignment w:val="center"/>
              <w:rPr>
                <w:rFonts w:hint="eastAsia" w:ascii="仿宋" w:hAnsi="仿宋" w:eastAsia="仿宋" w:cs="仿宋"/>
                <w:color w:val="auto"/>
                <w:sz w:val="28"/>
                <w:szCs w:val="28"/>
                <w:highlight w:val="none"/>
              </w:rPr>
            </w:pP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00C68C5A">
            <w:pPr>
              <w:widowControl/>
              <w:jc w:val="center"/>
              <w:textAlignment w:val="center"/>
              <w:rPr>
                <w:rFonts w:hint="eastAsia" w:ascii="仿宋" w:hAnsi="仿宋" w:eastAsia="仿宋" w:cs="仿宋"/>
                <w:color w:val="auto"/>
                <w:sz w:val="28"/>
                <w:szCs w:val="28"/>
                <w:highlight w:val="none"/>
              </w:rPr>
            </w:pP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4FC8F2CA">
            <w:pPr>
              <w:widowControl/>
              <w:jc w:val="center"/>
              <w:textAlignment w:val="center"/>
              <w:rPr>
                <w:rFonts w:hint="eastAsia" w:ascii="仿宋" w:hAnsi="仿宋" w:eastAsia="仿宋" w:cs="仿宋"/>
                <w:color w:val="auto"/>
                <w:sz w:val="28"/>
                <w:szCs w:val="28"/>
                <w:highlight w:val="none"/>
              </w:rPr>
            </w:pPr>
          </w:p>
        </w:tc>
        <w:tc>
          <w:tcPr>
            <w:tcW w:w="1202" w:type="dxa"/>
            <w:tcBorders>
              <w:top w:val="single" w:color="000000" w:sz="4" w:space="0"/>
              <w:left w:val="single" w:color="auto" w:sz="4" w:space="0"/>
              <w:bottom w:val="single" w:color="000000" w:sz="4" w:space="0"/>
              <w:right w:val="single" w:color="auto" w:sz="4" w:space="0"/>
            </w:tcBorders>
            <w:noWrap w:val="0"/>
            <w:vAlign w:val="center"/>
          </w:tcPr>
          <w:p w14:paraId="668F821C">
            <w:pPr>
              <w:ind w:left="610" w:leftChars="200" w:hanging="190" w:hangingChars="68"/>
              <w:jc w:val="center"/>
              <w:rPr>
                <w:rFonts w:hint="eastAsia" w:ascii="仿宋" w:hAnsi="仿宋" w:eastAsia="仿宋" w:cs="仿宋"/>
                <w:color w:val="auto"/>
                <w:sz w:val="28"/>
                <w:szCs w:val="28"/>
                <w:highlight w:val="none"/>
              </w:rPr>
            </w:pPr>
          </w:p>
        </w:tc>
        <w:tc>
          <w:tcPr>
            <w:tcW w:w="720" w:type="dxa"/>
            <w:tcBorders>
              <w:top w:val="single" w:color="000000" w:sz="4" w:space="0"/>
              <w:left w:val="single" w:color="auto" w:sz="4" w:space="0"/>
              <w:bottom w:val="single" w:color="000000" w:sz="4" w:space="0"/>
              <w:right w:val="single" w:color="auto" w:sz="4" w:space="0"/>
            </w:tcBorders>
            <w:noWrap w:val="0"/>
            <w:vAlign w:val="center"/>
          </w:tcPr>
          <w:p w14:paraId="5B82AAE0">
            <w:pPr>
              <w:ind w:left="610" w:leftChars="200" w:hanging="190" w:hangingChars="68"/>
              <w:jc w:val="center"/>
              <w:rPr>
                <w:rFonts w:hint="eastAsia" w:ascii="仿宋" w:hAnsi="仿宋" w:eastAsia="仿宋" w:cs="仿宋"/>
                <w:color w:val="auto"/>
                <w:sz w:val="28"/>
                <w:szCs w:val="28"/>
                <w:highlight w:val="none"/>
              </w:rPr>
            </w:pPr>
          </w:p>
        </w:tc>
        <w:tc>
          <w:tcPr>
            <w:tcW w:w="911" w:type="dxa"/>
            <w:tcBorders>
              <w:top w:val="single" w:color="000000" w:sz="4" w:space="0"/>
              <w:left w:val="single" w:color="auto" w:sz="4" w:space="0"/>
              <w:bottom w:val="single" w:color="000000" w:sz="4" w:space="0"/>
              <w:right w:val="single" w:color="000000" w:sz="4" w:space="0"/>
            </w:tcBorders>
            <w:noWrap w:val="0"/>
            <w:vAlign w:val="center"/>
          </w:tcPr>
          <w:p w14:paraId="417EE441">
            <w:pPr>
              <w:ind w:left="610" w:leftChars="200" w:hanging="190" w:hangingChars="68"/>
              <w:jc w:val="center"/>
              <w:rPr>
                <w:rFonts w:hint="eastAsia" w:ascii="仿宋" w:hAnsi="仿宋" w:eastAsia="仿宋" w:cs="仿宋"/>
                <w:color w:val="auto"/>
                <w:sz w:val="28"/>
                <w:szCs w:val="28"/>
                <w:highlight w:val="none"/>
              </w:rPr>
            </w:pPr>
          </w:p>
        </w:tc>
      </w:tr>
      <w:tr w14:paraId="50A300B4">
        <w:tblPrEx>
          <w:tblCellMar>
            <w:top w:w="0" w:type="dxa"/>
            <w:left w:w="108" w:type="dxa"/>
            <w:bottom w:w="0" w:type="dxa"/>
            <w:right w:w="108" w:type="dxa"/>
          </w:tblCellMar>
        </w:tblPrEx>
        <w:trPr>
          <w:trHeight w:val="567"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8F18D9">
            <w:pPr>
              <w:widowControl/>
              <w:jc w:val="center"/>
              <w:textAlignment w:val="center"/>
              <w:rPr>
                <w:rFonts w:hint="eastAsia" w:ascii="仿宋" w:hAnsi="仿宋" w:eastAsia="仿宋" w:cs="仿宋"/>
                <w:color w:val="auto"/>
                <w:sz w:val="28"/>
                <w:szCs w:val="28"/>
                <w:highlight w:val="none"/>
              </w:rPr>
            </w:pPr>
          </w:p>
        </w:tc>
        <w:tc>
          <w:tcPr>
            <w:tcW w:w="1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BB0D6F">
            <w:pPr>
              <w:widowControl/>
              <w:jc w:val="center"/>
              <w:textAlignment w:val="center"/>
              <w:rPr>
                <w:rFonts w:hint="eastAsia" w:ascii="仿宋" w:hAnsi="仿宋" w:eastAsia="仿宋" w:cs="仿宋"/>
                <w:color w:val="auto"/>
                <w:sz w:val="28"/>
                <w:szCs w:val="28"/>
                <w:highlight w:val="none"/>
              </w:rPr>
            </w:pPr>
          </w:p>
        </w:tc>
        <w:tc>
          <w:tcPr>
            <w:tcW w:w="4508" w:type="dxa"/>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1641A0B">
            <w:pPr>
              <w:widowControl/>
              <w:spacing w:line="280" w:lineRule="exact"/>
              <w:ind w:left="610" w:leftChars="200" w:hanging="190" w:hangingChars="68"/>
              <w:jc w:val="left"/>
              <w:textAlignment w:val="top"/>
              <w:rPr>
                <w:rFonts w:hint="eastAsia" w:ascii="仿宋" w:hAnsi="仿宋" w:eastAsia="仿宋" w:cs="仿宋"/>
                <w:color w:val="auto"/>
                <w:sz w:val="28"/>
                <w:szCs w:val="28"/>
                <w:highlight w:val="none"/>
              </w:rPr>
            </w:pPr>
          </w:p>
        </w:tc>
        <w:tc>
          <w:tcPr>
            <w:tcW w:w="1366" w:type="dxa"/>
            <w:tcBorders>
              <w:top w:val="single" w:color="000000" w:sz="4" w:space="0"/>
              <w:left w:val="single" w:color="000000" w:sz="4" w:space="0"/>
              <w:bottom w:val="single" w:color="000000" w:sz="4" w:space="0"/>
              <w:right w:val="single" w:color="000000" w:sz="4" w:space="0"/>
            </w:tcBorders>
            <w:noWrap w:val="0"/>
            <w:vAlign w:val="center"/>
          </w:tcPr>
          <w:p w14:paraId="6B67808B">
            <w:pPr>
              <w:widowControl/>
              <w:jc w:val="center"/>
              <w:textAlignment w:val="center"/>
              <w:rPr>
                <w:rFonts w:hint="eastAsia" w:ascii="仿宋" w:hAnsi="仿宋" w:eastAsia="仿宋" w:cs="仿宋"/>
                <w:color w:val="auto"/>
                <w:sz w:val="28"/>
                <w:szCs w:val="28"/>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CE02A2D">
            <w:pPr>
              <w:widowControl/>
              <w:jc w:val="center"/>
              <w:textAlignment w:val="center"/>
              <w:rPr>
                <w:rFonts w:hint="eastAsia" w:ascii="仿宋" w:hAnsi="仿宋" w:eastAsia="仿宋" w:cs="仿宋"/>
                <w:color w:val="auto"/>
                <w:sz w:val="28"/>
                <w:szCs w:val="28"/>
                <w:highlight w:val="none"/>
              </w:rPr>
            </w:pP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06F33779">
            <w:pPr>
              <w:widowControl/>
              <w:jc w:val="center"/>
              <w:textAlignment w:val="center"/>
              <w:rPr>
                <w:rFonts w:hint="eastAsia" w:ascii="仿宋" w:hAnsi="仿宋" w:eastAsia="仿宋" w:cs="仿宋"/>
                <w:color w:val="auto"/>
                <w:sz w:val="28"/>
                <w:szCs w:val="28"/>
                <w:highlight w:val="none"/>
              </w:rPr>
            </w:pP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672BC4C4">
            <w:pPr>
              <w:widowControl/>
              <w:jc w:val="center"/>
              <w:textAlignment w:val="center"/>
              <w:rPr>
                <w:rFonts w:hint="eastAsia" w:ascii="仿宋" w:hAnsi="仿宋" w:eastAsia="仿宋" w:cs="仿宋"/>
                <w:color w:val="auto"/>
                <w:sz w:val="28"/>
                <w:szCs w:val="28"/>
                <w:highlight w:val="none"/>
              </w:rPr>
            </w:pPr>
          </w:p>
        </w:tc>
        <w:tc>
          <w:tcPr>
            <w:tcW w:w="1202" w:type="dxa"/>
            <w:tcBorders>
              <w:top w:val="single" w:color="000000" w:sz="4" w:space="0"/>
              <w:left w:val="single" w:color="auto" w:sz="4" w:space="0"/>
              <w:bottom w:val="single" w:color="000000" w:sz="4" w:space="0"/>
              <w:right w:val="single" w:color="auto" w:sz="4" w:space="0"/>
            </w:tcBorders>
            <w:noWrap w:val="0"/>
            <w:vAlign w:val="center"/>
          </w:tcPr>
          <w:p w14:paraId="3ACA4AF6">
            <w:pPr>
              <w:ind w:left="610" w:leftChars="200" w:hanging="190" w:hangingChars="68"/>
              <w:jc w:val="center"/>
              <w:rPr>
                <w:rFonts w:hint="eastAsia" w:ascii="仿宋" w:hAnsi="仿宋" w:eastAsia="仿宋" w:cs="仿宋"/>
                <w:color w:val="auto"/>
                <w:sz w:val="28"/>
                <w:szCs w:val="28"/>
                <w:highlight w:val="none"/>
              </w:rPr>
            </w:pPr>
          </w:p>
        </w:tc>
        <w:tc>
          <w:tcPr>
            <w:tcW w:w="720" w:type="dxa"/>
            <w:tcBorders>
              <w:top w:val="single" w:color="000000" w:sz="4" w:space="0"/>
              <w:left w:val="single" w:color="auto" w:sz="4" w:space="0"/>
              <w:bottom w:val="single" w:color="000000" w:sz="4" w:space="0"/>
              <w:right w:val="single" w:color="auto" w:sz="4" w:space="0"/>
            </w:tcBorders>
            <w:noWrap w:val="0"/>
            <w:vAlign w:val="center"/>
          </w:tcPr>
          <w:p w14:paraId="731CF914">
            <w:pPr>
              <w:ind w:left="610" w:leftChars="200" w:hanging="190" w:hangingChars="68"/>
              <w:jc w:val="center"/>
              <w:rPr>
                <w:rFonts w:hint="eastAsia" w:ascii="仿宋" w:hAnsi="仿宋" w:eastAsia="仿宋" w:cs="仿宋"/>
                <w:color w:val="auto"/>
                <w:sz w:val="28"/>
                <w:szCs w:val="28"/>
                <w:highlight w:val="none"/>
              </w:rPr>
            </w:pPr>
          </w:p>
        </w:tc>
        <w:tc>
          <w:tcPr>
            <w:tcW w:w="911" w:type="dxa"/>
            <w:tcBorders>
              <w:top w:val="single" w:color="000000" w:sz="4" w:space="0"/>
              <w:left w:val="single" w:color="auto" w:sz="4" w:space="0"/>
              <w:bottom w:val="single" w:color="000000" w:sz="4" w:space="0"/>
              <w:right w:val="single" w:color="000000" w:sz="4" w:space="0"/>
            </w:tcBorders>
            <w:noWrap w:val="0"/>
            <w:vAlign w:val="center"/>
          </w:tcPr>
          <w:p w14:paraId="3F6EA768">
            <w:pPr>
              <w:ind w:left="610" w:leftChars="200" w:hanging="190" w:hangingChars="68"/>
              <w:jc w:val="center"/>
              <w:rPr>
                <w:rFonts w:hint="eastAsia" w:ascii="仿宋" w:hAnsi="仿宋" w:eastAsia="仿宋" w:cs="仿宋"/>
                <w:color w:val="auto"/>
                <w:sz w:val="28"/>
                <w:szCs w:val="28"/>
                <w:highlight w:val="none"/>
              </w:rPr>
            </w:pPr>
          </w:p>
        </w:tc>
      </w:tr>
      <w:tr w14:paraId="7568CCC6">
        <w:tblPrEx>
          <w:tblCellMar>
            <w:top w:w="0" w:type="dxa"/>
            <w:left w:w="108" w:type="dxa"/>
            <w:bottom w:w="0" w:type="dxa"/>
            <w:right w:w="108" w:type="dxa"/>
          </w:tblCellMar>
        </w:tblPrEx>
        <w:trPr>
          <w:trHeight w:val="567"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E4B043">
            <w:pPr>
              <w:widowControl/>
              <w:jc w:val="center"/>
              <w:textAlignment w:val="center"/>
              <w:rPr>
                <w:rFonts w:hint="eastAsia" w:ascii="仿宋" w:hAnsi="仿宋" w:eastAsia="仿宋" w:cs="仿宋"/>
                <w:color w:val="auto"/>
                <w:sz w:val="28"/>
                <w:szCs w:val="28"/>
                <w:highlight w:val="none"/>
              </w:rPr>
            </w:pPr>
          </w:p>
        </w:tc>
        <w:tc>
          <w:tcPr>
            <w:tcW w:w="16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61FDD3">
            <w:pPr>
              <w:widowControl/>
              <w:jc w:val="center"/>
              <w:textAlignment w:val="center"/>
              <w:rPr>
                <w:rFonts w:hint="eastAsia" w:ascii="仿宋" w:hAnsi="仿宋" w:eastAsia="仿宋" w:cs="仿宋"/>
                <w:color w:val="auto"/>
                <w:sz w:val="28"/>
                <w:szCs w:val="28"/>
                <w:highlight w:val="none"/>
              </w:rPr>
            </w:pPr>
          </w:p>
        </w:tc>
        <w:tc>
          <w:tcPr>
            <w:tcW w:w="4508" w:type="dxa"/>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6C47D4B6">
            <w:pPr>
              <w:widowControl/>
              <w:spacing w:line="280" w:lineRule="exact"/>
              <w:ind w:left="610" w:leftChars="200" w:hanging="190" w:hangingChars="68"/>
              <w:jc w:val="left"/>
              <w:textAlignment w:val="top"/>
              <w:rPr>
                <w:rFonts w:hint="eastAsia" w:ascii="仿宋" w:hAnsi="仿宋" w:eastAsia="仿宋" w:cs="仿宋"/>
                <w:color w:val="auto"/>
                <w:sz w:val="28"/>
                <w:szCs w:val="28"/>
                <w:highlight w:val="none"/>
              </w:rPr>
            </w:pPr>
          </w:p>
        </w:tc>
        <w:tc>
          <w:tcPr>
            <w:tcW w:w="13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343722">
            <w:pPr>
              <w:widowControl/>
              <w:jc w:val="center"/>
              <w:textAlignment w:val="center"/>
              <w:rPr>
                <w:rFonts w:hint="eastAsia" w:ascii="仿宋" w:hAnsi="仿宋" w:eastAsia="仿宋" w:cs="仿宋"/>
                <w:color w:val="auto"/>
                <w:sz w:val="28"/>
                <w:szCs w:val="28"/>
                <w:highlight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AA8CD0">
            <w:pPr>
              <w:widowControl/>
              <w:jc w:val="center"/>
              <w:textAlignment w:val="center"/>
              <w:rPr>
                <w:rFonts w:hint="eastAsia" w:ascii="仿宋" w:hAnsi="仿宋" w:eastAsia="仿宋" w:cs="仿宋"/>
                <w:color w:val="auto"/>
                <w:sz w:val="28"/>
                <w:szCs w:val="28"/>
                <w:highlight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149998">
            <w:pPr>
              <w:widowControl/>
              <w:jc w:val="center"/>
              <w:textAlignment w:val="center"/>
              <w:rPr>
                <w:rFonts w:hint="eastAsia" w:ascii="仿宋" w:hAnsi="仿宋" w:eastAsia="仿宋" w:cs="仿宋"/>
                <w:color w:val="auto"/>
                <w:sz w:val="28"/>
                <w:szCs w:val="28"/>
                <w:highlight w:val="none"/>
              </w:rPr>
            </w:pP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1153EC">
            <w:pPr>
              <w:widowControl/>
              <w:jc w:val="center"/>
              <w:textAlignment w:val="center"/>
              <w:rPr>
                <w:rFonts w:hint="eastAsia" w:ascii="仿宋" w:hAnsi="仿宋" w:eastAsia="仿宋" w:cs="仿宋"/>
                <w:color w:val="auto"/>
                <w:sz w:val="28"/>
                <w:szCs w:val="28"/>
                <w:highlight w:val="none"/>
              </w:rPr>
            </w:pPr>
          </w:p>
        </w:tc>
        <w:tc>
          <w:tcPr>
            <w:tcW w:w="1202" w:type="dxa"/>
            <w:tcBorders>
              <w:top w:val="single" w:color="000000" w:sz="4" w:space="0"/>
              <w:left w:val="single" w:color="auto" w:sz="4" w:space="0"/>
              <w:bottom w:val="single" w:color="000000" w:sz="4" w:space="0"/>
              <w:right w:val="single" w:color="auto" w:sz="4" w:space="0"/>
            </w:tcBorders>
            <w:shd w:val="clear" w:color="auto" w:fill="FFFFFF"/>
            <w:noWrap w:val="0"/>
            <w:vAlign w:val="center"/>
          </w:tcPr>
          <w:p w14:paraId="1092D853">
            <w:pPr>
              <w:ind w:left="610" w:leftChars="200" w:hanging="190" w:hangingChars="68"/>
              <w:jc w:val="center"/>
              <w:rPr>
                <w:rFonts w:hint="eastAsia" w:ascii="仿宋" w:hAnsi="仿宋" w:eastAsia="仿宋" w:cs="仿宋"/>
                <w:color w:val="auto"/>
                <w:sz w:val="28"/>
                <w:szCs w:val="28"/>
                <w:highlight w:val="none"/>
              </w:rPr>
            </w:pPr>
          </w:p>
        </w:tc>
        <w:tc>
          <w:tcPr>
            <w:tcW w:w="720" w:type="dxa"/>
            <w:tcBorders>
              <w:top w:val="single" w:color="000000" w:sz="4" w:space="0"/>
              <w:left w:val="single" w:color="auto" w:sz="4" w:space="0"/>
              <w:bottom w:val="single" w:color="000000" w:sz="4" w:space="0"/>
              <w:right w:val="single" w:color="auto" w:sz="4" w:space="0"/>
            </w:tcBorders>
            <w:shd w:val="clear" w:color="auto" w:fill="FFFFFF"/>
            <w:noWrap w:val="0"/>
            <w:vAlign w:val="center"/>
          </w:tcPr>
          <w:p w14:paraId="75AF4AD9">
            <w:pPr>
              <w:ind w:left="610" w:leftChars="200" w:hanging="190" w:hangingChars="68"/>
              <w:jc w:val="center"/>
              <w:rPr>
                <w:rFonts w:hint="eastAsia" w:ascii="仿宋" w:hAnsi="仿宋" w:eastAsia="仿宋" w:cs="仿宋"/>
                <w:color w:val="auto"/>
                <w:sz w:val="28"/>
                <w:szCs w:val="28"/>
                <w:highlight w:val="none"/>
              </w:rPr>
            </w:pPr>
          </w:p>
        </w:tc>
        <w:tc>
          <w:tcPr>
            <w:tcW w:w="911"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485B3FB3">
            <w:pPr>
              <w:ind w:left="610" w:leftChars="200" w:hanging="190" w:hangingChars="68"/>
              <w:jc w:val="center"/>
              <w:rPr>
                <w:rFonts w:hint="eastAsia" w:ascii="仿宋" w:hAnsi="仿宋" w:eastAsia="仿宋" w:cs="仿宋"/>
                <w:color w:val="auto"/>
                <w:sz w:val="28"/>
                <w:szCs w:val="28"/>
                <w:highlight w:val="none"/>
              </w:rPr>
            </w:pPr>
          </w:p>
        </w:tc>
      </w:tr>
      <w:tr w14:paraId="6A8EF17C">
        <w:tblPrEx>
          <w:tblCellMar>
            <w:top w:w="0" w:type="dxa"/>
            <w:left w:w="108" w:type="dxa"/>
            <w:bottom w:w="0" w:type="dxa"/>
            <w:right w:w="108" w:type="dxa"/>
          </w:tblCellMar>
        </w:tblPrEx>
        <w:trPr>
          <w:trHeight w:val="567"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204344">
            <w:pPr>
              <w:widowControl/>
              <w:jc w:val="center"/>
              <w:textAlignment w:val="center"/>
              <w:rPr>
                <w:rFonts w:hint="eastAsia" w:ascii="仿宋" w:hAnsi="仿宋" w:eastAsia="仿宋" w:cs="仿宋"/>
                <w:color w:val="auto"/>
                <w:sz w:val="28"/>
                <w:szCs w:val="28"/>
                <w:highlight w:val="none"/>
              </w:rPr>
            </w:pPr>
          </w:p>
        </w:tc>
        <w:tc>
          <w:tcPr>
            <w:tcW w:w="16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23C1A8">
            <w:pPr>
              <w:widowControl/>
              <w:ind w:left="610" w:leftChars="200" w:hanging="190" w:hangingChars="68"/>
              <w:jc w:val="left"/>
              <w:textAlignment w:val="center"/>
              <w:rPr>
                <w:rFonts w:hint="eastAsia" w:ascii="仿宋" w:hAnsi="仿宋" w:eastAsia="仿宋" w:cs="仿宋"/>
                <w:color w:val="auto"/>
                <w:sz w:val="28"/>
                <w:szCs w:val="28"/>
                <w:highlight w:val="none"/>
              </w:rPr>
            </w:pPr>
          </w:p>
        </w:tc>
        <w:tc>
          <w:tcPr>
            <w:tcW w:w="45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616FD">
            <w:pPr>
              <w:widowControl/>
              <w:spacing w:line="280" w:lineRule="exact"/>
              <w:ind w:left="610" w:leftChars="200" w:hanging="190" w:hangingChars="68"/>
              <w:jc w:val="left"/>
              <w:textAlignment w:val="center"/>
              <w:rPr>
                <w:rFonts w:hint="eastAsia" w:ascii="仿宋" w:hAnsi="仿宋" w:eastAsia="仿宋" w:cs="仿宋"/>
                <w:color w:val="auto"/>
                <w:sz w:val="28"/>
                <w:szCs w:val="28"/>
                <w:highlight w:val="none"/>
              </w:rPr>
            </w:pPr>
          </w:p>
        </w:tc>
        <w:tc>
          <w:tcPr>
            <w:tcW w:w="13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5C75F1">
            <w:pPr>
              <w:widowControl/>
              <w:jc w:val="center"/>
              <w:textAlignment w:val="center"/>
              <w:rPr>
                <w:rFonts w:hint="eastAsia" w:ascii="仿宋" w:hAnsi="仿宋" w:eastAsia="仿宋" w:cs="仿宋"/>
                <w:color w:val="auto"/>
                <w:sz w:val="28"/>
                <w:szCs w:val="28"/>
                <w:highlight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AD3735">
            <w:pPr>
              <w:widowControl/>
              <w:jc w:val="center"/>
              <w:textAlignment w:val="center"/>
              <w:rPr>
                <w:rFonts w:hint="eastAsia" w:ascii="仿宋" w:hAnsi="仿宋" w:eastAsia="仿宋" w:cs="仿宋"/>
                <w:color w:val="auto"/>
                <w:sz w:val="28"/>
                <w:szCs w:val="28"/>
                <w:highlight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4AF29A">
            <w:pPr>
              <w:widowControl/>
              <w:jc w:val="center"/>
              <w:textAlignment w:val="center"/>
              <w:rPr>
                <w:rFonts w:hint="eastAsia" w:ascii="仿宋" w:hAnsi="仿宋" w:eastAsia="仿宋" w:cs="仿宋"/>
                <w:color w:val="auto"/>
                <w:sz w:val="28"/>
                <w:szCs w:val="28"/>
                <w:highlight w:val="none"/>
              </w:rPr>
            </w:pP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D0DF77">
            <w:pPr>
              <w:widowControl/>
              <w:jc w:val="center"/>
              <w:textAlignment w:val="center"/>
              <w:rPr>
                <w:rFonts w:hint="eastAsia" w:ascii="仿宋" w:hAnsi="仿宋" w:eastAsia="仿宋" w:cs="仿宋"/>
                <w:color w:val="auto"/>
                <w:sz w:val="28"/>
                <w:szCs w:val="28"/>
                <w:highlight w:val="none"/>
              </w:rPr>
            </w:pPr>
          </w:p>
        </w:tc>
        <w:tc>
          <w:tcPr>
            <w:tcW w:w="1202" w:type="dxa"/>
            <w:tcBorders>
              <w:top w:val="single" w:color="000000" w:sz="4" w:space="0"/>
              <w:left w:val="single" w:color="auto" w:sz="4" w:space="0"/>
              <w:bottom w:val="single" w:color="000000" w:sz="4" w:space="0"/>
              <w:right w:val="single" w:color="auto" w:sz="4" w:space="0"/>
            </w:tcBorders>
            <w:shd w:val="clear" w:color="auto" w:fill="FFFFFF"/>
            <w:noWrap w:val="0"/>
            <w:vAlign w:val="center"/>
          </w:tcPr>
          <w:p w14:paraId="0A5C3FEE">
            <w:pPr>
              <w:ind w:left="610" w:leftChars="200" w:hanging="190" w:hangingChars="68"/>
              <w:jc w:val="center"/>
              <w:rPr>
                <w:rFonts w:hint="eastAsia" w:ascii="仿宋" w:hAnsi="仿宋" w:eastAsia="仿宋" w:cs="仿宋"/>
                <w:color w:val="auto"/>
                <w:sz w:val="28"/>
                <w:szCs w:val="28"/>
                <w:highlight w:val="none"/>
              </w:rPr>
            </w:pPr>
          </w:p>
        </w:tc>
        <w:tc>
          <w:tcPr>
            <w:tcW w:w="720" w:type="dxa"/>
            <w:tcBorders>
              <w:top w:val="single" w:color="000000" w:sz="4" w:space="0"/>
              <w:left w:val="single" w:color="auto" w:sz="4" w:space="0"/>
              <w:bottom w:val="single" w:color="000000" w:sz="4" w:space="0"/>
              <w:right w:val="single" w:color="auto" w:sz="4" w:space="0"/>
            </w:tcBorders>
            <w:shd w:val="clear" w:color="auto" w:fill="FFFFFF"/>
            <w:noWrap w:val="0"/>
            <w:vAlign w:val="center"/>
          </w:tcPr>
          <w:p w14:paraId="36CE08BC">
            <w:pPr>
              <w:ind w:left="610" w:leftChars="200" w:hanging="190" w:hangingChars="68"/>
              <w:jc w:val="center"/>
              <w:rPr>
                <w:rFonts w:hint="eastAsia" w:ascii="仿宋" w:hAnsi="仿宋" w:eastAsia="仿宋" w:cs="仿宋"/>
                <w:color w:val="auto"/>
                <w:sz w:val="28"/>
                <w:szCs w:val="28"/>
                <w:highlight w:val="none"/>
              </w:rPr>
            </w:pPr>
          </w:p>
        </w:tc>
        <w:tc>
          <w:tcPr>
            <w:tcW w:w="911"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1BAFC208">
            <w:pPr>
              <w:ind w:left="610" w:leftChars="200" w:hanging="190" w:hangingChars="68"/>
              <w:jc w:val="center"/>
              <w:rPr>
                <w:rFonts w:hint="eastAsia" w:ascii="仿宋" w:hAnsi="仿宋" w:eastAsia="仿宋" w:cs="仿宋"/>
                <w:color w:val="auto"/>
                <w:sz w:val="28"/>
                <w:szCs w:val="28"/>
                <w:highlight w:val="none"/>
              </w:rPr>
            </w:pPr>
          </w:p>
        </w:tc>
      </w:tr>
      <w:tr w14:paraId="02123319">
        <w:tblPrEx>
          <w:tblCellMar>
            <w:top w:w="0" w:type="dxa"/>
            <w:left w:w="108" w:type="dxa"/>
            <w:bottom w:w="0" w:type="dxa"/>
            <w:right w:w="108" w:type="dxa"/>
          </w:tblCellMar>
        </w:tblPrEx>
        <w:trPr>
          <w:trHeight w:val="567"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C86799">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16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E6ECBA">
            <w:pPr>
              <w:widowControl/>
              <w:ind w:left="610" w:leftChars="200" w:hanging="190" w:hangingChars="68"/>
              <w:jc w:val="left"/>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45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6649D6">
            <w:pPr>
              <w:widowControl/>
              <w:spacing w:line="280" w:lineRule="exact"/>
              <w:ind w:left="610" w:leftChars="200" w:hanging="190" w:hangingChars="68"/>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13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9257F9">
            <w:pPr>
              <w:widowControl/>
              <w:jc w:val="center"/>
              <w:textAlignment w:val="center"/>
              <w:rPr>
                <w:rFonts w:hint="eastAsia" w:ascii="仿宋" w:hAnsi="仿宋" w:eastAsia="仿宋" w:cs="仿宋"/>
                <w:color w:val="auto"/>
                <w:sz w:val="28"/>
                <w:szCs w:val="28"/>
                <w:highlight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534CEA">
            <w:pPr>
              <w:widowControl/>
              <w:jc w:val="center"/>
              <w:textAlignment w:val="center"/>
              <w:rPr>
                <w:rFonts w:hint="eastAsia" w:ascii="仿宋" w:hAnsi="仿宋" w:eastAsia="仿宋" w:cs="仿宋"/>
                <w:color w:val="auto"/>
                <w:sz w:val="28"/>
                <w:szCs w:val="28"/>
                <w:highlight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FA563E">
            <w:pPr>
              <w:widowControl/>
              <w:jc w:val="center"/>
              <w:textAlignment w:val="center"/>
              <w:rPr>
                <w:rFonts w:hint="eastAsia" w:ascii="仿宋" w:hAnsi="仿宋" w:eastAsia="仿宋" w:cs="仿宋"/>
                <w:color w:val="auto"/>
                <w:sz w:val="28"/>
                <w:szCs w:val="28"/>
                <w:highlight w:val="none"/>
              </w:rPr>
            </w:pP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26E90A">
            <w:pPr>
              <w:widowControl/>
              <w:jc w:val="center"/>
              <w:textAlignment w:val="center"/>
              <w:rPr>
                <w:rFonts w:hint="eastAsia" w:ascii="仿宋" w:hAnsi="仿宋" w:eastAsia="仿宋" w:cs="仿宋"/>
                <w:color w:val="auto"/>
                <w:sz w:val="28"/>
                <w:szCs w:val="28"/>
                <w:highlight w:val="none"/>
              </w:rPr>
            </w:pPr>
          </w:p>
        </w:tc>
        <w:tc>
          <w:tcPr>
            <w:tcW w:w="1202" w:type="dxa"/>
            <w:tcBorders>
              <w:top w:val="single" w:color="000000" w:sz="4" w:space="0"/>
              <w:left w:val="single" w:color="auto" w:sz="4" w:space="0"/>
              <w:bottom w:val="single" w:color="000000" w:sz="4" w:space="0"/>
              <w:right w:val="single" w:color="auto" w:sz="4" w:space="0"/>
            </w:tcBorders>
            <w:shd w:val="clear" w:color="auto" w:fill="FFFFFF"/>
            <w:noWrap w:val="0"/>
            <w:vAlign w:val="center"/>
          </w:tcPr>
          <w:p w14:paraId="34040E2E">
            <w:pPr>
              <w:ind w:left="610" w:leftChars="200" w:hanging="190" w:hangingChars="68"/>
              <w:jc w:val="center"/>
              <w:rPr>
                <w:rFonts w:hint="eastAsia" w:ascii="仿宋" w:hAnsi="仿宋" w:eastAsia="仿宋" w:cs="仿宋"/>
                <w:color w:val="auto"/>
                <w:sz w:val="28"/>
                <w:szCs w:val="28"/>
                <w:highlight w:val="none"/>
              </w:rPr>
            </w:pPr>
          </w:p>
        </w:tc>
        <w:tc>
          <w:tcPr>
            <w:tcW w:w="720" w:type="dxa"/>
            <w:tcBorders>
              <w:top w:val="single" w:color="000000" w:sz="4" w:space="0"/>
              <w:left w:val="single" w:color="auto" w:sz="4" w:space="0"/>
              <w:bottom w:val="single" w:color="000000" w:sz="4" w:space="0"/>
              <w:right w:val="single" w:color="auto" w:sz="4" w:space="0"/>
            </w:tcBorders>
            <w:shd w:val="clear" w:color="auto" w:fill="FFFFFF"/>
            <w:noWrap w:val="0"/>
            <w:vAlign w:val="center"/>
          </w:tcPr>
          <w:p w14:paraId="666B5AE3">
            <w:pPr>
              <w:ind w:left="610" w:leftChars="200" w:hanging="190" w:hangingChars="68"/>
              <w:jc w:val="center"/>
              <w:rPr>
                <w:rFonts w:hint="eastAsia" w:ascii="仿宋" w:hAnsi="仿宋" w:eastAsia="仿宋" w:cs="仿宋"/>
                <w:color w:val="auto"/>
                <w:sz w:val="28"/>
                <w:szCs w:val="28"/>
                <w:highlight w:val="none"/>
              </w:rPr>
            </w:pPr>
          </w:p>
        </w:tc>
        <w:tc>
          <w:tcPr>
            <w:tcW w:w="911"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305CEDD7">
            <w:pPr>
              <w:ind w:left="610" w:leftChars="200" w:hanging="190" w:hangingChars="68"/>
              <w:jc w:val="center"/>
              <w:rPr>
                <w:rFonts w:hint="eastAsia" w:ascii="仿宋" w:hAnsi="仿宋" w:eastAsia="仿宋" w:cs="仿宋"/>
                <w:color w:val="auto"/>
                <w:sz w:val="28"/>
                <w:szCs w:val="28"/>
                <w:highlight w:val="none"/>
              </w:rPr>
            </w:pPr>
          </w:p>
        </w:tc>
      </w:tr>
      <w:tr w14:paraId="38CB0424">
        <w:tblPrEx>
          <w:tblCellMar>
            <w:top w:w="0" w:type="dxa"/>
            <w:left w:w="108" w:type="dxa"/>
            <w:bottom w:w="0" w:type="dxa"/>
            <w:right w:w="108" w:type="dxa"/>
          </w:tblCellMar>
        </w:tblPrEx>
        <w:trPr>
          <w:trHeight w:val="567"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EDA92F">
            <w:pPr>
              <w:widowControl/>
              <w:jc w:val="center"/>
              <w:textAlignment w:val="center"/>
              <w:rPr>
                <w:rFonts w:hint="eastAsia" w:ascii="仿宋" w:hAnsi="仿宋" w:eastAsia="仿宋" w:cs="仿宋"/>
                <w:color w:val="auto"/>
                <w:sz w:val="28"/>
                <w:szCs w:val="28"/>
                <w:highlight w:val="none"/>
              </w:rPr>
            </w:pPr>
          </w:p>
        </w:tc>
        <w:tc>
          <w:tcPr>
            <w:tcW w:w="618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3F2D7C">
            <w:pPr>
              <w:widowControl/>
              <w:spacing w:line="280" w:lineRule="exact"/>
              <w:ind w:left="610" w:leftChars="200" w:hanging="190" w:hangingChars="68"/>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合计（元）</w:t>
            </w:r>
          </w:p>
        </w:tc>
        <w:tc>
          <w:tcPr>
            <w:tcW w:w="7466" w:type="dxa"/>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BC295E">
            <w:pPr>
              <w:ind w:left="610" w:leftChars="200" w:hanging="190" w:hangingChars="68"/>
              <w:jc w:val="center"/>
              <w:rPr>
                <w:rFonts w:hint="eastAsia" w:ascii="仿宋" w:hAnsi="仿宋" w:eastAsia="仿宋" w:cs="仿宋"/>
                <w:color w:val="auto"/>
                <w:sz w:val="28"/>
                <w:szCs w:val="28"/>
                <w:highlight w:val="none"/>
              </w:rPr>
            </w:pPr>
          </w:p>
        </w:tc>
      </w:tr>
    </w:tbl>
    <w:p w14:paraId="22D240D8">
      <w:pPr>
        <w:widowControl/>
        <w:spacing w:before="120" w:after="12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注：供应商需根据采购清单对</w:t>
      </w:r>
      <w:r>
        <w:rPr>
          <w:rFonts w:hint="eastAsia" w:ascii="仿宋" w:hAnsi="仿宋" w:eastAsia="仿宋" w:cs="仿宋"/>
          <w:color w:val="auto"/>
          <w:sz w:val="28"/>
          <w:szCs w:val="28"/>
          <w:highlight w:val="none"/>
          <w:lang w:val="en-US" w:eastAsia="zh-CN"/>
        </w:rPr>
        <w:t>四</w:t>
      </w:r>
      <w:r>
        <w:rPr>
          <w:rFonts w:hint="eastAsia" w:ascii="仿宋" w:hAnsi="仿宋" w:eastAsia="仿宋" w:cs="仿宋"/>
          <w:color w:val="auto"/>
          <w:sz w:val="28"/>
          <w:szCs w:val="28"/>
          <w:highlight w:val="none"/>
        </w:rPr>
        <w:t xml:space="preserve">部分内容分别填写报价明细表，格式见上表。                    </w:t>
      </w:r>
    </w:p>
    <w:p w14:paraId="0DACF437">
      <w:pPr>
        <w:widowControl/>
        <w:spacing w:before="120" w:after="120" w:line="360" w:lineRule="auto"/>
        <w:ind w:firstLine="6440" w:firstLineChars="2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（单位全称、盖章） </w:t>
      </w:r>
    </w:p>
    <w:p w14:paraId="505431BF">
      <w:pPr>
        <w:spacing w:line="360" w:lineRule="auto"/>
        <w:ind w:firstLine="3360" w:firstLineChars="120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法定代表人或被授权代理人：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（签字或盖章）</w:t>
      </w:r>
    </w:p>
    <w:p w14:paraId="278346B6">
      <w:pPr>
        <w:spacing w:line="360" w:lineRule="auto"/>
        <w:ind w:firstLine="8120" w:firstLineChars="29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  年   月  日</w:t>
      </w:r>
    </w:p>
    <w:p w14:paraId="5E2EDB3F">
      <w:pPr>
        <w:pStyle w:val="41"/>
        <w:spacing w:line="360" w:lineRule="auto"/>
        <w:jc w:val="right"/>
        <w:rPr>
          <w:rFonts w:hint="eastAsia" w:ascii="仿宋" w:hAnsi="仿宋" w:eastAsia="仿宋" w:cs="仿宋"/>
          <w:color w:val="auto"/>
          <w:sz w:val="28"/>
          <w:szCs w:val="28"/>
          <w:highlight w:val="none"/>
        </w:rPr>
        <w:sectPr>
          <w:pgSz w:w="16838" w:h="11906" w:orient="landscape"/>
          <w:pgMar w:top="1588" w:right="1440" w:bottom="1588" w:left="1440" w:header="851" w:footer="992" w:gutter="0"/>
          <w:pgNumType w:fmt="decimal"/>
          <w:cols w:space="720" w:num="1"/>
          <w:docGrid w:linePitch="312" w:charSpace="0"/>
        </w:sectPr>
      </w:pPr>
    </w:p>
    <w:p w14:paraId="72A0A84D">
      <w:pPr>
        <w:pageBreakBefore w:val="0"/>
        <w:bidi w:val="0"/>
        <w:spacing w:line="360" w:lineRule="atLeast"/>
        <w:jc w:val="center"/>
        <w:outlineLvl w:val="9"/>
        <w:rPr>
          <w:rFonts w:hint="eastAsia" w:ascii="仿宋" w:hAnsi="仿宋" w:eastAsia="仿宋" w:cs="仿宋"/>
          <w:b/>
          <w:color w:val="auto"/>
          <w:sz w:val="28"/>
          <w:szCs w:val="28"/>
          <w:highlight w:val="none"/>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r>
        <w:rPr>
          <w:rFonts w:hint="eastAsia" w:ascii="仿宋" w:hAnsi="仿宋" w:eastAsia="仿宋" w:cs="仿宋"/>
          <w:b/>
          <w:color w:val="auto"/>
          <w:sz w:val="28"/>
          <w:szCs w:val="28"/>
          <w:highlight w:val="none"/>
          <w:lang w:val="en-US" w:eastAsia="zh-CN"/>
        </w:rPr>
        <w:t>四、投标保证金交纳凭证</w:t>
      </w:r>
    </w:p>
    <w:p w14:paraId="1C561766">
      <w:pPr>
        <w:pStyle w:val="12"/>
        <w:pageBreakBefore w:val="0"/>
        <w:bidi w:val="0"/>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五、</w:t>
      </w:r>
      <w:r>
        <w:rPr>
          <w:rFonts w:hint="eastAsia" w:ascii="仿宋" w:hAnsi="仿宋" w:eastAsia="仿宋" w:cs="仿宋"/>
          <w:b/>
          <w:color w:val="auto"/>
          <w:sz w:val="28"/>
          <w:szCs w:val="28"/>
          <w:highlight w:val="none"/>
        </w:rPr>
        <w:t>技术</w:t>
      </w:r>
      <w:r>
        <w:rPr>
          <w:rFonts w:hint="eastAsia" w:ascii="仿宋" w:hAnsi="仿宋" w:eastAsia="仿宋" w:cs="仿宋"/>
          <w:b/>
          <w:color w:val="auto"/>
          <w:sz w:val="28"/>
          <w:szCs w:val="28"/>
          <w:highlight w:val="none"/>
          <w:lang w:eastAsia="zh-CN"/>
        </w:rPr>
        <w:t>参数</w:t>
      </w:r>
      <w:r>
        <w:rPr>
          <w:rFonts w:hint="eastAsia" w:ascii="仿宋" w:hAnsi="仿宋" w:eastAsia="仿宋" w:cs="仿宋"/>
          <w:b/>
          <w:color w:val="auto"/>
          <w:sz w:val="28"/>
          <w:szCs w:val="28"/>
          <w:highlight w:val="none"/>
        </w:rPr>
        <w:t>响应偏离表</w:t>
      </w:r>
    </w:p>
    <w:p w14:paraId="135435B7">
      <w:pPr>
        <w:pageBreakBefore w:val="0"/>
        <w:kinsoku w:val="0"/>
        <w:bidi w:val="0"/>
        <w:spacing w:line="50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5A267778">
      <w:pPr>
        <w:pageBreakBefore w:val="0"/>
        <w:kinsoku w:val="0"/>
        <w:bidi w:val="0"/>
        <w:spacing w:line="50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u w:val="single"/>
        </w:rPr>
        <w:t xml:space="preserve">                                      </w:t>
      </w:r>
    </w:p>
    <w:p w14:paraId="44495A4E">
      <w:pPr>
        <w:pageBreakBefore w:val="0"/>
        <w:kinsoku w:val="0"/>
        <w:bidi w:val="0"/>
        <w:spacing w:line="50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019AAA74">
      <w:pPr>
        <w:pageBreakBefore w:val="0"/>
        <w:kinsoku w:val="0"/>
        <w:bidi w:val="0"/>
        <w:spacing w:line="50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例如：1、智慧叫号设施设备及系统整体升级改造工程</w:t>
      </w:r>
      <w:r>
        <w:rPr>
          <w:rFonts w:hint="eastAsia" w:ascii="仿宋" w:hAnsi="仿宋" w:eastAsia="仿宋" w:cs="仿宋"/>
          <w:color w:val="auto"/>
          <w:sz w:val="28"/>
          <w:szCs w:val="28"/>
          <w:highlight w:val="none"/>
        </w:rPr>
        <w:t xml:space="preserve">                                      </w:t>
      </w:r>
    </w:p>
    <w:tbl>
      <w:tblPr>
        <w:tblStyle w:val="24"/>
        <w:tblpPr w:leftFromText="180" w:rightFromText="180" w:vertAnchor="text" w:horzAnchor="page" w:tblpXSpec="center" w:tblpY="204"/>
        <w:tblOverlap w:val="never"/>
        <w:tblW w:w="9557" w:type="dxa"/>
        <w:tblInd w:w="-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986"/>
        <w:gridCol w:w="1897"/>
        <w:gridCol w:w="2659"/>
        <w:gridCol w:w="1689"/>
        <w:gridCol w:w="1319"/>
      </w:tblGrid>
      <w:tr w14:paraId="5B333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tcMar>
              <w:top w:w="57" w:type="dxa"/>
              <w:left w:w="28" w:type="dxa"/>
              <w:bottom w:w="57" w:type="dxa"/>
              <w:right w:w="28" w:type="dxa"/>
            </w:tcMar>
            <w:vAlign w:val="center"/>
          </w:tcPr>
          <w:p w14:paraId="7E41C4A5">
            <w:pPr>
              <w:pageBreakBefore w:val="0"/>
              <w:bidi w:val="0"/>
              <w:spacing w:line="360" w:lineRule="exact"/>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986" w:type="dxa"/>
            <w:tcMar>
              <w:top w:w="57" w:type="dxa"/>
              <w:left w:w="28" w:type="dxa"/>
              <w:bottom w:w="57" w:type="dxa"/>
              <w:right w:w="28" w:type="dxa"/>
            </w:tcMar>
            <w:vAlign w:val="center"/>
          </w:tcPr>
          <w:p w14:paraId="3D46050A">
            <w:pPr>
              <w:pageBreakBefore w:val="0"/>
              <w:bidi w:val="0"/>
              <w:spacing w:line="360" w:lineRule="exact"/>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名称</w:t>
            </w:r>
          </w:p>
        </w:tc>
        <w:tc>
          <w:tcPr>
            <w:tcW w:w="1897" w:type="dxa"/>
            <w:vAlign w:val="center"/>
          </w:tcPr>
          <w:p w14:paraId="3F90AAEB">
            <w:pPr>
              <w:pageBreakBefore w:val="0"/>
              <w:bidi w:val="0"/>
              <w:spacing w:line="360" w:lineRule="exact"/>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招标文件</w:t>
            </w:r>
          </w:p>
          <w:p w14:paraId="4F0DCDB3">
            <w:pPr>
              <w:pageBreakBefore w:val="0"/>
              <w:bidi w:val="0"/>
              <w:spacing w:line="360" w:lineRule="exact"/>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技术需求</w:t>
            </w:r>
          </w:p>
        </w:tc>
        <w:tc>
          <w:tcPr>
            <w:tcW w:w="2659" w:type="dxa"/>
            <w:tcMar>
              <w:top w:w="57" w:type="dxa"/>
              <w:left w:w="28" w:type="dxa"/>
              <w:bottom w:w="57" w:type="dxa"/>
              <w:right w:w="28" w:type="dxa"/>
            </w:tcMar>
            <w:vAlign w:val="center"/>
          </w:tcPr>
          <w:p w14:paraId="0782C7EC">
            <w:pPr>
              <w:pageBreakBefore w:val="0"/>
              <w:bidi w:val="0"/>
              <w:spacing w:line="360" w:lineRule="exact"/>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投标文件响应技术指标</w:t>
            </w:r>
          </w:p>
        </w:tc>
        <w:tc>
          <w:tcPr>
            <w:tcW w:w="1689" w:type="dxa"/>
            <w:tcMar>
              <w:top w:w="57" w:type="dxa"/>
              <w:left w:w="28" w:type="dxa"/>
              <w:bottom w:w="57" w:type="dxa"/>
              <w:right w:w="28" w:type="dxa"/>
            </w:tcMar>
            <w:vAlign w:val="center"/>
          </w:tcPr>
          <w:p w14:paraId="3F7EDA25">
            <w:pPr>
              <w:pageBreakBefore w:val="0"/>
              <w:bidi w:val="0"/>
              <w:spacing w:line="360" w:lineRule="exact"/>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偏离情况</w:t>
            </w:r>
          </w:p>
        </w:tc>
        <w:tc>
          <w:tcPr>
            <w:tcW w:w="1319" w:type="dxa"/>
            <w:tcMar>
              <w:top w:w="57" w:type="dxa"/>
              <w:left w:w="28" w:type="dxa"/>
              <w:bottom w:w="57" w:type="dxa"/>
              <w:right w:w="28" w:type="dxa"/>
            </w:tcMar>
            <w:vAlign w:val="center"/>
          </w:tcPr>
          <w:p w14:paraId="762F5847">
            <w:pPr>
              <w:pageBreakBefore w:val="0"/>
              <w:bidi w:val="0"/>
              <w:spacing w:line="360" w:lineRule="exact"/>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偏离说明</w:t>
            </w:r>
          </w:p>
        </w:tc>
      </w:tr>
      <w:tr w14:paraId="64AD5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007" w:type="dxa"/>
            <w:tcMar>
              <w:top w:w="57" w:type="dxa"/>
              <w:left w:w="28" w:type="dxa"/>
              <w:bottom w:w="57" w:type="dxa"/>
              <w:right w:w="28" w:type="dxa"/>
            </w:tcMar>
            <w:vAlign w:val="center"/>
          </w:tcPr>
          <w:p w14:paraId="2FB71825">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986" w:type="dxa"/>
            <w:tcMar>
              <w:top w:w="57" w:type="dxa"/>
              <w:left w:w="28" w:type="dxa"/>
              <w:bottom w:w="57" w:type="dxa"/>
              <w:right w:w="28" w:type="dxa"/>
            </w:tcMar>
            <w:vAlign w:val="center"/>
          </w:tcPr>
          <w:p w14:paraId="54AE39B4">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1897" w:type="dxa"/>
            <w:vAlign w:val="center"/>
          </w:tcPr>
          <w:p w14:paraId="122ADA46">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2659" w:type="dxa"/>
            <w:tcMar>
              <w:top w:w="57" w:type="dxa"/>
              <w:left w:w="28" w:type="dxa"/>
              <w:bottom w:w="57" w:type="dxa"/>
              <w:right w:w="28" w:type="dxa"/>
            </w:tcMar>
            <w:vAlign w:val="center"/>
          </w:tcPr>
          <w:p w14:paraId="0959F4FC">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1689" w:type="dxa"/>
            <w:tcMar>
              <w:top w:w="57" w:type="dxa"/>
              <w:left w:w="28" w:type="dxa"/>
              <w:bottom w:w="57" w:type="dxa"/>
              <w:right w:w="28" w:type="dxa"/>
            </w:tcMar>
            <w:vAlign w:val="center"/>
          </w:tcPr>
          <w:p w14:paraId="357CFFC6">
            <w:pPr>
              <w:pageBreakBefore w:val="0"/>
              <w:bidi w:val="0"/>
              <w:spacing w:line="480" w:lineRule="exact"/>
              <w:outlineLvl w:val="9"/>
              <w:rPr>
                <w:rFonts w:hint="eastAsia" w:ascii="仿宋" w:hAnsi="仿宋" w:eastAsia="仿宋" w:cs="仿宋"/>
                <w:color w:val="auto"/>
                <w:sz w:val="28"/>
                <w:szCs w:val="28"/>
                <w:highlight w:val="none"/>
              </w:rPr>
            </w:pPr>
          </w:p>
        </w:tc>
        <w:tc>
          <w:tcPr>
            <w:tcW w:w="1319" w:type="dxa"/>
            <w:tcMar>
              <w:top w:w="57" w:type="dxa"/>
              <w:left w:w="28" w:type="dxa"/>
              <w:bottom w:w="57" w:type="dxa"/>
              <w:right w:w="28" w:type="dxa"/>
            </w:tcMar>
            <w:vAlign w:val="center"/>
          </w:tcPr>
          <w:p w14:paraId="1458D0D7">
            <w:pPr>
              <w:pageBreakBefore w:val="0"/>
              <w:bidi w:val="0"/>
              <w:spacing w:line="480" w:lineRule="exact"/>
              <w:ind w:left="210" w:leftChars="100"/>
              <w:outlineLvl w:val="9"/>
              <w:rPr>
                <w:rFonts w:hint="eastAsia" w:ascii="仿宋" w:hAnsi="仿宋" w:eastAsia="仿宋" w:cs="仿宋"/>
                <w:color w:val="auto"/>
                <w:sz w:val="28"/>
                <w:szCs w:val="28"/>
                <w:highlight w:val="none"/>
              </w:rPr>
            </w:pPr>
          </w:p>
        </w:tc>
      </w:tr>
      <w:tr w14:paraId="06075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tcMar>
              <w:top w:w="57" w:type="dxa"/>
              <w:left w:w="28" w:type="dxa"/>
              <w:bottom w:w="57" w:type="dxa"/>
              <w:right w:w="28" w:type="dxa"/>
            </w:tcMar>
            <w:vAlign w:val="center"/>
          </w:tcPr>
          <w:p w14:paraId="35C77202">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986" w:type="dxa"/>
            <w:tcMar>
              <w:top w:w="57" w:type="dxa"/>
              <w:left w:w="28" w:type="dxa"/>
              <w:bottom w:w="57" w:type="dxa"/>
              <w:right w:w="28" w:type="dxa"/>
            </w:tcMar>
            <w:vAlign w:val="center"/>
          </w:tcPr>
          <w:p w14:paraId="6AA76217">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1897" w:type="dxa"/>
            <w:vAlign w:val="center"/>
          </w:tcPr>
          <w:p w14:paraId="012691E9">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2659" w:type="dxa"/>
            <w:tcMar>
              <w:top w:w="57" w:type="dxa"/>
              <w:left w:w="28" w:type="dxa"/>
              <w:bottom w:w="57" w:type="dxa"/>
              <w:right w:w="28" w:type="dxa"/>
            </w:tcMar>
            <w:vAlign w:val="center"/>
          </w:tcPr>
          <w:p w14:paraId="3B0F776F">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1689" w:type="dxa"/>
            <w:tcMar>
              <w:top w:w="57" w:type="dxa"/>
              <w:left w:w="28" w:type="dxa"/>
              <w:bottom w:w="57" w:type="dxa"/>
              <w:right w:w="28" w:type="dxa"/>
            </w:tcMar>
            <w:vAlign w:val="center"/>
          </w:tcPr>
          <w:p w14:paraId="76DD4421">
            <w:pPr>
              <w:pageBreakBefore w:val="0"/>
              <w:bidi w:val="0"/>
              <w:spacing w:line="480" w:lineRule="exact"/>
              <w:outlineLvl w:val="9"/>
              <w:rPr>
                <w:rFonts w:hint="eastAsia" w:ascii="仿宋" w:hAnsi="仿宋" w:eastAsia="仿宋" w:cs="仿宋"/>
                <w:color w:val="auto"/>
                <w:sz w:val="28"/>
                <w:szCs w:val="28"/>
                <w:highlight w:val="none"/>
              </w:rPr>
            </w:pPr>
          </w:p>
        </w:tc>
        <w:tc>
          <w:tcPr>
            <w:tcW w:w="1319" w:type="dxa"/>
            <w:tcMar>
              <w:top w:w="57" w:type="dxa"/>
              <w:left w:w="28" w:type="dxa"/>
              <w:bottom w:w="57" w:type="dxa"/>
              <w:right w:w="28" w:type="dxa"/>
            </w:tcMar>
            <w:vAlign w:val="center"/>
          </w:tcPr>
          <w:p w14:paraId="4A6751EA">
            <w:pPr>
              <w:pageBreakBefore w:val="0"/>
              <w:bidi w:val="0"/>
              <w:spacing w:line="480" w:lineRule="exact"/>
              <w:ind w:left="210" w:leftChars="100"/>
              <w:outlineLvl w:val="9"/>
              <w:rPr>
                <w:rFonts w:hint="eastAsia" w:ascii="仿宋" w:hAnsi="仿宋" w:eastAsia="仿宋" w:cs="仿宋"/>
                <w:color w:val="auto"/>
                <w:sz w:val="28"/>
                <w:szCs w:val="28"/>
                <w:highlight w:val="none"/>
              </w:rPr>
            </w:pPr>
          </w:p>
        </w:tc>
      </w:tr>
      <w:tr w14:paraId="72BDF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tcMar>
              <w:top w:w="57" w:type="dxa"/>
              <w:left w:w="28" w:type="dxa"/>
              <w:bottom w:w="57" w:type="dxa"/>
              <w:right w:w="28" w:type="dxa"/>
            </w:tcMar>
            <w:vAlign w:val="center"/>
          </w:tcPr>
          <w:p w14:paraId="6102C715">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986" w:type="dxa"/>
            <w:tcMar>
              <w:top w:w="57" w:type="dxa"/>
              <w:left w:w="28" w:type="dxa"/>
              <w:bottom w:w="57" w:type="dxa"/>
              <w:right w:w="28" w:type="dxa"/>
            </w:tcMar>
            <w:vAlign w:val="center"/>
          </w:tcPr>
          <w:p w14:paraId="1136BD3F">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1897" w:type="dxa"/>
            <w:vAlign w:val="center"/>
          </w:tcPr>
          <w:p w14:paraId="46E54870">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2659" w:type="dxa"/>
            <w:tcMar>
              <w:top w:w="57" w:type="dxa"/>
              <w:left w:w="28" w:type="dxa"/>
              <w:bottom w:w="57" w:type="dxa"/>
              <w:right w:w="28" w:type="dxa"/>
            </w:tcMar>
            <w:vAlign w:val="center"/>
          </w:tcPr>
          <w:p w14:paraId="1293CE12">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1689" w:type="dxa"/>
            <w:tcMar>
              <w:top w:w="57" w:type="dxa"/>
              <w:left w:w="28" w:type="dxa"/>
              <w:bottom w:w="57" w:type="dxa"/>
              <w:right w:w="28" w:type="dxa"/>
            </w:tcMar>
            <w:vAlign w:val="center"/>
          </w:tcPr>
          <w:p w14:paraId="3ADBD787">
            <w:pPr>
              <w:pageBreakBefore w:val="0"/>
              <w:bidi w:val="0"/>
              <w:spacing w:line="480" w:lineRule="exact"/>
              <w:outlineLvl w:val="9"/>
              <w:rPr>
                <w:rFonts w:hint="eastAsia" w:ascii="仿宋" w:hAnsi="仿宋" w:eastAsia="仿宋" w:cs="仿宋"/>
                <w:color w:val="auto"/>
                <w:sz w:val="28"/>
                <w:szCs w:val="28"/>
                <w:highlight w:val="none"/>
              </w:rPr>
            </w:pPr>
          </w:p>
        </w:tc>
        <w:tc>
          <w:tcPr>
            <w:tcW w:w="1319" w:type="dxa"/>
            <w:tcMar>
              <w:top w:w="57" w:type="dxa"/>
              <w:left w:w="28" w:type="dxa"/>
              <w:bottom w:w="57" w:type="dxa"/>
              <w:right w:w="28" w:type="dxa"/>
            </w:tcMar>
            <w:vAlign w:val="center"/>
          </w:tcPr>
          <w:p w14:paraId="50EA5DED">
            <w:pPr>
              <w:pageBreakBefore w:val="0"/>
              <w:bidi w:val="0"/>
              <w:spacing w:line="480" w:lineRule="exact"/>
              <w:ind w:left="210" w:leftChars="100"/>
              <w:outlineLvl w:val="9"/>
              <w:rPr>
                <w:rFonts w:hint="eastAsia" w:ascii="仿宋" w:hAnsi="仿宋" w:eastAsia="仿宋" w:cs="仿宋"/>
                <w:color w:val="auto"/>
                <w:sz w:val="28"/>
                <w:szCs w:val="28"/>
                <w:highlight w:val="none"/>
              </w:rPr>
            </w:pPr>
          </w:p>
        </w:tc>
      </w:tr>
      <w:tr w14:paraId="772B3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tcMar>
              <w:top w:w="57" w:type="dxa"/>
              <w:left w:w="28" w:type="dxa"/>
              <w:bottom w:w="57" w:type="dxa"/>
              <w:right w:w="28" w:type="dxa"/>
            </w:tcMar>
            <w:vAlign w:val="center"/>
          </w:tcPr>
          <w:p w14:paraId="316A81F8">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986" w:type="dxa"/>
            <w:tcMar>
              <w:top w:w="57" w:type="dxa"/>
              <w:left w:w="28" w:type="dxa"/>
              <w:bottom w:w="57" w:type="dxa"/>
              <w:right w:w="28" w:type="dxa"/>
            </w:tcMar>
            <w:vAlign w:val="center"/>
          </w:tcPr>
          <w:p w14:paraId="7D0FF272">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1897" w:type="dxa"/>
            <w:vAlign w:val="center"/>
          </w:tcPr>
          <w:p w14:paraId="7310C0F6">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2659" w:type="dxa"/>
            <w:tcMar>
              <w:top w:w="57" w:type="dxa"/>
              <w:left w:w="28" w:type="dxa"/>
              <w:bottom w:w="57" w:type="dxa"/>
              <w:right w:w="28" w:type="dxa"/>
            </w:tcMar>
            <w:vAlign w:val="center"/>
          </w:tcPr>
          <w:p w14:paraId="1483DEAD">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1689" w:type="dxa"/>
            <w:tcMar>
              <w:top w:w="57" w:type="dxa"/>
              <w:left w:w="28" w:type="dxa"/>
              <w:bottom w:w="57" w:type="dxa"/>
              <w:right w:w="28" w:type="dxa"/>
            </w:tcMar>
            <w:vAlign w:val="center"/>
          </w:tcPr>
          <w:p w14:paraId="7DA2C655">
            <w:pPr>
              <w:pageBreakBefore w:val="0"/>
              <w:bidi w:val="0"/>
              <w:spacing w:line="480" w:lineRule="exact"/>
              <w:outlineLvl w:val="9"/>
              <w:rPr>
                <w:rFonts w:hint="eastAsia" w:ascii="仿宋" w:hAnsi="仿宋" w:eastAsia="仿宋" w:cs="仿宋"/>
                <w:color w:val="auto"/>
                <w:sz w:val="28"/>
                <w:szCs w:val="28"/>
                <w:highlight w:val="none"/>
              </w:rPr>
            </w:pPr>
          </w:p>
        </w:tc>
        <w:tc>
          <w:tcPr>
            <w:tcW w:w="1319" w:type="dxa"/>
            <w:tcMar>
              <w:top w:w="57" w:type="dxa"/>
              <w:left w:w="28" w:type="dxa"/>
              <w:bottom w:w="57" w:type="dxa"/>
              <w:right w:w="28" w:type="dxa"/>
            </w:tcMar>
            <w:vAlign w:val="center"/>
          </w:tcPr>
          <w:p w14:paraId="4D4B026F">
            <w:pPr>
              <w:pageBreakBefore w:val="0"/>
              <w:bidi w:val="0"/>
              <w:spacing w:line="480" w:lineRule="exact"/>
              <w:ind w:left="210" w:leftChars="100"/>
              <w:outlineLvl w:val="9"/>
              <w:rPr>
                <w:rFonts w:hint="eastAsia" w:ascii="仿宋" w:hAnsi="仿宋" w:eastAsia="仿宋" w:cs="仿宋"/>
                <w:color w:val="auto"/>
                <w:sz w:val="28"/>
                <w:szCs w:val="28"/>
                <w:highlight w:val="none"/>
              </w:rPr>
            </w:pPr>
          </w:p>
        </w:tc>
      </w:tr>
      <w:tr w14:paraId="3288B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tcMar>
              <w:top w:w="57" w:type="dxa"/>
              <w:left w:w="28" w:type="dxa"/>
              <w:bottom w:w="57" w:type="dxa"/>
              <w:right w:w="28" w:type="dxa"/>
            </w:tcMar>
            <w:vAlign w:val="center"/>
          </w:tcPr>
          <w:p w14:paraId="411F7895">
            <w:pPr>
              <w:pageBreakBefore w:val="0"/>
              <w:bidi w:val="0"/>
              <w:spacing w:line="480" w:lineRule="exact"/>
              <w:ind w:left="210" w:leftChars="1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986" w:type="dxa"/>
            <w:tcMar>
              <w:top w:w="57" w:type="dxa"/>
              <w:left w:w="28" w:type="dxa"/>
              <w:bottom w:w="57" w:type="dxa"/>
              <w:right w:w="28" w:type="dxa"/>
            </w:tcMar>
            <w:vAlign w:val="center"/>
          </w:tcPr>
          <w:p w14:paraId="63CEE2D5">
            <w:pPr>
              <w:pageBreakBefore w:val="0"/>
              <w:bidi w:val="0"/>
              <w:spacing w:line="480" w:lineRule="exact"/>
              <w:ind w:left="210" w:leftChars="1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1897" w:type="dxa"/>
            <w:vAlign w:val="center"/>
          </w:tcPr>
          <w:p w14:paraId="03B40644">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2659" w:type="dxa"/>
            <w:tcMar>
              <w:top w:w="57" w:type="dxa"/>
              <w:left w:w="28" w:type="dxa"/>
              <w:bottom w:w="57" w:type="dxa"/>
              <w:right w:w="28" w:type="dxa"/>
            </w:tcMar>
            <w:vAlign w:val="center"/>
          </w:tcPr>
          <w:p w14:paraId="1A5A0B6D">
            <w:pPr>
              <w:pageBreakBefore w:val="0"/>
              <w:bidi w:val="0"/>
              <w:spacing w:line="480" w:lineRule="exact"/>
              <w:ind w:left="210" w:leftChars="100"/>
              <w:outlineLvl w:val="9"/>
              <w:rPr>
                <w:rFonts w:hint="eastAsia" w:ascii="仿宋" w:hAnsi="仿宋" w:eastAsia="仿宋" w:cs="仿宋"/>
                <w:color w:val="auto"/>
                <w:sz w:val="28"/>
                <w:szCs w:val="28"/>
                <w:highlight w:val="none"/>
              </w:rPr>
            </w:pPr>
          </w:p>
        </w:tc>
        <w:tc>
          <w:tcPr>
            <w:tcW w:w="1689" w:type="dxa"/>
            <w:tcMar>
              <w:top w:w="57" w:type="dxa"/>
              <w:left w:w="28" w:type="dxa"/>
              <w:bottom w:w="57" w:type="dxa"/>
              <w:right w:w="28" w:type="dxa"/>
            </w:tcMar>
            <w:vAlign w:val="center"/>
          </w:tcPr>
          <w:p w14:paraId="7EF33FFF">
            <w:pPr>
              <w:pageBreakBefore w:val="0"/>
              <w:bidi w:val="0"/>
              <w:spacing w:line="480" w:lineRule="exact"/>
              <w:outlineLvl w:val="9"/>
              <w:rPr>
                <w:rFonts w:hint="eastAsia" w:ascii="仿宋" w:hAnsi="仿宋" w:eastAsia="仿宋" w:cs="仿宋"/>
                <w:color w:val="auto"/>
                <w:sz w:val="28"/>
                <w:szCs w:val="28"/>
                <w:highlight w:val="none"/>
              </w:rPr>
            </w:pPr>
          </w:p>
        </w:tc>
        <w:tc>
          <w:tcPr>
            <w:tcW w:w="1319" w:type="dxa"/>
            <w:tcMar>
              <w:top w:w="57" w:type="dxa"/>
              <w:left w:w="28" w:type="dxa"/>
              <w:bottom w:w="57" w:type="dxa"/>
              <w:right w:w="28" w:type="dxa"/>
            </w:tcMar>
            <w:vAlign w:val="center"/>
          </w:tcPr>
          <w:p w14:paraId="07E626E8">
            <w:pPr>
              <w:pageBreakBefore w:val="0"/>
              <w:bidi w:val="0"/>
              <w:spacing w:line="480" w:lineRule="exact"/>
              <w:ind w:left="210" w:leftChars="100"/>
              <w:outlineLvl w:val="9"/>
              <w:rPr>
                <w:rFonts w:hint="eastAsia" w:ascii="仿宋" w:hAnsi="仿宋" w:eastAsia="仿宋" w:cs="仿宋"/>
                <w:color w:val="auto"/>
                <w:sz w:val="28"/>
                <w:szCs w:val="28"/>
                <w:highlight w:val="none"/>
              </w:rPr>
            </w:pPr>
          </w:p>
        </w:tc>
      </w:tr>
    </w:tbl>
    <w:p w14:paraId="74383B69">
      <w:pPr>
        <w:pageBreakBefore w:val="0"/>
        <w:autoSpaceDE w:val="0"/>
        <w:autoSpaceDN w:val="0"/>
        <w:bidi w:val="0"/>
        <w:adjustRightInd w:val="0"/>
        <w:spacing w:line="360" w:lineRule="auto"/>
        <w:ind w:firstLine="560" w:firstLineChars="200"/>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注：请按项目的实际技术参数，逐条对应招标文件的“</w:t>
      </w:r>
      <w:r>
        <w:rPr>
          <w:rFonts w:hint="eastAsia" w:ascii="仿宋" w:hAnsi="仿宋" w:eastAsia="仿宋" w:cs="仿宋"/>
          <w:color w:val="auto"/>
          <w:sz w:val="28"/>
          <w:szCs w:val="28"/>
          <w:highlight w:val="none"/>
          <w:lang w:val="en-US" w:eastAsia="zh-CN"/>
        </w:rPr>
        <w:t>采购清单</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按照四</w:t>
      </w:r>
      <w:r>
        <w:rPr>
          <w:rFonts w:hint="eastAsia" w:ascii="仿宋" w:hAnsi="仿宋" w:eastAsia="仿宋" w:cs="仿宋"/>
          <w:color w:val="auto"/>
          <w:sz w:val="28"/>
          <w:szCs w:val="28"/>
          <w:highlight w:val="none"/>
        </w:rPr>
        <w:t>部分内容分别填写</w:t>
      </w:r>
      <w:r>
        <w:rPr>
          <w:rFonts w:hint="eastAsia" w:ascii="仿宋" w:hAnsi="仿宋" w:eastAsia="仿宋" w:cs="仿宋"/>
          <w:color w:val="auto"/>
          <w:sz w:val="28"/>
          <w:szCs w:val="28"/>
          <w:highlight w:val="none"/>
          <w:lang w:val="en-US" w:eastAsia="zh-CN"/>
        </w:rPr>
        <w:t>偏离表</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格式可根据采购清单适当调整，但不得改变表格内容</w:t>
      </w:r>
      <w:r>
        <w:rPr>
          <w:rFonts w:hint="eastAsia" w:ascii="仿宋" w:hAnsi="仿宋" w:eastAsia="仿宋" w:cs="仿宋"/>
          <w:color w:val="auto"/>
          <w:sz w:val="28"/>
          <w:szCs w:val="28"/>
          <w:highlight w:val="none"/>
        </w:rPr>
        <w:t>。偏离情况填写：</w:t>
      </w:r>
      <w:r>
        <w:rPr>
          <w:rFonts w:hint="eastAsia" w:ascii="仿宋" w:hAnsi="仿宋" w:eastAsia="仿宋" w:cs="仿宋"/>
          <w:color w:val="auto"/>
          <w:sz w:val="28"/>
          <w:szCs w:val="28"/>
          <w:highlight w:val="none"/>
          <w:lang w:val="en-US" w:eastAsia="zh-CN"/>
        </w:rPr>
        <w:t>正偏离</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负偏离、无偏离</w:t>
      </w:r>
      <w:r>
        <w:rPr>
          <w:rFonts w:hint="eastAsia" w:ascii="仿宋" w:hAnsi="仿宋" w:eastAsia="仿宋" w:cs="仿宋"/>
          <w:color w:val="auto"/>
          <w:sz w:val="28"/>
          <w:szCs w:val="28"/>
          <w:highlight w:val="none"/>
        </w:rPr>
        <w:t>，偏离说明对偏离情况做出详细说明</w:t>
      </w:r>
      <w:r>
        <w:rPr>
          <w:rFonts w:hint="eastAsia" w:ascii="仿宋" w:hAnsi="仿宋" w:eastAsia="仿宋" w:cs="仿宋"/>
          <w:color w:val="auto"/>
          <w:sz w:val="28"/>
          <w:szCs w:val="28"/>
          <w:highlight w:val="none"/>
          <w:lang w:val="en-US" w:eastAsia="zh-CN"/>
        </w:rPr>
        <w:t>。</w:t>
      </w:r>
    </w:p>
    <w:p w14:paraId="29892447">
      <w:pPr>
        <w:pStyle w:val="12"/>
        <w:pageBreakBefore w:val="0"/>
        <w:bidi w:val="0"/>
        <w:ind w:firstLine="480"/>
        <w:outlineLvl w:val="9"/>
        <w:rPr>
          <w:rFonts w:hint="eastAsia" w:ascii="仿宋" w:hAnsi="仿宋" w:eastAsia="仿宋" w:cs="仿宋"/>
          <w:color w:val="auto"/>
          <w:sz w:val="28"/>
          <w:szCs w:val="28"/>
          <w:highlight w:val="none"/>
        </w:rPr>
      </w:pPr>
    </w:p>
    <w:p w14:paraId="5FF4A99C">
      <w:pPr>
        <w:pStyle w:val="12"/>
        <w:pageBreakBefore w:val="0"/>
        <w:bidi w:val="0"/>
        <w:ind w:firstLine="480"/>
        <w:outlineLvl w:val="9"/>
        <w:rPr>
          <w:rFonts w:hint="eastAsia" w:ascii="仿宋" w:hAnsi="仿宋" w:eastAsia="仿宋" w:cs="仿宋"/>
          <w:color w:val="auto"/>
          <w:sz w:val="28"/>
          <w:szCs w:val="28"/>
          <w:highlight w:val="none"/>
        </w:rPr>
      </w:pPr>
    </w:p>
    <w:p w14:paraId="35D02DFF">
      <w:pPr>
        <w:pStyle w:val="12"/>
        <w:pageBreakBefore w:val="0"/>
        <w:bidi w:val="0"/>
        <w:ind w:firstLine="48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投标人（公章）：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70EED24A">
      <w:pPr>
        <w:pStyle w:val="12"/>
        <w:pageBreakBefore w:val="0"/>
        <w:bidi w:val="0"/>
        <w:ind w:firstLine="480"/>
        <w:outlineLvl w:val="9"/>
        <w:rPr>
          <w:rFonts w:hint="eastAsia" w:ascii="仿宋" w:hAnsi="仿宋" w:eastAsia="仿宋" w:cs="仿宋"/>
          <w:color w:val="auto"/>
          <w:sz w:val="28"/>
          <w:szCs w:val="28"/>
          <w:highlight w:val="none"/>
        </w:rPr>
      </w:pPr>
    </w:p>
    <w:p w14:paraId="08FEBFDB">
      <w:pPr>
        <w:pStyle w:val="12"/>
        <w:pageBreakBefore w:val="0"/>
        <w:bidi w:val="0"/>
        <w:ind w:firstLine="480"/>
        <w:outlineLvl w:val="9"/>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法定代表人/被授权人（签字或盖章）：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018ADD1C">
      <w:pPr>
        <w:pStyle w:val="14"/>
        <w:pageBreakBefore w:val="0"/>
        <w:bidi w:val="0"/>
        <w:outlineLvl w:val="9"/>
        <w:rPr>
          <w:rFonts w:hint="eastAsia" w:ascii="仿宋" w:hAnsi="仿宋" w:eastAsia="仿宋" w:cs="仿宋"/>
          <w:color w:val="auto"/>
          <w:sz w:val="28"/>
          <w:szCs w:val="28"/>
          <w:highlight w:val="none"/>
        </w:rPr>
        <w:sectPr>
          <w:headerReference r:id="rId15" w:type="first"/>
          <w:footerReference r:id="rId17" w:type="first"/>
          <w:headerReference r:id="rId14" w:type="default"/>
          <w:footerReference r:id="rId16"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39777D45">
      <w:pPr>
        <w:pageBreakBefore w:val="0"/>
        <w:bidi w:val="0"/>
        <w:adjustRightInd w:val="0"/>
        <w:snapToGrid w:val="0"/>
        <w:spacing w:line="360" w:lineRule="auto"/>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六、</w:t>
      </w:r>
      <w:r>
        <w:rPr>
          <w:rFonts w:hint="eastAsia" w:ascii="仿宋" w:hAnsi="仿宋" w:eastAsia="仿宋" w:cs="仿宋"/>
          <w:b/>
          <w:color w:val="auto"/>
          <w:sz w:val="28"/>
          <w:szCs w:val="28"/>
          <w:highlight w:val="none"/>
        </w:rPr>
        <w:t>商务及合同主要条款响应说明</w:t>
      </w:r>
    </w:p>
    <w:p w14:paraId="01B79C3B">
      <w:pPr>
        <w:pageBreakBefore w:val="0"/>
        <w:kinsoku w:val="0"/>
        <w:bidi w:val="0"/>
        <w:spacing w:line="50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5CBDC88E">
      <w:pPr>
        <w:pageBreakBefore w:val="0"/>
        <w:kinsoku w:val="0"/>
        <w:bidi w:val="0"/>
        <w:spacing w:line="50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u w:val="single"/>
        </w:rPr>
        <w:t xml:space="preserve">                                      </w:t>
      </w:r>
    </w:p>
    <w:p w14:paraId="65CB5FD5">
      <w:pPr>
        <w:pageBreakBefore w:val="0"/>
        <w:kinsoku w:val="0"/>
        <w:bidi w:val="0"/>
        <w:spacing w:line="540" w:lineRule="exact"/>
        <w:outlineLvl w:val="9"/>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投标人: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tbl>
      <w:tblPr>
        <w:tblStyle w:val="24"/>
        <w:tblW w:w="9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3451"/>
        <w:gridCol w:w="3015"/>
        <w:gridCol w:w="1881"/>
      </w:tblGrid>
      <w:tr w14:paraId="41DBC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2E1BE25E">
            <w:pPr>
              <w:pageBreakBefore w:val="0"/>
              <w:bidi w:val="0"/>
              <w:spacing w:line="560" w:lineRule="exact"/>
              <w:ind w:right="-168" w:rightChars="-80" w:firstLine="140" w:firstLineChars="5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3451" w:type="dxa"/>
            <w:vAlign w:val="center"/>
          </w:tcPr>
          <w:p w14:paraId="75737F8F">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招标文件要求</w:t>
            </w:r>
          </w:p>
        </w:tc>
        <w:tc>
          <w:tcPr>
            <w:tcW w:w="3015" w:type="dxa"/>
            <w:vAlign w:val="center"/>
          </w:tcPr>
          <w:p w14:paraId="6719BFD5">
            <w:pPr>
              <w:pageBreakBefore w:val="0"/>
              <w:bidi w:val="0"/>
              <w:spacing w:line="560" w:lineRule="exact"/>
              <w:ind w:right="-168" w:rightChars="-80" w:firstLine="420" w:firstLineChars="15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投标文件实际数据</w:t>
            </w:r>
          </w:p>
        </w:tc>
        <w:tc>
          <w:tcPr>
            <w:tcW w:w="1881" w:type="dxa"/>
            <w:vAlign w:val="center"/>
          </w:tcPr>
          <w:p w14:paraId="34C1DE2F">
            <w:pPr>
              <w:pageBreakBefore w:val="0"/>
              <w:bidi w:val="0"/>
              <w:spacing w:line="560" w:lineRule="exact"/>
              <w:ind w:right="-168" w:rightChars="-80" w:firstLine="420" w:firstLineChars="15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响应说明</w:t>
            </w:r>
          </w:p>
        </w:tc>
      </w:tr>
      <w:tr w14:paraId="26E69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4F0C137">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451" w:type="dxa"/>
            <w:vAlign w:val="center"/>
          </w:tcPr>
          <w:p w14:paraId="2DE86DD5">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015" w:type="dxa"/>
            <w:vAlign w:val="center"/>
          </w:tcPr>
          <w:p w14:paraId="652E922E">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1881" w:type="dxa"/>
            <w:vAlign w:val="center"/>
          </w:tcPr>
          <w:p w14:paraId="7738C7BA">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r>
      <w:tr w14:paraId="0C043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3AC5FD02">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451" w:type="dxa"/>
            <w:vAlign w:val="center"/>
          </w:tcPr>
          <w:p w14:paraId="60886F75">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015" w:type="dxa"/>
            <w:vAlign w:val="center"/>
          </w:tcPr>
          <w:p w14:paraId="632AF887">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1881" w:type="dxa"/>
            <w:vAlign w:val="center"/>
          </w:tcPr>
          <w:p w14:paraId="364D43AA">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r>
      <w:tr w14:paraId="6314C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1A00C7A0">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451" w:type="dxa"/>
            <w:vAlign w:val="center"/>
          </w:tcPr>
          <w:p w14:paraId="2B1B4E32">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015" w:type="dxa"/>
            <w:vAlign w:val="center"/>
          </w:tcPr>
          <w:p w14:paraId="2F02C3F5">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1881" w:type="dxa"/>
            <w:vAlign w:val="center"/>
          </w:tcPr>
          <w:p w14:paraId="6233F762">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r>
      <w:tr w14:paraId="47F9B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54FEDE14">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451" w:type="dxa"/>
            <w:vAlign w:val="center"/>
          </w:tcPr>
          <w:p w14:paraId="21EF0EA3">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015" w:type="dxa"/>
            <w:vAlign w:val="center"/>
          </w:tcPr>
          <w:p w14:paraId="7DFD32FE">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1881" w:type="dxa"/>
            <w:vAlign w:val="center"/>
          </w:tcPr>
          <w:p w14:paraId="3B5CBBD6">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r>
      <w:tr w14:paraId="7A58C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0D1423B7">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451" w:type="dxa"/>
            <w:vAlign w:val="center"/>
          </w:tcPr>
          <w:p w14:paraId="12956BE2">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015" w:type="dxa"/>
            <w:vAlign w:val="center"/>
          </w:tcPr>
          <w:p w14:paraId="7EEAC110">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1881" w:type="dxa"/>
            <w:vAlign w:val="center"/>
          </w:tcPr>
          <w:p w14:paraId="2D04BE8A">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r>
      <w:tr w14:paraId="7FFB8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34E3C2D2">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451" w:type="dxa"/>
            <w:vAlign w:val="center"/>
          </w:tcPr>
          <w:p w14:paraId="734A4F61">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015" w:type="dxa"/>
            <w:vAlign w:val="center"/>
          </w:tcPr>
          <w:p w14:paraId="261F65BE">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1881" w:type="dxa"/>
            <w:vAlign w:val="center"/>
          </w:tcPr>
          <w:p w14:paraId="2EA2AAC2">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r>
      <w:tr w14:paraId="3A104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356D180">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451" w:type="dxa"/>
            <w:vAlign w:val="center"/>
          </w:tcPr>
          <w:p w14:paraId="3AE2FDA3">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015" w:type="dxa"/>
            <w:vAlign w:val="center"/>
          </w:tcPr>
          <w:p w14:paraId="51F773BA">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1881" w:type="dxa"/>
            <w:vAlign w:val="center"/>
          </w:tcPr>
          <w:p w14:paraId="041BC2BF">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r>
      <w:tr w14:paraId="6B68B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79FB5FCA">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451" w:type="dxa"/>
            <w:vAlign w:val="center"/>
          </w:tcPr>
          <w:p w14:paraId="47DEE336">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015" w:type="dxa"/>
            <w:vAlign w:val="center"/>
          </w:tcPr>
          <w:p w14:paraId="70B7532E">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1881" w:type="dxa"/>
            <w:vAlign w:val="center"/>
          </w:tcPr>
          <w:p w14:paraId="323CFA7E">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r>
      <w:tr w14:paraId="12EC6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2A5FCCC">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451" w:type="dxa"/>
            <w:vAlign w:val="center"/>
          </w:tcPr>
          <w:p w14:paraId="5A41D13F">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015" w:type="dxa"/>
            <w:vAlign w:val="center"/>
          </w:tcPr>
          <w:p w14:paraId="732E5D52">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1881" w:type="dxa"/>
            <w:vAlign w:val="center"/>
          </w:tcPr>
          <w:p w14:paraId="408108CE">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r>
      <w:tr w14:paraId="264B0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23A3B03">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451" w:type="dxa"/>
            <w:vAlign w:val="center"/>
          </w:tcPr>
          <w:p w14:paraId="3B772FFF">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015" w:type="dxa"/>
            <w:vAlign w:val="center"/>
          </w:tcPr>
          <w:p w14:paraId="7830819C">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1881" w:type="dxa"/>
            <w:vAlign w:val="center"/>
          </w:tcPr>
          <w:p w14:paraId="5F5D9611">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r>
      <w:tr w14:paraId="7EB64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549876B4">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451" w:type="dxa"/>
            <w:vAlign w:val="center"/>
          </w:tcPr>
          <w:p w14:paraId="15E634A4">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015" w:type="dxa"/>
            <w:vAlign w:val="center"/>
          </w:tcPr>
          <w:p w14:paraId="1CB7047A">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1881" w:type="dxa"/>
            <w:vAlign w:val="center"/>
          </w:tcPr>
          <w:p w14:paraId="53A8E37C">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r>
      <w:tr w14:paraId="066F7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0B60D4E2">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451" w:type="dxa"/>
            <w:vAlign w:val="center"/>
          </w:tcPr>
          <w:p w14:paraId="37F21812">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3015" w:type="dxa"/>
            <w:vAlign w:val="center"/>
          </w:tcPr>
          <w:p w14:paraId="17AADDBF">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c>
          <w:tcPr>
            <w:tcW w:w="1881" w:type="dxa"/>
            <w:vAlign w:val="center"/>
          </w:tcPr>
          <w:p w14:paraId="70D4DEE0">
            <w:pPr>
              <w:pageBreakBefore w:val="0"/>
              <w:bidi w:val="0"/>
              <w:spacing w:line="560" w:lineRule="exact"/>
              <w:ind w:right="-168" w:rightChars="-80"/>
              <w:jc w:val="center"/>
              <w:outlineLvl w:val="9"/>
              <w:rPr>
                <w:rFonts w:hint="eastAsia" w:ascii="仿宋" w:hAnsi="仿宋" w:eastAsia="仿宋" w:cs="仿宋"/>
                <w:color w:val="auto"/>
                <w:sz w:val="28"/>
                <w:szCs w:val="28"/>
                <w:highlight w:val="none"/>
              </w:rPr>
            </w:pPr>
          </w:p>
        </w:tc>
      </w:tr>
    </w:tbl>
    <w:p w14:paraId="6F42EF6D">
      <w:pPr>
        <w:pageBreakBefore w:val="0"/>
        <w:autoSpaceDE w:val="0"/>
        <w:autoSpaceDN w:val="0"/>
        <w:bidi w:val="0"/>
        <w:adjustRightInd w:val="0"/>
        <w:spacing w:line="36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说明：</w:t>
      </w:r>
    </w:p>
    <w:p w14:paraId="11D1DEAF">
      <w:pPr>
        <w:pageBreakBefore w:val="0"/>
        <w:autoSpaceDE w:val="0"/>
        <w:autoSpaceDN w:val="0"/>
        <w:bidi w:val="0"/>
        <w:adjustRightInd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投标文件根据</w:t>
      </w:r>
      <w:r>
        <w:rPr>
          <w:rFonts w:hint="eastAsia" w:ascii="仿宋" w:hAnsi="仿宋" w:eastAsia="仿宋" w:cs="仿宋"/>
          <w:color w:val="auto"/>
          <w:sz w:val="28"/>
          <w:szCs w:val="28"/>
          <w:highlight w:val="none"/>
          <w:lang w:val="en-US" w:eastAsia="zh-CN"/>
        </w:rPr>
        <w:t>招标文件</w:t>
      </w:r>
      <w:r>
        <w:rPr>
          <w:rFonts w:hint="eastAsia" w:ascii="仿宋" w:hAnsi="仿宋" w:eastAsia="仿宋" w:cs="仿宋"/>
          <w:color w:val="auto"/>
          <w:sz w:val="28"/>
          <w:szCs w:val="28"/>
          <w:highlight w:val="none"/>
        </w:rPr>
        <w:t>第四部分商务及合同主要条款须如实填写（实际数据不得复制招标文件商务条款）。偏离情况填写：</w:t>
      </w:r>
      <w:r>
        <w:rPr>
          <w:rFonts w:hint="eastAsia" w:ascii="仿宋" w:hAnsi="仿宋" w:eastAsia="仿宋" w:cs="仿宋"/>
          <w:color w:val="auto"/>
          <w:sz w:val="28"/>
          <w:szCs w:val="28"/>
          <w:highlight w:val="none"/>
          <w:lang w:val="en-US" w:eastAsia="zh-CN"/>
        </w:rPr>
        <w:t>正偏离</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负偏离、无偏离</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如果不填写，则默认为无偏离</w:t>
      </w:r>
      <w:r>
        <w:rPr>
          <w:rFonts w:hint="eastAsia" w:ascii="仿宋" w:hAnsi="仿宋" w:eastAsia="仿宋" w:cs="仿宋"/>
          <w:color w:val="auto"/>
          <w:sz w:val="28"/>
          <w:szCs w:val="28"/>
          <w:highlight w:val="none"/>
        </w:rPr>
        <w:t>。</w:t>
      </w:r>
    </w:p>
    <w:p w14:paraId="179F3416">
      <w:pPr>
        <w:pStyle w:val="12"/>
        <w:pageBreakBefore w:val="0"/>
        <w:bidi w:val="0"/>
        <w:ind w:firstLine="48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投标人（公章）：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2F784924">
      <w:pPr>
        <w:pStyle w:val="12"/>
        <w:pageBreakBefore w:val="0"/>
        <w:bidi w:val="0"/>
        <w:ind w:firstLine="480"/>
        <w:outlineLvl w:val="9"/>
        <w:rPr>
          <w:rFonts w:hint="eastAsia" w:ascii="仿宋" w:hAnsi="仿宋" w:eastAsia="仿宋" w:cs="仿宋"/>
          <w:color w:val="auto"/>
          <w:sz w:val="28"/>
          <w:szCs w:val="28"/>
          <w:highlight w:val="none"/>
        </w:rPr>
      </w:pPr>
    </w:p>
    <w:p w14:paraId="2F560B96">
      <w:pPr>
        <w:pStyle w:val="12"/>
        <w:pageBreakBefore w:val="0"/>
        <w:bidi w:val="0"/>
        <w:ind w:firstLine="480"/>
        <w:outlineLvl w:val="9"/>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法定代表人/被授权人（签字或盖章）：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27A0D85A">
      <w:pPr>
        <w:pageBreakBefore w:val="0"/>
        <w:bidi w:val="0"/>
        <w:spacing w:line="360" w:lineRule="atLeast"/>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rPr>
        <w:t>法定代表人</w:t>
      </w:r>
      <w:r>
        <w:rPr>
          <w:rFonts w:hint="eastAsia" w:ascii="仿宋" w:hAnsi="仿宋" w:eastAsia="仿宋" w:cs="仿宋"/>
          <w:b/>
          <w:color w:val="auto"/>
          <w:sz w:val="28"/>
          <w:szCs w:val="28"/>
          <w:highlight w:val="none"/>
          <w:lang w:val="en-US" w:eastAsia="zh-CN"/>
        </w:rPr>
        <w:t>身份</w:t>
      </w:r>
      <w:r>
        <w:rPr>
          <w:rFonts w:hint="eastAsia" w:ascii="仿宋" w:hAnsi="仿宋" w:eastAsia="仿宋" w:cs="仿宋"/>
          <w:b/>
          <w:color w:val="auto"/>
          <w:sz w:val="28"/>
          <w:szCs w:val="28"/>
          <w:highlight w:val="none"/>
        </w:rPr>
        <w:t>证明与授权</w:t>
      </w:r>
      <w:r>
        <w:rPr>
          <w:rFonts w:hint="eastAsia" w:ascii="仿宋" w:hAnsi="仿宋" w:eastAsia="仿宋" w:cs="仿宋"/>
          <w:b/>
          <w:color w:val="auto"/>
          <w:sz w:val="28"/>
          <w:szCs w:val="28"/>
          <w:highlight w:val="none"/>
          <w:lang w:val="en-US" w:eastAsia="zh-CN"/>
        </w:rPr>
        <w:t>委托</w:t>
      </w:r>
      <w:r>
        <w:rPr>
          <w:rFonts w:hint="eastAsia" w:ascii="仿宋" w:hAnsi="仿宋" w:eastAsia="仿宋" w:cs="仿宋"/>
          <w:b/>
          <w:color w:val="auto"/>
          <w:sz w:val="28"/>
          <w:szCs w:val="28"/>
          <w:highlight w:val="none"/>
        </w:rPr>
        <w:t>书</w:t>
      </w:r>
    </w:p>
    <w:p w14:paraId="4F8CAFA5">
      <w:pPr>
        <w:pageBreakBefore w:val="0"/>
        <w:tabs>
          <w:tab w:val="left" w:pos="210"/>
        </w:tabs>
        <w:bidi w:val="0"/>
        <w:spacing w:line="320" w:lineRule="exact"/>
        <w:jc w:val="center"/>
        <w:outlineLvl w:val="9"/>
        <w:rPr>
          <w:rFonts w:hint="eastAsia" w:ascii="仿宋" w:hAnsi="仿宋" w:eastAsia="仿宋" w:cs="仿宋"/>
          <w:b/>
          <w:color w:val="auto"/>
          <w:kern w:val="0"/>
          <w:sz w:val="28"/>
          <w:szCs w:val="28"/>
          <w:highlight w:val="none"/>
        </w:rPr>
      </w:pPr>
    </w:p>
    <w:p w14:paraId="0CE09F77">
      <w:pPr>
        <w:pageBreakBefore w:val="0"/>
        <w:tabs>
          <w:tab w:val="left" w:pos="210"/>
        </w:tabs>
        <w:bidi w:val="0"/>
        <w:spacing w:line="320" w:lineRule="exact"/>
        <w:jc w:val="center"/>
        <w:outlineLvl w:val="9"/>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法定代表人</w:t>
      </w:r>
      <w:r>
        <w:rPr>
          <w:rFonts w:hint="eastAsia" w:ascii="仿宋" w:hAnsi="仿宋" w:eastAsia="仿宋" w:cs="仿宋"/>
          <w:b/>
          <w:color w:val="auto"/>
          <w:kern w:val="0"/>
          <w:sz w:val="28"/>
          <w:szCs w:val="28"/>
          <w:highlight w:val="none"/>
          <w:lang w:val="en-US" w:eastAsia="zh-CN"/>
        </w:rPr>
        <w:t>身份</w:t>
      </w:r>
      <w:r>
        <w:rPr>
          <w:rFonts w:hint="eastAsia" w:ascii="仿宋" w:hAnsi="仿宋" w:eastAsia="仿宋" w:cs="仿宋"/>
          <w:b/>
          <w:color w:val="auto"/>
          <w:kern w:val="0"/>
          <w:sz w:val="28"/>
          <w:szCs w:val="28"/>
          <w:highlight w:val="none"/>
        </w:rPr>
        <w:t>证明</w:t>
      </w:r>
    </w:p>
    <w:p w14:paraId="57C23212">
      <w:pPr>
        <w:pageBreakBefore w:val="0"/>
        <w:bidi w:val="0"/>
        <w:spacing w:line="560" w:lineRule="exact"/>
        <w:ind w:firstLine="358" w:firstLineChars="128"/>
        <w:outlineLvl w:val="9"/>
        <w:rPr>
          <w:rFonts w:hint="eastAsia" w:ascii="仿宋" w:hAnsi="仿宋" w:eastAsia="仿宋" w:cs="仿宋"/>
          <w:color w:val="auto"/>
          <w:sz w:val="28"/>
          <w:szCs w:val="28"/>
          <w:highlight w:val="none"/>
          <w:u w:val="thick"/>
        </w:rPr>
      </w:pPr>
      <w:r>
        <w:rPr>
          <w:rFonts w:hint="eastAsia" w:ascii="仿宋" w:hAnsi="仿宋" w:eastAsia="仿宋" w:cs="仿宋"/>
          <w:color w:val="auto"/>
          <w:sz w:val="28"/>
          <w:szCs w:val="28"/>
          <w:highlight w:val="none"/>
        </w:rPr>
        <w:t>单位名称：</w:t>
      </w:r>
      <w:r>
        <w:rPr>
          <w:rFonts w:hint="eastAsia" w:ascii="仿宋" w:hAnsi="仿宋" w:eastAsia="仿宋" w:cs="仿宋"/>
          <w:color w:val="auto"/>
          <w:sz w:val="28"/>
          <w:szCs w:val="28"/>
          <w:highlight w:val="none"/>
          <w:u w:val="single"/>
        </w:rPr>
        <w:t xml:space="preserve">                                                   .</w:t>
      </w:r>
    </w:p>
    <w:p w14:paraId="456BDEB2">
      <w:pPr>
        <w:pageBreakBefore w:val="0"/>
        <w:bidi w:val="0"/>
        <w:spacing w:line="560" w:lineRule="exact"/>
        <w:ind w:firstLine="358" w:firstLineChars="128"/>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单位性质：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thick"/>
        </w:rPr>
        <w:t>.</w:t>
      </w:r>
    </w:p>
    <w:p w14:paraId="41DB0C10">
      <w:pPr>
        <w:pageBreakBefore w:val="0"/>
        <w:bidi w:val="0"/>
        <w:spacing w:line="560" w:lineRule="exact"/>
        <w:ind w:firstLine="358" w:firstLineChars="128"/>
        <w:outlineLvl w:val="9"/>
        <w:rPr>
          <w:rFonts w:hint="eastAsia" w:ascii="仿宋" w:hAnsi="仿宋" w:eastAsia="仿宋" w:cs="仿宋"/>
          <w:color w:val="auto"/>
          <w:sz w:val="28"/>
          <w:szCs w:val="28"/>
          <w:highlight w:val="none"/>
          <w:u w:val="thick"/>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thick"/>
        </w:rPr>
        <w:t>.</w:t>
      </w:r>
    </w:p>
    <w:p w14:paraId="3DD4D2C1">
      <w:pPr>
        <w:pageBreakBefore w:val="0"/>
        <w:bidi w:val="0"/>
        <w:spacing w:line="560" w:lineRule="exact"/>
        <w:ind w:firstLine="358" w:firstLineChars="128"/>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成立时间：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34CDA4D7">
      <w:pPr>
        <w:pageBreakBefore w:val="0"/>
        <w:bidi w:val="0"/>
        <w:spacing w:line="560" w:lineRule="exact"/>
        <w:ind w:firstLine="358" w:firstLineChars="128"/>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经营期限：</w:t>
      </w:r>
      <w:r>
        <w:rPr>
          <w:rFonts w:hint="eastAsia" w:ascii="仿宋" w:hAnsi="仿宋" w:eastAsia="仿宋" w:cs="仿宋"/>
          <w:color w:val="auto"/>
          <w:sz w:val="28"/>
          <w:szCs w:val="28"/>
          <w:highlight w:val="none"/>
          <w:u w:val="single"/>
        </w:rPr>
        <w:t xml:space="preserve">                                                   .</w:t>
      </w:r>
    </w:p>
    <w:p w14:paraId="6010FA9B">
      <w:pPr>
        <w:pageBreakBefore w:val="0"/>
        <w:bidi w:val="0"/>
        <w:spacing w:line="560" w:lineRule="exact"/>
        <w:ind w:firstLine="358" w:firstLineChars="128"/>
        <w:outlineLvl w:val="9"/>
        <w:rPr>
          <w:rFonts w:hint="eastAsia" w:ascii="仿宋" w:hAnsi="仿宋" w:eastAsia="仿宋" w:cs="仿宋"/>
          <w:color w:val="auto"/>
          <w:sz w:val="28"/>
          <w:szCs w:val="28"/>
          <w:highlight w:val="none"/>
          <w:u w:val="thick"/>
        </w:rPr>
      </w:pPr>
      <w:r>
        <w:rPr>
          <w:rFonts w:hint="eastAsia" w:ascii="仿宋" w:hAnsi="仿宋" w:eastAsia="仿宋" w:cs="仿宋"/>
          <w:color w:val="auto"/>
          <w:sz w:val="28"/>
          <w:szCs w:val="28"/>
          <w:highlight w:val="none"/>
        </w:rPr>
        <w:t>姓    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3E5346FC">
      <w:pPr>
        <w:pageBreakBefore w:val="0"/>
        <w:bidi w:val="0"/>
        <w:spacing w:line="56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的法定代表人。</w:t>
      </w:r>
    </w:p>
    <w:p w14:paraId="6D03FAB4">
      <w:pPr>
        <w:pageBreakBefore w:val="0"/>
        <w:bidi w:val="0"/>
        <w:spacing w:line="560" w:lineRule="exact"/>
        <w:ind w:firstLine="358" w:firstLineChars="128"/>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特此证明。</w:t>
      </w:r>
    </w:p>
    <w:p w14:paraId="6E9852D1">
      <w:pPr>
        <w:pageBreakBefore w:val="0"/>
        <w:bidi w:val="0"/>
        <w:spacing w:line="560" w:lineRule="exac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（后附法定代表人身份证正反面）</w:t>
      </w:r>
    </w:p>
    <w:p w14:paraId="5802F5C0">
      <w:pPr>
        <w:pStyle w:val="22"/>
        <w:pageBreakBefore w:val="0"/>
        <w:bidi w:val="0"/>
        <w:outlineLvl w:val="9"/>
        <w:rPr>
          <w:rFonts w:hint="eastAsia" w:ascii="仿宋" w:hAnsi="仿宋" w:eastAsia="仿宋" w:cs="仿宋"/>
          <w:color w:val="auto"/>
          <w:sz w:val="28"/>
          <w:szCs w:val="28"/>
          <w:highlight w:val="none"/>
        </w:rPr>
      </w:pPr>
    </w:p>
    <w:tbl>
      <w:tblPr>
        <w:tblStyle w:val="24"/>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18339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5EC98C88">
            <w:pPr>
              <w:pStyle w:val="12"/>
              <w:pageBreakBefore w:val="0"/>
              <w:bidi w:val="0"/>
              <w:snapToGrid w:val="0"/>
              <w:spacing w:line="500" w:lineRule="exact"/>
              <w:jc w:val="center"/>
              <w:outlineLvl w:val="9"/>
              <w:rPr>
                <w:rFonts w:hint="eastAsia" w:ascii="仿宋" w:hAnsi="仿宋" w:eastAsia="仿宋" w:cs="仿宋"/>
                <w:color w:val="auto"/>
                <w:sz w:val="28"/>
                <w:szCs w:val="28"/>
                <w:highlight w:val="none"/>
                <w:shd w:val="pct10" w:color="auto" w:fill="FFFFFF"/>
              </w:rPr>
            </w:pPr>
            <w:r>
              <w:rPr>
                <w:rFonts w:hint="eastAsia" w:ascii="仿宋" w:hAnsi="仿宋" w:eastAsia="仿宋" w:cs="仿宋"/>
                <w:color w:val="auto"/>
                <w:sz w:val="28"/>
                <w:szCs w:val="28"/>
                <w:highlight w:val="none"/>
                <w:shd w:val="pct10" w:color="auto" w:fill="FFFFFF"/>
              </w:rPr>
              <w:t>法定代表人身份证复印件</w:t>
            </w:r>
          </w:p>
        </w:tc>
        <w:tc>
          <w:tcPr>
            <w:tcW w:w="4130" w:type="dxa"/>
            <w:shd w:val="clear" w:color="auto" w:fill="E0E0E0"/>
            <w:vAlign w:val="center"/>
          </w:tcPr>
          <w:p w14:paraId="047C2029">
            <w:pPr>
              <w:pStyle w:val="12"/>
              <w:pageBreakBefore w:val="0"/>
              <w:bidi w:val="0"/>
              <w:snapToGrid w:val="0"/>
              <w:spacing w:line="500" w:lineRule="exact"/>
              <w:jc w:val="center"/>
              <w:outlineLvl w:val="9"/>
              <w:rPr>
                <w:rFonts w:hint="eastAsia" w:ascii="仿宋" w:hAnsi="仿宋" w:eastAsia="仿宋" w:cs="仿宋"/>
                <w:color w:val="auto"/>
                <w:sz w:val="28"/>
                <w:szCs w:val="28"/>
                <w:highlight w:val="none"/>
                <w:shd w:val="pct10" w:color="auto" w:fill="FFFFFF"/>
              </w:rPr>
            </w:pPr>
            <w:r>
              <w:rPr>
                <w:rFonts w:hint="eastAsia" w:ascii="仿宋" w:hAnsi="仿宋" w:eastAsia="仿宋" w:cs="仿宋"/>
                <w:color w:val="auto"/>
                <w:sz w:val="28"/>
                <w:szCs w:val="28"/>
                <w:highlight w:val="none"/>
                <w:shd w:val="pct10" w:color="auto" w:fill="FFFFFF"/>
              </w:rPr>
              <w:t>法定代表人身份证复印件</w:t>
            </w:r>
          </w:p>
        </w:tc>
      </w:tr>
    </w:tbl>
    <w:p w14:paraId="44BDA498">
      <w:pPr>
        <w:pageBreakBefore w:val="0"/>
        <w:autoSpaceDE w:val="0"/>
        <w:autoSpaceDN w:val="0"/>
        <w:bidi w:val="0"/>
        <w:adjustRightInd w:val="0"/>
        <w:jc w:val="center"/>
        <w:outlineLvl w:val="9"/>
        <w:rPr>
          <w:rFonts w:hint="eastAsia" w:ascii="仿宋" w:hAnsi="仿宋" w:eastAsia="仿宋" w:cs="仿宋"/>
          <w:color w:val="auto"/>
          <w:sz w:val="28"/>
          <w:szCs w:val="28"/>
          <w:highlight w:val="none"/>
        </w:rPr>
      </w:pPr>
    </w:p>
    <w:p w14:paraId="06124FFD">
      <w:pPr>
        <w:pageBreakBefore w:val="0"/>
        <w:autoSpaceDE w:val="0"/>
        <w:autoSpaceDN w:val="0"/>
        <w:bidi w:val="0"/>
        <w:adjustRightInd w:val="0"/>
        <w:jc w:val="center"/>
        <w:outlineLvl w:val="9"/>
        <w:rPr>
          <w:rFonts w:hint="eastAsia" w:ascii="仿宋" w:hAnsi="仿宋" w:eastAsia="仿宋" w:cs="仿宋"/>
          <w:color w:val="auto"/>
          <w:sz w:val="28"/>
          <w:szCs w:val="28"/>
          <w:highlight w:val="none"/>
          <w:u w:val="single"/>
          <w:lang w:val="zh-CN"/>
        </w:rPr>
      </w:pPr>
      <w:r>
        <w:rPr>
          <w:rFonts w:hint="eastAsia" w:ascii="仿宋" w:hAnsi="仿宋" w:eastAsia="仿宋" w:cs="仿宋"/>
          <w:color w:val="auto"/>
          <w:sz w:val="28"/>
          <w:szCs w:val="28"/>
          <w:highlight w:val="none"/>
        </w:rPr>
        <w:t xml:space="preserve">                   投    标    人</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rPr>
        <w:t>（盖单位公章）</w:t>
      </w:r>
    </w:p>
    <w:p w14:paraId="56EBE69C">
      <w:pPr>
        <w:pageBreakBefore w:val="0"/>
        <w:autoSpaceDE w:val="0"/>
        <w:autoSpaceDN w:val="0"/>
        <w:bidi w:val="0"/>
        <w:adjustRightInd w:val="0"/>
        <w:outlineLvl w:val="9"/>
        <w:rPr>
          <w:rFonts w:hint="eastAsia" w:ascii="仿宋" w:hAnsi="仿宋" w:eastAsia="仿宋" w:cs="仿宋"/>
          <w:color w:val="auto"/>
          <w:sz w:val="28"/>
          <w:szCs w:val="28"/>
          <w:highlight w:val="none"/>
          <w:lang w:val="zh-CN"/>
        </w:rPr>
      </w:pPr>
    </w:p>
    <w:p w14:paraId="574B8FFD">
      <w:pPr>
        <w:pageBreakBefore w:val="0"/>
        <w:autoSpaceDE w:val="0"/>
        <w:autoSpaceDN w:val="0"/>
        <w:bidi w:val="0"/>
        <w:adjustRightInd w:val="0"/>
        <w:ind w:firstLine="2520" w:firstLineChars="900"/>
        <w:outlineLvl w:val="9"/>
        <w:rPr>
          <w:rFonts w:hint="eastAsia" w:ascii="仿宋" w:hAnsi="仿宋" w:eastAsia="仿宋" w:cs="仿宋"/>
          <w:color w:val="auto"/>
          <w:sz w:val="28"/>
          <w:szCs w:val="28"/>
          <w:highlight w:val="none"/>
          <w:u w:val="single"/>
          <w:lang w:val="zh-CN"/>
        </w:rPr>
      </w:pPr>
      <w:r>
        <w:rPr>
          <w:rFonts w:hint="eastAsia" w:ascii="仿宋" w:hAnsi="仿宋" w:eastAsia="仿宋" w:cs="仿宋"/>
          <w:color w:val="auto"/>
          <w:sz w:val="28"/>
          <w:szCs w:val="28"/>
          <w:highlight w:val="none"/>
          <w:lang w:val="zh-CN"/>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签字或盖章</w:t>
      </w:r>
      <w:r>
        <w:rPr>
          <w:rFonts w:hint="eastAsia" w:ascii="仿宋" w:hAnsi="仿宋" w:eastAsia="仿宋" w:cs="仿宋"/>
          <w:color w:val="auto"/>
          <w:sz w:val="28"/>
          <w:szCs w:val="28"/>
          <w:highlight w:val="none"/>
          <w:lang w:val="zh-CN"/>
        </w:rPr>
        <w:t>）</w:t>
      </w:r>
    </w:p>
    <w:p w14:paraId="18972316">
      <w:pPr>
        <w:pageBreakBefore w:val="0"/>
        <w:bidi w:val="0"/>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 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年</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5CC0C1A5">
      <w:pPr>
        <w:pageBreakBefore w:val="0"/>
        <w:tabs>
          <w:tab w:val="left" w:pos="210"/>
        </w:tabs>
        <w:bidi w:val="0"/>
        <w:spacing w:line="320" w:lineRule="exact"/>
        <w:jc w:val="center"/>
        <w:outlineLvl w:val="9"/>
        <w:rPr>
          <w:rFonts w:hint="eastAsia" w:ascii="仿宋" w:hAnsi="仿宋" w:eastAsia="仿宋" w:cs="仿宋"/>
          <w:b/>
          <w:color w:val="auto"/>
          <w:kern w:val="0"/>
          <w:sz w:val="28"/>
          <w:szCs w:val="28"/>
          <w:highlight w:val="none"/>
        </w:rPr>
      </w:pPr>
    </w:p>
    <w:p w14:paraId="5AEF5717">
      <w:pPr>
        <w:pageBreakBefore w:val="0"/>
        <w:tabs>
          <w:tab w:val="left" w:pos="210"/>
        </w:tabs>
        <w:bidi w:val="0"/>
        <w:spacing w:line="320" w:lineRule="exact"/>
        <w:jc w:val="center"/>
        <w:outlineLvl w:val="9"/>
        <w:rPr>
          <w:rFonts w:hint="eastAsia" w:ascii="仿宋" w:hAnsi="仿宋" w:eastAsia="仿宋" w:cs="仿宋"/>
          <w:b/>
          <w:color w:val="auto"/>
          <w:kern w:val="0"/>
          <w:sz w:val="28"/>
          <w:szCs w:val="28"/>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34AF7FDD">
      <w:pPr>
        <w:pageBreakBefore w:val="0"/>
        <w:tabs>
          <w:tab w:val="left" w:pos="210"/>
        </w:tabs>
        <w:bidi w:val="0"/>
        <w:spacing w:line="320" w:lineRule="exact"/>
        <w:jc w:val="center"/>
        <w:outlineLvl w:val="9"/>
        <w:rPr>
          <w:rFonts w:hint="eastAsia" w:ascii="仿宋" w:hAnsi="仿宋" w:eastAsia="仿宋" w:cs="仿宋"/>
          <w:b/>
          <w:color w:val="auto"/>
          <w:kern w:val="0"/>
          <w:sz w:val="28"/>
          <w:szCs w:val="28"/>
          <w:highlight w:val="none"/>
        </w:rPr>
      </w:pPr>
    </w:p>
    <w:p w14:paraId="2365C7E6">
      <w:pPr>
        <w:pageBreakBefore w:val="0"/>
        <w:tabs>
          <w:tab w:val="left" w:pos="210"/>
        </w:tabs>
        <w:bidi w:val="0"/>
        <w:spacing w:line="240" w:lineRule="auto"/>
        <w:jc w:val="center"/>
        <w:outlineLvl w:val="9"/>
        <w:rPr>
          <w:rFonts w:hint="eastAsia" w:ascii="仿宋" w:hAnsi="仿宋" w:eastAsia="仿宋" w:cs="仿宋"/>
          <w:color w:val="auto"/>
          <w:spacing w:val="-6"/>
          <w:sz w:val="28"/>
          <w:szCs w:val="28"/>
          <w:highlight w:val="none"/>
        </w:rPr>
      </w:pPr>
      <w:r>
        <w:rPr>
          <w:rFonts w:hint="eastAsia" w:ascii="仿宋" w:hAnsi="仿宋" w:eastAsia="仿宋" w:cs="仿宋"/>
          <w:b/>
          <w:color w:val="auto"/>
          <w:kern w:val="0"/>
          <w:sz w:val="28"/>
          <w:szCs w:val="28"/>
          <w:highlight w:val="none"/>
        </w:rPr>
        <w:t>法定代表人授权委托书</w:t>
      </w:r>
    </w:p>
    <w:p w14:paraId="400FB6F4">
      <w:pPr>
        <w:pStyle w:val="12"/>
        <w:pageBreakBefore w:val="0"/>
        <w:bidi w:val="0"/>
        <w:spacing w:line="500" w:lineRule="exact"/>
        <w:jc w:val="lef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延安市行政审批服务局</w:t>
      </w:r>
      <w:r>
        <w:rPr>
          <w:rFonts w:hint="eastAsia" w:ascii="仿宋" w:hAnsi="仿宋" w:eastAsia="仿宋" w:cs="仿宋"/>
          <w:color w:val="auto"/>
          <w:sz w:val="28"/>
          <w:szCs w:val="28"/>
          <w:highlight w:val="none"/>
        </w:rPr>
        <w:t>：</w:t>
      </w:r>
    </w:p>
    <w:p w14:paraId="41D7E6A9">
      <w:pPr>
        <w:pStyle w:val="12"/>
        <w:pageBreakBefore w:val="0"/>
        <w:bidi w:val="0"/>
        <w:spacing w:line="500" w:lineRule="exact"/>
        <w:ind w:left="-120" w:leftChars="-57" w:firstLine="700" w:firstLineChars="25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本授权书声明：注册于（</w:t>
      </w:r>
      <w:r>
        <w:rPr>
          <w:rFonts w:hint="eastAsia" w:ascii="仿宋" w:hAnsi="仿宋" w:eastAsia="仿宋" w:cs="仿宋"/>
          <w:color w:val="auto"/>
          <w:sz w:val="28"/>
          <w:szCs w:val="28"/>
          <w:highlight w:val="none"/>
          <w:u w:val="single"/>
        </w:rPr>
        <w:t xml:space="preserve"> 工商行政管理局名称）之（委托单位全称） </w:t>
      </w:r>
      <w:r>
        <w:rPr>
          <w:rFonts w:hint="eastAsia" w:ascii="仿宋" w:hAnsi="仿宋" w:eastAsia="仿宋" w:cs="仿宋"/>
          <w:color w:val="auto"/>
          <w:sz w:val="28"/>
          <w:szCs w:val="28"/>
          <w:highlight w:val="none"/>
        </w:rPr>
        <w:t>的法定代表人</w:t>
      </w:r>
      <w:r>
        <w:rPr>
          <w:rFonts w:hint="eastAsia" w:ascii="仿宋" w:hAnsi="仿宋" w:eastAsia="仿宋" w:cs="仿宋"/>
          <w:color w:val="auto"/>
          <w:sz w:val="28"/>
          <w:szCs w:val="28"/>
          <w:highlight w:val="none"/>
          <w:u w:val="single"/>
        </w:rPr>
        <w:t>（姓名、性别）</w:t>
      </w:r>
      <w:r>
        <w:rPr>
          <w:rFonts w:hint="eastAsia" w:ascii="仿宋" w:hAnsi="仿宋" w:eastAsia="仿宋" w:cs="仿宋"/>
          <w:color w:val="auto"/>
          <w:sz w:val="28"/>
          <w:szCs w:val="28"/>
          <w:highlight w:val="none"/>
        </w:rPr>
        <w:t>授权本公司的</w:t>
      </w:r>
      <w:r>
        <w:rPr>
          <w:rFonts w:hint="eastAsia" w:ascii="仿宋" w:hAnsi="仿宋" w:eastAsia="仿宋" w:cs="仿宋"/>
          <w:color w:val="auto"/>
          <w:sz w:val="28"/>
          <w:szCs w:val="28"/>
          <w:highlight w:val="none"/>
          <w:u w:val="single"/>
        </w:rPr>
        <w:t>（被授权人姓名、性别、职务）</w:t>
      </w:r>
      <w:r>
        <w:rPr>
          <w:rFonts w:hint="eastAsia" w:ascii="仿宋" w:hAnsi="仿宋" w:eastAsia="仿宋" w:cs="仿宋"/>
          <w:color w:val="auto"/>
          <w:sz w:val="28"/>
          <w:szCs w:val="28"/>
          <w:highlight w:val="none"/>
        </w:rPr>
        <w:t>为合法代理人，就贵方组织的有关</w:t>
      </w:r>
      <w:r>
        <w:rPr>
          <w:rFonts w:hint="eastAsia" w:ascii="仿宋" w:hAnsi="仿宋" w:eastAsia="仿宋" w:cs="仿宋"/>
          <w:color w:val="auto"/>
          <w:sz w:val="28"/>
          <w:szCs w:val="28"/>
          <w:highlight w:val="none"/>
          <w:u w:val="single"/>
        </w:rPr>
        <w:t>（项目名称）</w:t>
      </w: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）的投标、洽谈、执行等具体事务，签署全部有关投标文件、文书、协议、合同，本公司对被授权人在本项目中的签名承担全部法律责任。</w:t>
      </w:r>
    </w:p>
    <w:p w14:paraId="3074D8CD">
      <w:pPr>
        <w:pStyle w:val="12"/>
        <w:pageBreakBefore w:val="0"/>
        <w:bidi w:val="0"/>
        <w:spacing w:line="500" w:lineRule="exact"/>
        <w:ind w:left="-120" w:leftChars="-57" w:firstLine="700" w:firstLineChars="25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本授权书自签发日期起计算有效期为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none"/>
          <w:lang w:val="en-US" w:eastAsia="zh-CN"/>
        </w:rPr>
        <w:t>日历</w:t>
      </w:r>
      <w:r>
        <w:rPr>
          <w:rFonts w:hint="eastAsia" w:ascii="仿宋" w:hAnsi="仿宋" w:eastAsia="仿宋" w:cs="仿宋"/>
          <w:color w:val="auto"/>
          <w:sz w:val="28"/>
          <w:szCs w:val="28"/>
          <w:highlight w:val="none"/>
          <w:u w:val="none"/>
        </w:rPr>
        <w:t xml:space="preserve">天 </w:t>
      </w:r>
      <w:r>
        <w:rPr>
          <w:rFonts w:hint="eastAsia" w:ascii="仿宋" w:hAnsi="仿宋" w:eastAsia="仿宋" w:cs="仿宋"/>
          <w:color w:val="auto"/>
          <w:sz w:val="28"/>
          <w:szCs w:val="28"/>
          <w:highlight w:val="none"/>
        </w:rPr>
        <w:t>。</w:t>
      </w:r>
    </w:p>
    <w:p w14:paraId="01308278">
      <w:pPr>
        <w:pStyle w:val="12"/>
        <w:pageBreakBefore w:val="0"/>
        <w:bidi w:val="0"/>
        <w:spacing w:line="50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委托单位（公章）：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法定代表人（签字或盖章）：</w:t>
      </w:r>
    </w:p>
    <w:p w14:paraId="2E072DAE">
      <w:pPr>
        <w:pStyle w:val="12"/>
        <w:pageBreakBefore w:val="0"/>
        <w:bidi w:val="0"/>
        <w:spacing w:line="50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签发日期：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679F0E40">
      <w:pPr>
        <w:pStyle w:val="12"/>
        <w:pageBreakBefore w:val="0"/>
        <w:bidi w:val="0"/>
        <w:spacing w:line="50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附：被授权人（签字）：</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4C4B330E">
      <w:pPr>
        <w:pStyle w:val="12"/>
        <w:pageBreakBefore w:val="0"/>
        <w:bidi w:val="0"/>
        <w:spacing w:line="500" w:lineRule="exact"/>
        <w:ind w:firstLine="1120" w:firstLineChars="400"/>
        <w:outlineLvl w:val="9"/>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联系地址：</w:t>
      </w:r>
      <w:r>
        <w:rPr>
          <w:rFonts w:hint="eastAsia" w:ascii="仿宋" w:hAnsi="仿宋" w:eastAsia="仿宋" w:cs="仿宋"/>
          <w:color w:val="auto"/>
          <w:sz w:val="28"/>
          <w:szCs w:val="28"/>
          <w:highlight w:val="none"/>
          <w:u w:val="single"/>
        </w:rPr>
        <w:t xml:space="preserve">                                                       </w:t>
      </w:r>
    </w:p>
    <w:p w14:paraId="48247190">
      <w:pPr>
        <w:pStyle w:val="12"/>
        <w:pageBreakBefore w:val="0"/>
        <w:bidi w:val="0"/>
        <w:spacing w:line="500" w:lineRule="exact"/>
        <w:ind w:firstLine="1120" w:firstLineChars="400"/>
        <w:outlineLvl w:val="9"/>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传真：</w:t>
      </w:r>
      <w:r>
        <w:rPr>
          <w:rFonts w:hint="eastAsia" w:ascii="仿宋" w:hAnsi="仿宋" w:eastAsia="仿宋" w:cs="仿宋"/>
          <w:color w:val="auto"/>
          <w:sz w:val="28"/>
          <w:szCs w:val="28"/>
          <w:highlight w:val="none"/>
          <w:u w:val="single"/>
        </w:rPr>
        <w:t xml:space="preserve">                           </w:t>
      </w:r>
    </w:p>
    <w:p w14:paraId="0AF01B55">
      <w:pPr>
        <w:pStyle w:val="12"/>
        <w:pageBreakBefore w:val="0"/>
        <w:bidi w:val="0"/>
        <w:spacing w:line="500" w:lineRule="exact"/>
        <w:ind w:firstLine="3220" w:firstLineChars="115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法定代表人/被授权人身份证复印件</w:t>
      </w:r>
    </w:p>
    <w:tbl>
      <w:tblPr>
        <w:tblStyle w:val="24"/>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833"/>
      </w:tblGrid>
      <w:tr w14:paraId="4D86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1C3E7EF3">
            <w:pPr>
              <w:pStyle w:val="12"/>
              <w:pageBreakBefore w:val="0"/>
              <w:bidi w:val="0"/>
              <w:snapToGrid w:val="0"/>
              <w:spacing w:line="500" w:lineRule="exact"/>
              <w:jc w:val="center"/>
              <w:outlineLvl w:val="9"/>
              <w:rPr>
                <w:rFonts w:hint="eastAsia" w:ascii="仿宋" w:hAnsi="仿宋" w:eastAsia="仿宋" w:cs="仿宋"/>
                <w:color w:val="auto"/>
                <w:sz w:val="28"/>
                <w:szCs w:val="28"/>
                <w:highlight w:val="none"/>
                <w:shd w:val="pct10" w:color="auto" w:fill="FFFFFF"/>
              </w:rPr>
            </w:pPr>
            <w:r>
              <w:rPr>
                <w:rFonts w:hint="eastAsia" w:ascii="仿宋" w:hAnsi="仿宋" w:eastAsia="仿宋" w:cs="仿宋"/>
                <w:color w:val="auto"/>
                <w:sz w:val="28"/>
                <w:szCs w:val="28"/>
                <w:highlight w:val="none"/>
                <w:shd w:val="pct10" w:color="auto" w:fill="FFFFFF"/>
              </w:rPr>
              <w:t>法定代表人身份证复印件</w:t>
            </w:r>
          </w:p>
        </w:tc>
        <w:tc>
          <w:tcPr>
            <w:tcW w:w="4833" w:type="dxa"/>
            <w:shd w:val="clear" w:color="auto" w:fill="E0E0E0"/>
            <w:vAlign w:val="center"/>
          </w:tcPr>
          <w:p w14:paraId="7F3D7B2E">
            <w:pPr>
              <w:pStyle w:val="12"/>
              <w:pageBreakBefore w:val="0"/>
              <w:bidi w:val="0"/>
              <w:snapToGrid w:val="0"/>
              <w:spacing w:line="500" w:lineRule="exact"/>
              <w:jc w:val="center"/>
              <w:outlineLvl w:val="9"/>
              <w:rPr>
                <w:rFonts w:hint="eastAsia" w:ascii="仿宋" w:hAnsi="仿宋" w:eastAsia="仿宋" w:cs="仿宋"/>
                <w:color w:val="auto"/>
                <w:sz w:val="28"/>
                <w:szCs w:val="28"/>
                <w:highlight w:val="none"/>
                <w:shd w:val="pct10" w:color="auto" w:fill="FFFFFF"/>
              </w:rPr>
            </w:pPr>
            <w:r>
              <w:rPr>
                <w:rFonts w:hint="eastAsia" w:ascii="仿宋" w:hAnsi="仿宋" w:eastAsia="仿宋" w:cs="仿宋"/>
                <w:color w:val="auto"/>
                <w:sz w:val="28"/>
                <w:szCs w:val="28"/>
                <w:highlight w:val="none"/>
                <w:shd w:val="pct10" w:color="auto" w:fill="FFFFFF"/>
              </w:rPr>
              <w:t>被授权人身份证复印件</w:t>
            </w:r>
          </w:p>
        </w:tc>
      </w:tr>
      <w:tr w14:paraId="4F3A7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207" w:hRule="atLeast"/>
          <w:jc w:val="center"/>
        </w:trPr>
        <w:tc>
          <w:tcPr>
            <w:tcW w:w="4834" w:type="dxa"/>
            <w:shd w:val="clear" w:color="auto" w:fill="E0E0E0"/>
            <w:vAlign w:val="center"/>
          </w:tcPr>
          <w:p w14:paraId="2043EBC5">
            <w:pPr>
              <w:pStyle w:val="12"/>
              <w:pageBreakBefore w:val="0"/>
              <w:bidi w:val="0"/>
              <w:snapToGrid w:val="0"/>
              <w:spacing w:line="500" w:lineRule="exact"/>
              <w:jc w:val="center"/>
              <w:outlineLvl w:val="9"/>
              <w:rPr>
                <w:rFonts w:hint="eastAsia" w:ascii="仿宋" w:hAnsi="仿宋" w:eastAsia="仿宋" w:cs="仿宋"/>
                <w:color w:val="auto"/>
                <w:sz w:val="28"/>
                <w:szCs w:val="28"/>
                <w:highlight w:val="none"/>
                <w:shd w:val="pct10" w:color="auto" w:fill="FFFFFF"/>
              </w:rPr>
            </w:pPr>
            <w:r>
              <w:rPr>
                <w:rFonts w:hint="eastAsia" w:ascii="仿宋" w:hAnsi="仿宋" w:eastAsia="仿宋" w:cs="仿宋"/>
                <w:color w:val="auto"/>
                <w:sz w:val="28"/>
                <w:szCs w:val="28"/>
                <w:highlight w:val="none"/>
                <w:shd w:val="pct10" w:color="auto" w:fill="FFFFFF"/>
              </w:rPr>
              <w:t>法定代表人身份证复印件</w:t>
            </w:r>
          </w:p>
        </w:tc>
        <w:tc>
          <w:tcPr>
            <w:tcW w:w="4833" w:type="dxa"/>
            <w:shd w:val="clear" w:color="auto" w:fill="E0E0E0"/>
            <w:vAlign w:val="center"/>
          </w:tcPr>
          <w:p w14:paraId="1C07C635">
            <w:pPr>
              <w:pStyle w:val="12"/>
              <w:pageBreakBefore w:val="0"/>
              <w:bidi w:val="0"/>
              <w:snapToGrid w:val="0"/>
              <w:spacing w:line="500" w:lineRule="exact"/>
              <w:jc w:val="center"/>
              <w:outlineLvl w:val="9"/>
              <w:rPr>
                <w:rFonts w:hint="eastAsia" w:ascii="仿宋" w:hAnsi="仿宋" w:eastAsia="仿宋" w:cs="仿宋"/>
                <w:color w:val="auto"/>
                <w:sz w:val="28"/>
                <w:szCs w:val="28"/>
                <w:highlight w:val="none"/>
                <w:shd w:val="pct10" w:color="auto" w:fill="FFFFFF"/>
              </w:rPr>
            </w:pPr>
            <w:r>
              <w:rPr>
                <w:rFonts w:hint="eastAsia" w:ascii="仿宋" w:hAnsi="仿宋" w:eastAsia="仿宋" w:cs="仿宋"/>
                <w:color w:val="auto"/>
                <w:sz w:val="28"/>
                <w:szCs w:val="28"/>
                <w:highlight w:val="none"/>
                <w:shd w:val="pct10" w:color="auto" w:fill="FFFFFF"/>
              </w:rPr>
              <w:t>被授权人身份证复印件</w:t>
            </w:r>
          </w:p>
        </w:tc>
      </w:tr>
    </w:tbl>
    <w:p w14:paraId="1C2CB1A7">
      <w:pPr>
        <w:pStyle w:val="12"/>
        <w:pageBreakBefore w:val="0"/>
        <w:bidi w:val="0"/>
        <w:spacing w:line="500" w:lineRule="exact"/>
        <w:ind w:firstLine="280" w:firstLineChars="1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说明：</w:t>
      </w:r>
    </w:p>
    <w:p w14:paraId="1FE72F63">
      <w:pPr>
        <w:pStyle w:val="12"/>
        <w:pageBreakBefore w:val="0"/>
        <w:bidi w:val="0"/>
        <w:spacing w:line="460" w:lineRule="exact"/>
        <w:ind w:firstLine="840" w:firstLineChars="3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1．本授权书有效期自开标大会之日计算不得少于九十</w:t>
      </w:r>
      <w:r>
        <w:rPr>
          <w:rFonts w:hint="eastAsia" w:ascii="仿宋" w:hAnsi="仿宋" w:eastAsia="仿宋" w:cs="仿宋"/>
          <w:color w:val="auto"/>
          <w:sz w:val="28"/>
          <w:szCs w:val="28"/>
          <w:highlight w:val="none"/>
          <w:lang w:val="en-US" w:eastAsia="zh-CN"/>
        </w:rPr>
        <w:t>日历</w:t>
      </w:r>
      <w:r>
        <w:rPr>
          <w:rFonts w:hint="eastAsia" w:ascii="仿宋" w:hAnsi="仿宋" w:eastAsia="仿宋" w:cs="仿宋"/>
          <w:color w:val="auto"/>
          <w:sz w:val="28"/>
          <w:szCs w:val="28"/>
          <w:highlight w:val="none"/>
        </w:rPr>
        <w:t>天。</w:t>
      </w:r>
    </w:p>
    <w:p w14:paraId="16160471">
      <w:pPr>
        <w:pStyle w:val="12"/>
        <w:pageBreakBefore w:val="0"/>
        <w:bidi w:val="0"/>
        <w:spacing w:line="460" w:lineRule="exact"/>
        <w:ind w:firstLine="840" w:firstLineChars="300"/>
        <w:outlineLvl w:val="9"/>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2．授权书内容填写要明确，文字要工整清楚，涂改无效。</w:t>
      </w:r>
    </w:p>
    <w:p w14:paraId="5FBFF4C4">
      <w:pPr>
        <w:pageBreakBefore w:val="0"/>
        <w:bidi w:val="0"/>
        <w:spacing w:line="360" w:lineRule="auto"/>
        <w:ind w:firstLine="640"/>
        <w:jc w:val="center"/>
        <w:outlineLvl w:val="9"/>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八、</w:t>
      </w:r>
      <w:r>
        <w:rPr>
          <w:rFonts w:hint="eastAsia" w:ascii="仿宋" w:hAnsi="仿宋" w:eastAsia="仿宋" w:cs="仿宋"/>
          <w:b/>
          <w:color w:val="auto"/>
          <w:sz w:val="28"/>
          <w:szCs w:val="28"/>
          <w:highlight w:val="none"/>
        </w:rPr>
        <w:t>投标人</w:t>
      </w:r>
      <w:r>
        <w:rPr>
          <w:rFonts w:hint="eastAsia" w:ascii="仿宋" w:hAnsi="仿宋" w:eastAsia="仿宋" w:cs="仿宋"/>
          <w:b/>
          <w:color w:val="auto"/>
          <w:sz w:val="28"/>
          <w:szCs w:val="28"/>
          <w:highlight w:val="none"/>
          <w:lang w:val="en-US" w:eastAsia="zh-CN"/>
        </w:rPr>
        <w:t>资格证明资料</w:t>
      </w:r>
    </w:p>
    <w:p w14:paraId="5AFCD3F2">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jc w:val="both"/>
        <w:textAlignment w:val="auto"/>
        <w:rPr>
          <w:rFonts w:hint="eastAsia" w:ascii="仿宋" w:hAnsi="仿宋" w:eastAsia="仿宋" w:cs="仿宋"/>
          <w:b/>
          <w:bCs/>
          <w:color w:val="auto"/>
          <w:spacing w:val="0"/>
          <w:kern w:val="2"/>
          <w:sz w:val="28"/>
          <w:szCs w:val="28"/>
          <w:highlight w:val="none"/>
          <w:lang w:val="en-US" w:eastAsia="zh-CN" w:bidi="ar-SA"/>
        </w:rPr>
      </w:pPr>
      <w:r>
        <w:rPr>
          <w:rFonts w:hint="eastAsia" w:ascii="仿宋" w:hAnsi="仿宋" w:eastAsia="仿宋" w:cs="仿宋"/>
          <w:b/>
          <w:bCs/>
          <w:color w:val="auto"/>
          <w:spacing w:val="0"/>
          <w:kern w:val="2"/>
          <w:sz w:val="28"/>
          <w:szCs w:val="28"/>
          <w:highlight w:val="none"/>
          <w:lang w:val="en-US" w:eastAsia="zh-CN" w:bidi="ar-SA"/>
        </w:rPr>
        <w:t>基本资格条件：供应商符合《政府采购法》第二十二条规定条件的承诺函</w:t>
      </w:r>
    </w:p>
    <w:p w14:paraId="0D68E67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pacing w:val="0"/>
          <w:kern w:val="2"/>
          <w:sz w:val="28"/>
          <w:szCs w:val="28"/>
          <w:highlight w:val="none"/>
          <w:lang w:val="en-US" w:eastAsia="zh-CN" w:bidi="ar-SA"/>
        </w:rPr>
      </w:pPr>
      <w:r>
        <w:rPr>
          <w:rFonts w:hint="eastAsia" w:ascii="仿宋" w:hAnsi="仿宋" w:eastAsia="仿宋" w:cs="仿宋"/>
          <w:color w:val="auto"/>
          <w:spacing w:val="0"/>
          <w:kern w:val="2"/>
          <w:sz w:val="28"/>
          <w:szCs w:val="28"/>
          <w:highlight w:val="none"/>
          <w:lang w:val="en-US" w:eastAsia="zh-CN" w:bidi="ar-SA"/>
        </w:rPr>
        <w:t>致：</w:t>
      </w:r>
      <w:r>
        <w:rPr>
          <w:rFonts w:hint="eastAsia" w:ascii="仿宋" w:hAnsi="仿宋" w:eastAsia="仿宋" w:cs="仿宋"/>
          <w:color w:val="auto"/>
          <w:spacing w:val="0"/>
          <w:sz w:val="28"/>
          <w:szCs w:val="28"/>
          <w:highlight w:val="none"/>
          <w:u w:val="single" w:color="auto"/>
        </w:rPr>
        <w:t xml:space="preserve">                   </w:t>
      </w:r>
      <w:r>
        <w:rPr>
          <w:rFonts w:hint="eastAsia" w:ascii="仿宋" w:hAnsi="仿宋" w:eastAsia="仿宋" w:cs="仿宋"/>
          <w:color w:val="auto"/>
          <w:spacing w:val="0"/>
          <w:sz w:val="28"/>
          <w:szCs w:val="28"/>
          <w:highlight w:val="none"/>
        </w:rPr>
        <w:t xml:space="preserve"> </w:t>
      </w:r>
      <w:r>
        <w:rPr>
          <w:rFonts w:hint="eastAsia" w:ascii="仿宋" w:hAnsi="仿宋" w:eastAsia="仿宋" w:cs="仿宋"/>
          <w:color w:val="auto"/>
          <w:spacing w:val="0"/>
          <w:kern w:val="2"/>
          <w:sz w:val="28"/>
          <w:szCs w:val="28"/>
          <w:highlight w:val="none"/>
          <w:lang w:val="en-US" w:eastAsia="zh-CN" w:bidi="ar-SA"/>
        </w:rPr>
        <w:t>（采购人）</w:t>
      </w:r>
    </w:p>
    <w:p w14:paraId="3E2854A0">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仿宋" w:hAnsi="仿宋" w:eastAsia="仿宋" w:cs="仿宋"/>
          <w:color w:val="auto"/>
          <w:spacing w:val="0"/>
          <w:kern w:val="2"/>
          <w:sz w:val="28"/>
          <w:szCs w:val="28"/>
          <w:highlight w:val="none"/>
          <w:lang w:val="en-US" w:eastAsia="zh-CN" w:bidi="ar-SA"/>
        </w:rPr>
      </w:pPr>
      <w:r>
        <w:rPr>
          <w:rFonts w:hint="eastAsia" w:ascii="仿宋" w:hAnsi="仿宋" w:eastAsia="仿宋" w:cs="仿宋"/>
          <w:color w:val="auto"/>
          <w:spacing w:val="0"/>
          <w:sz w:val="28"/>
          <w:szCs w:val="28"/>
          <w:highlight w:val="none"/>
        </w:rPr>
        <w:t>本公司</w:t>
      </w:r>
      <w:r>
        <w:rPr>
          <w:rFonts w:hint="eastAsia" w:ascii="仿宋" w:hAnsi="仿宋" w:eastAsia="仿宋" w:cs="仿宋"/>
          <w:color w:val="auto"/>
          <w:spacing w:val="0"/>
          <w:sz w:val="28"/>
          <w:szCs w:val="28"/>
          <w:highlight w:val="none"/>
          <w:u w:val="single" w:color="auto"/>
        </w:rPr>
        <w:t xml:space="preserve">                   </w:t>
      </w:r>
      <w:r>
        <w:rPr>
          <w:rFonts w:hint="eastAsia" w:ascii="仿宋" w:hAnsi="仿宋" w:eastAsia="仿宋" w:cs="仿宋"/>
          <w:color w:val="auto"/>
          <w:spacing w:val="0"/>
          <w:sz w:val="28"/>
          <w:szCs w:val="28"/>
          <w:highlight w:val="none"/>
        </w:rPr>
        <w:t xml:space="preserve"> (公司名称) 参加</w:t>
      </w:r>
      <w:r>
        <w:rPr>
          <w:rFonts w:hint="eastAsia" w:ascii="仿宋" w:hAnsi="仿宋" w:eastAsia="仿宋" w:cs="仿宋"/>
          <w:color w:val="auto"/>
          <w:spacing w:val="0"/>
          <w:sz w:val="28"/>
          <w:szCs w:val="28"/>
          <w:highlight w:val="none"/>
          <w:u w:val="single" w:color="auto"/>
        </w:rPr>
        <w:t xml:space="preserve">                 </w:t>
      </w:r>
      <w:r>
        <w:rPr>
          <w:rFonts w:hint="eastAsia" w:ascii="仿宋" w:hAnsi="仿宋" w:eastAsia="仿宋" w:cs="仿宋"/>
          <w:color w:val="auto"/>
          <w:spacing w:val="0"/>
          <w:sz w:val="28"/>
          <w:szCs w:val="28"/>
          <w:highlight w:val="none"/>
        </w:rPr>
        <w:t xml:space="preserve"> (项目名称) </w:t>
      </w:r>
      <w:r>
        <w:rPr>
          <w:rFonts w:hint="eastAsia" w:ascii="仿宋" w:hAnsi="仿宋" w:eastAsia="仿宋" w:cs="仿宋"/>
          <w:color w:val="auto"/>
          <w:spacing w:val="0"/>
          <w:kern w:val="2"/>
          <w:sz w:val="28"/>
          <w:szCs w:val="28"/>
          <w:highlight w:val="none"/>
          <w:lang w:val="en-US" w:eastAsia="zh-CN" w:bidi="ar-SA"/>
        </w:rPr>
        <w:t>的投标活动，现承诺：</w:t>
      </w:r>
    </w:p>
    <w:p w14:paraId="27E38F27">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pacing w:val="0"/>
          <w:kern w:val="2"/>
          <w:sz w:val="28"/>
          <w:szCs w:val="28"/>
          <w:highlight w:val="none"/>
          <w:lang w:val="en-US" w:eastAsia="zh-CN" w:bidi="ar-SA"/>
        </w:rPr>
      </w:pPr>
      <w:r>
        <w:rPr>
          <w:rFonts w:hint="eastAsia" w:ascii="仿宋" w:hAnsi="仿宋" w:eastAsia="仿宋" w:cs="仿宋"/>
          <w:color w:val="auto"/>
          <w:spacing w:val="0"/>
          <w:kern w:val="2"/>
          <w:sz w:val="28"/>
          <w:szCs w:val="28"/>
          <w:highlight w:val="none"/>
          <w:lang w:val="en-US" w:eastAsia="zh-CN" w:bidi="ar-SA"/>
        </w:rPr>
        <w:t>我公司满足政府采购法第二十二条关于供应商的资格要求：</w:t>
      </w:r>
    </w:p>
    <w:p w14:paraId="48489BC9">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pacing w:val="0"/>
          <w:kern w:val="2"/>
          <w:sz w:val="28"/>
          <w:szCs w:val="28"/>
          <w:highlight w:val="none"/>
          <w:lang w:val="en-US" w:eastAsia="zh-CN" w:bidi="ar-SA"/>
        </w:rPr>
      </w:pPr>
      <w:r>
        <w:rPr>
          <w:rFonts w:hint="eastAsia" w:ascii="仿宋" w:hAnsi="仿宋" w:eastAsia="仿宋" w:cs="仿宋"/>
          <w:color w:val="auto"/>
          <w:spacing w:val="0"/>
          <w:kern w:val="2"/>
          <w:sz w:val="28"/>
          <w:szCs w:val="28"/>
          <w:highlight w:val="none"/>
          <w:lang w:val="en-US" w:eastAsia="zh-CN" w:bidi="ar-SA"/>
        </w:rPr>
        <w:t>（1）具有独立承担民事责任的能力；</w:t>
      </w:r>
    </w:p>
    <w:p w14:paraId="191707EF">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pacing w:val="0"/>
          <w:kern w:val="2"/>
          <w:sz w:val="28"/>
          <w:szCs w:val="28"/>
          <w:highlight w:val="none"/>
          <w:lang w:val="en-US" w:eastAsia="zh-CN" w:bidi="ar-SA"/>
        </w:rPr>
      </w:pPr>
      <w:r>
        <w:rPr>
          <w:rFonts w:hint="eastAsia" w:ascii="仿宋" w:hAnsi="仿宋" w:eastAsia="仿宋" w:cs="仿宋"/>
          <w:color w:val="auto"/>
          <w:spacing w:val="0"/>
          <w:kern w:val="2"/>
          <w:sz w:val="28"/>
          <w:szCs w:val="28"/>
          <w:highlight w:val="none"/>
          <w:lang w:val="en-US" w:eastAsia="zh-CN" w:bidi="ar-SA"/>
        </w:rPr>
        <w:t>（2）具有良好的商业信誉和健全的财务会计制度；</w:t>
      </w:r>
    </w:p>
    <w:p w14:paraId="286EDD47">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pacing w:val="0"/>
          <w:kern w:val="2"/>
          <w:sz w:val="28"/>
          <w:szCs w:val="28"/>
          <w:highlight w:val="none"/>
          <w:lang w:val="en-US" w:eastAsia="zh-CN" w:bidi="ar-SA"/>
        </w:rPr>
      </w:pPr>
      <w:r>
        <w:rPr>
          <w:rFonts w:hint="eastAsia" w:ascii="仿宋" w:hAnsi="仿宋" w:eastAsia="仿宋" w:cs="仿宋"/>
          <w:color w:val="auto"/>
          <w:spacing w:val="0"/>
          <w:kern w:val="2"/>
          <w:sz w:val="28"/>
          <w:szCs w:val="28"/>
          <w:highlight w:val="none"/>
          <w:lang w:val="en-US" w:eastAsia="zh-CN" w:bidi="ar-SA"/>
        </w:rPr>
        <w:t>（3）具有履行合同所必需的设备和专业技术能力；</w:t>
      </w:r>
    </w:p>
    <w:p w14:paraId="5482801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pacing w:val="0"/>
          <w:kern w:val="2"/>
          <w:sz w:val="28"/>
          <w:szCs w:val="28"/>
          <w:highlight w:val="none"/>
          <w:lang w:val="en-US" w:eastAsia="zh-CN" w:bidi="ar-SA"/>
        </w:rPr>
      </w:pPr>
      <w:r>
        <w:rPr>
          <w:rFonts w:hint="eastAsia" w:ascii="仿宋" w:hAnsi="仿宋" w:eastAsia="仿宋" w:cs="仿宋"/>
          <w:color w:val="auto"/>
          <w:spacing w:val="0"/>
          <w:kern w:val="2"/>
          <w:sz w:val="28"/>
          <w:szCs w:val="28"/>
          <w:highlight w:val="none"/>
          <w:lang w:val="en-US" w:eastAsia="zh-CN" w:bidi="ar-SA"/>
        </w:rPr>
        <w:t>（4）有依法缴纳税收和社会保障资金的良好记录；</w:t>
      </w:r>
    </w:p>
    <w:p w14:paraId="520F7A90">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pacing w:val="0"/>
          <w:kern w:val="2"/>
          <w:sz w:val="28"/>
          <w:szCs w:val="28"/>
          <w:highlight w:val="none"/>
          <w:lang w:val="en-US" w:eastAsia="zh-CN" w:bidi="ar-SA"/>
        </w:rPr>
      </w:pPr>
      <w:r>
        <w:rPr>
          <w:rFonts w:hint="eastAsia" w:ascii="仿宋" w:hAnsi="仿宋" w:eastAsia="仿宋" w:cs="仿宋"/>
          <w:color w:val="auto"/>
          <w:spacing w:val="0"/>
          <w:kern w:val="2"/>
          <w:sz w:val="28"/>
          <w:szCs w:val="28"/>
          <w:highlight w:val="none"/>
          <w:lang w:val="en-US" w:eastAsia="zh-CN" w:bidi="ar-SA"/>
        </w:rPr>
        <w:t>（5）参加政府采购活动前三年内，在经营活动中没有重大违法记录；</w:t>
      </w:r>
    </w:p>
    <w:p w14:paraId="7970C0D6">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pacing w:val="0"/>
          <w:kern w:val="2"/>
          <w:sz w:val="28"/>
          <w:szCs w:val="28"/>
          <w:highlight w:val="none"/>
          <w:lang w:val="en-US" w:eastAsia="zh-CN" w:bidi="ar-SA"/>
        </w:rPr>
      </w:pPr>
      <w:r>
        <w:rPr>
          <w:rFonts w:hint="eastAsia" w:ascii="仿宋" w:hAnsi="仿宋" w:eastAsia="仿宋" w:cs="仿宋"/>
          <w:color w:val="auto"/>
          <w:spacing w:val="0"/>
          <w:kern w:val="2"/>
          <w:sz w:val="28"/>
          <w:szCs w:val="28"/>
          <w:highlight w:val="none"/>
          <w:lang w:val="en-US" w:eastAsia="zh-CN" w:bidi="ar-SA"/>
        </w:rPr>
        <w:t>（6）法律、行政法规规定的其他条件。</w:t>
      </w:r>
    </w:p>
    <w:p w14:paraId="16DF6263">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仿宋" w:hAnsi="仿宋" w:eastAsia="仿宋" w:cs="仿宋"/>
          <w:color w:val="auto"/>
          <w:spacing w:val="0"/>
          <w:kern w:val="2"/>
          <w:sz w:val="28"/>
          <w:szCs w:val="28"/>
          <w:highlight w:val="none"/>
          <w:lang w:val="en-US" w:eastAsia="zh-CN" w:bidi="ar-SA"/>
        </w:rPr>
      </w:pPr>
      <w:r>
        <w:rPr>
          <w:rFonts w:hint="eastAsia" w:ascii="仿宋" w:hAnsi="仿宋" w:eastAsia="仿宋" w:cs="仿宋"/>
          <w:color w:val="auto"/>
          <w:spacing w:val="0"/>
          <w:kern w:val="2"/>
          <w:sz w:val="28"/>
          <w:szCs w:val="28"/>
          <w:highlight w:val="none"/>
          <w:lang w:val="en-US" w:eastAsia="zh-CN" w:bidi="ar-SA"/>
        </w:rPr>
        <w:t>同时也满足本项目法律法规规定关于供应商的其他资格性条件，未参与本采购项目前期咨询论证，不属于禁止参加采购的供应商。</w:t>
      </w:r>
    </w:p>
    <w:p w14:paraId="5F82CB68">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仿宋" w:hAnsi="仿宋" w:eastAsia="仿宋" w:cs="仿宋"/>
          <w:color w:val="auto"/>
          <w:spacing w:val="0"/>
          <w:kern w:val="2"/>
          <w:sz w:val="28"/>
          <w:szCs w:val="28"/>
          <w:highlight w:val="none"/>
          <w:lang w:val="en-US" w:eastAsia="zh-CN" w:bidi="ar-SA"/>
        </w:rPr>
      </w:pPr>
      <w:r>
        <w:rPr>
          <w:rFonts w:hint="eastAsia" w:ascii="仿宋" w:hAnsi="仿宋" w:eastAsia="仿宋" w:cs="仿宋"/>
          <w:color w:val="auto"/>
          <w:spacing w:val="0"/>
          <w:kern w:val="2"/>
          <w:sz w:val="28"/>
          <w:szCs w:val="28"/>
          <w:highlight w:val="none"/>
          <w:lang w:val="en-US" w:eastAsia="zh-CN" w:bidi="ar-SA"/>
        </w:rPr>
        <w:t>如违反以上承诺，本公司愿承担一切法律责任。</w:t>
      </w:r>
    </w:p>
    <w:p w14:paraId="6C315A36">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pacing w:val="0"/>
          <w:sz w:val="28"/>
          <w:szCs w:val="28"/>
          <w:highlight w:val="none"/>
        </w:rPr>
      </w:pPr>
    </w:p>
    <w:p w14:paraId="238B65DB">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pacing w:val="0"/>
          <w:sz w:val="28"/>
          <w:szCs w:val="28"/>
          <w:highlight w:val="none"/>
        </w:rPr>
      </w:pPr>
    </w:p>
    <w:p w14:paraId="3D0916D2">
      <w:pPr>
        <w:keepNext w:val="0"/>
        <w:keepLines w:val="0"/>
        <w:pageBreakBefore w:val="0"/>
        <w:widowControl w:val="0"/>
        <w:kinsoku/>
        <w:wordWrap/>
        <w:overflowPunct/>
        <w:topLinePunct w:val="0"/>
        <w:autoSpaceDE/>
        <w:autoSpaceDN/>
        <w:bidi w:val="0"/>
        <w:adjustRightInd/>
        <w:snapToGrid/>
        <w:spacing w:line="600" w:lineRule="auto"/>
        <w:ind w:left="0" w:firstLine="2240" w:firstLineChars="800"/>
        <w:textAlignment w:val="auto"/>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供应商 (盖章 ) ：</w:t>
      </w:r>
      <w:r>
        <w:rPr>
          <w:rFonts w:hint="eastAsia" w:ascii="仿宋" w:hAnsi="仿宋" w:eastAsia="仿宋" w:cs="仿宋"/>
          <w:color w:val="auto"/>
          <w:spacing w:val="0"/>
          <w:sz w:val="28"/>
          <w:szCs w:val="28"/>
          <w:highlight w:val="none"/>
          <w:u w:val="single" w:color="auto"/>
        </w:rPr>
        <w:t xml:space="preserve">                      </w:t>
      </w:r>
    </w:p>
    <w:p w14:paraId="68D2A09F">
      <w:pPr>
        <w:keepNext w:val="0"/>
        <w:keepLines w:val="0"/>
        <w:pageBreakBefore w:val="0"/>
        <w:widowControl w:val="0"/>
        <w:kinsoku/>
        <w:wordWrap/>
        <w:overflowPunct/>
        <w:topLinePunct w:val="0"/>
        <w:autoSpaceDE/>
        <w:autoSpaceDN/>
        <w:bidi w:val="0"/>
        <w:adjustRightInd/>
        <w:snapToGrid/>
        <w:spacing w:line="600" w:lineRule="auto"/>
        <w:ind w:left="0" w:firstLine="2240" w:firstLineChars="800"/>
        <w:textAlignment w:val="auto"/>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法定代表人/被授权人 (签字</w:t>
      </w:r>
      <w:r>
        <w:rPr>
          <w:rFonts w:hint="eastAsia" w:ascii="仿宋" w:hAnsi="仿宋" w:eastAsia="仿宋" w:cs="仿宋"/>
          <w:color w:val="auto"/>
          <w:spacing w:val="0"/>
          <w:sz w:val="28"/>
          <w:szCs w:val="28"/>
          <w:highlight w:val="none"/>
          <w:lang w:eastAsia="zh-CN"/>
        </w:rPr>
        <w:t>或盖章</w:t>
      </w:r>
      <w:r>
        <w:rPr>
          <w:rFonts w:hint="eastAsia" w:ascii="仿宋" w:hAnsi="仿宋" w:eastAsia="仿宋" w:cs="仿宋"/>
          <w:color w:val="auto"/>
          <w:spacing w:val="0"/>
          <w:sz w:val="28"/>
          <w:szCs w:val="28"/>
          <w:highlight w:val="none"/>
        </w:rPr>
        <w:t xml:space="preserve">) </w:t>
      </w:r>
      <w:r>
        <w:rPr>
          <w:rFonts w:hint="eastAsia" w:ascii="仿宋" w:hAnsi="仿宋" w:eastAsia="仿宋" w:cs="仿宋"/>
          <w:color w:val="auto"/>
          <w:spacing w:val="0"/>
          <w:sz w:val="28"/>
          <w:szCs w:val="28"/>
          <w:highlight w:val="none"/>
          <w:u w:val="none" w:color="auto"/>
        </w:rPr>
        <w:t>：</w:t>
      </w:r>
      <w:r>
        <w:rPr>
          <w:rFonts w:hint="eastAsia" w:ascii="仿宋" w:hAnsi="仿宋" w:eastAsia="仿宋" w:cs="仿宋"/>
          <w:color w:val="auto"/>
          <w:spacing w:val="0"/>
          <w:sz w:val="28"/>
          <w:szCs w:val="28"/>
          <w:highlight w:val="none"/>
          <w:u w:val="single" w:color="auto"/>
        </w:rPr>
        <w:t xml:space="preserve">        </w:t>
      </w:r>
    </w:p>
    <w:p w14:paraId="323EAF8E">
      <w:pPr>
        <w:keepNext w:val="0"/>
        <w:keepLines w:val="0"/>
        <w:pageBreakBefore w:val="0"/>
        <w:widowControl w:val="0"/>
        <w:kinsoku/>
        <w:wordWrap/>
        <w:overflowPunct/>
        <w:topLinePunct w:val="0"/>
        <w:autoSpaceDE/>
        <w:autoSpaceDN/>
        <w:bidi w:val="0"/>
        <w:adjustRightInd/>
        <w:snapToGrid/>
        <w:spacing w:line="600" w:lineRule="auto"/>
        <w:ind w:left="0" w:firstLine="2240" w:firstLineChars="800"/>
        <w:textAlignment w:val="auto"/>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日期：      年    月    日</w:t>
      </w:r>
    </w:p>
    <w:p w14:paraId="75FF749B">
      <w:pPr>
        <w:spacing w:line="600" w:lineRule="auto"/>
        <w:rPr>
          <w:rFonts w:hint="eastAsia" w:ascii="仿宋" w:hAnsi="仿宋" w:eastAsia="仿宋" w:cs="仿宋"/>
          <w:color w:val="auto"/>
          <w:sz w:val="28"/>
          <w:szCs w:val="28"/>
          <w:highlight w:val="none"/>
        </w:rPr>
        <w:sectPr>
          <w:footerReference r:id="rId18" w:type="default"/>
          <w:pgSz w:w="11906" w:h="16839"/>
          <w:pgMar w:top="1536" w:right="1345" w:bottom="1228" w:left="1430" w:header="0" w:footer="1068" w:gutter="0"/>
          <w:pgBorders>
            <w:top w:val="none" w:sz="0" w:space="0"/>
            <w:left w:val="none" w:sz="0" w:space="0"/>
            <w:bottom w:val="none" w:sz="0" w:space="0"/>
            <w:right w:val="none" w:sz="0" w:space="0"/>
          </w:pgBorders>
          <w:pgNumType w:fmt="decimal"/>
          <w:cols w:space="720" w:num="1"/>
        </w:sectPr>
      </w:pPr>
    </w:p>
    <w:p w14:paraId="3197C374">
      <w:pPr>
        <w:pStyle w:val="7"/>
        <w:spacing w:line="360" w:lineRule="auto"/>
        <w:ind w:left="0" w:leftChars="0" w:firstLine="0" w:firstLineChars="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pacing w:val="8"/>
          <w:sz w:val="28"/>
          <w:szCs w:val="28"/>
          <w:highlight w:val="none"/>
          <w:lang w:eastAsia="zh-CN"/>
        </w:rPr>
        <w:t>（</w:t>
      </w:r>
      <w:r>
        <w:rPr>
          <w:rFonts w:hint="eastAsia" w:ascii="仿宋" w:hAnsi="仿宋" w:eastAsia="仿宋" w:cs="仿宋"/>
          <w:b/>
          <w:bCs/>
          <w:color w:val="auto"/>
          <w:spacing w:val="8"/>
          <w:sz w:val="28"/>
          <w:szCs w:val="28"/>
          <w:highlight w:val="none"/>
          <w:lang w:val="en-US" w:eastAsia="zh-CN"/>
        </w:rPr>
        <w:t>二</w:t>
      </w:r>
      <w:r>
        <w:rPr>
          <w:rFonts w:hint="eastAsia" w:ascii="仿宋" w:hAnsi="仿宋" w:eastAsia="仿宋" w:cs="仿宋"/>
          <w:b/>
          <w:bCs/>
          <w:color w:val="auto"/>
          <w:spacing w:val="8"/>
          <w:sz w:val="28"/>
          <w:szCs w:val="28"/>
          <w:highlight w:val="none"/>
          <w:lang w:eastAsia="zh-CN"/>
        </w:rPr>
        <w:t>）特定</w:t>
      </w:r>
      <w:r>
        <w:rPr>
          <w:rFonts w:hint="eastAsia" w:ascii="仿宋" w:hAnsi="仿宋" w:eastAsia="仿宋" w:cs="仿宋"/>
          <w:b/>
          <w:bCs/>
          <w:color w:val="auto"/>
          <w:spacing w:val="8"/>
          <w:sz w:val="28"/>
          <w:szCs w:val="28"/>
          <w:highlight w:val="none"/>
        </w:rPr>
        <w:t>资格条件</w:t>
      </w:r>
    </w:p>
    <w:p w14:paraId="32115EE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i w:val="0"/>
          <w:iCs w:val="0"/>
          <w:caps w:val="0"/>
          <w:color w:val="auto"/>
          <w:spacing w:val="0"/>
          <w:sz w:val="28"/>
          <w:szCs w:val="28"/>
          <w:highlight w:val="none"/>
          <w:shd w:val="clear" w:fill="FFFFFF"/>
        </w:rPr>
        <w:t>（1）供应商须为独立承担民事责任能力的法人或其他组织，并提供有效的营业执照等国家规定的相关主体资格证明资料及开户许可证（或基本存款账户信息）；（</w:t>
      </w:r>
      <w:r>
        <w:rPr>
          <w:rFonts w:hint="eastAsia" w:ascii="仿宋" w:hAnsi="仿宋" w:eastAsia="仿宋" w:cs="仿宋"/>
          <w:i w:val="0"/>
          <w:iCs w:val="0"/>
          <w:caps w:val="0"/>
          <w:color w:val="auto"/>
          <w:spacing w:val="0"/>
          <w:sz w:val="28"/>
          <w:szCs w:val="28"/>
          <w:highlight w:val="none"/>
          <w:shd w:val="clear" w:fill="FFFFFF"/>
          <w:lang w:val="en-US" w:eastAsia="zh-CN"/>
        </w:rPr>
        <w:t>2</w:t>
      </w:r>
      <w:r>
        <w:rPr>
          <w:rFonts w:hint="eastAsia" w:ascii="仿宋" w:hAnsi="仿宋" w:eastAsia="仿宋" w:cs="仿宋"/>
          <w:i w:val="0"/>
          <w:iCs w:val="0"/>
          <w:caps w:val="0"/>
          <w:color w:val="auto"/>
          <w:spacing w:val="0"/>
          <w:sz w:val="28"/>
          <w:szCs w:val="28"/>
          <w:highlight w:val="none"/>
          <w:shd w:val="clear" w:fill="FFFFFF"/>
        </w:rPr>
        <w:t>）提供2025年经会计师事务所审计的财务审计报告或近三个月内银行出具的资信证明；（</w:t>
      </w:r>
      <w:r>
        <w:rPr>
          <w:rFonts w:hint="eastAsia" w:ascii="仿宋" w:hAnsi="仿宋" w:eastAsia="仿宋" w:cs="仿宋"/>
          <w:i w:val="0"/>
          <w:iCs w:val="0"/>
          <w:caps w:val="0"/>
          <w:color w:val="auto"/>
          <w:spacing w:val="0"/>
          <w:sz w:val="28"/>
          <w:szCs w:val="28"/>
          <w:highlight w:val="none"/>
          <w:shd w:val="clear" w:fill="FFFFFF"/>
          <w:lang w:val="en-US" w:eastAsia="zh-CN"/>
        </w:rPr>
        <w:t>3</w:t>
      </w:r>
      <w:r>
        <w:rPr>
          <w:rFonts w:hint="eastAsia" w:ascii="仿宋" w:hAnsi="仿宋" w:eastAsia="仿宋" w:cs="仿宋"/>
          <w:i w:val="0"/>
          <w:iCs w:val="0"/>
          <w:caps w:val="0"/>
          <w:color w:val="auto"/>
          <w:spacing w:val="0"/>
          <w:sz w:val="28"/>
          <w:szCs w:val="28"/>
          <w:highlight w:val="none"/>
          <w:shd w:val="clear" w:fill="FFFFFF"/>
        </w:rPr>
        <w:t>）提供2026年1月1日至今已缴纳的至少一个月的纳税证明，依法免税的供应商应提供相关文件证明；（</w:t>
      </w:r>
      <w:r>
        <w:rPr>
          <w:rFonts w:hint="eastAsia" w:ascii="仿宋" w:hAnsi="仿宋" w:eastAsia="仿宋" w:cs="仿宋"/>
          <w:i w:val="0"/>
          <w:iCs w:val="0"/>
          <w:caps w:val="0"/>
          <w:color w:val="auto"/>
          <w:spacing w:val="0"/>
          <w:sz w:val="28"/>
          <w:szCs w:val="28"/>
          <w:highlight w:val="none"/>
          <w:shd w:val="clear" w:fill="FFFFFF"/>
          <w:lang w:val="en-US" w:eastAsia="zh-CN"/>
        </w:rPr>
        <w:t>4</w:t>
      </w:r>
      <w:r>
        <w:rPr>
          <w:rFonts w:hint="eastAsia" w:ascii="仿宋" w:hAnsi="仿宋" w:eastAsia="仿宋" w:cs="仿宋"/>
          <w:i w:val="0"/>
          <w:iCs w:val="0"/>
          <w:caps w:val="0"/>
          <w:color w:val="auto"/>
          <w:spacing w:val="0"/>
          <w:sz w:val="28"/>
          <w:szCs w:val="28"/>
          <w:highlight w:val="none"/>
          <w:shd w:val="clear" w:fill="FFFFFF"/>
        </w:rPr>
        <w:t>）提供2026年1月1日至今已缴纳的至少一个月社会保障资金缴存单据或社保机构出具的社会保险参保缴费情况证明，依法不需要缴纳社保的供应商应提供相关文件证明；（</w:t>
      </w:r>
      <w:r>
        <w:rPr>
          <w:rFonts w:hint="eastAsia" w:ascii="仿宋" w:hAnsi="仿宋" w:eastAsia="仿宋" w:cs="仿宋"/>
          <w:i w:val="0"/>
          <w:iCs w:val="0"/>
          <w:caps w:val="0"/>
          <w:color w:val="auto"/>
          <w:spacing w:val="0"/>
          <w:sz w:val="28"/>
          <w:szCs w:val="28"/>
          <w:highlight w:val="none"/>
          <w:shd w:val="clear" w:fill="FFFFFF"/>
          <w:lang w:val="en-US" w:eastAsia="zh-CN"/>
        </w:rPr>
        <w:t>5</w:t>
      </w:r>
      <w:r>
        <w:rPr>
          <w:rFonts w:hint="eastAsia" w:ascii="仿宋" w:hAnsi="仿宋" w:eastAsia="仿宋" w:cs="仿宋"/>
          <w:i w:val="0"/>
          <w:iCs w:val="0"/>
          <w:caps w:val="0"/>
          <w:color w:val="auto"/>
          <w:spacing w:val="0"/>
          <w:sz w:val="28"/>
          <w:szCs w:val="28"/>
          <w:highlight w:val="none"/>
          <w:shd w:val="clear" w:fill="FFFFFF"/>
        </w:rPr>
        <w:t>）法定代表人授权书及被授权人身份证（法定代表人直接投标只需提供本人身份证）；（</w:t>
      </w:r>
      <w:r>
        <w:rPr>
          <w:rFonts w:hint="eastAsia" w:ascii="仿宋" w:hAnsi="仿宋" w:eastAsia="仿宋" w:cs="仿宋"/>
          <w:i w:val="0"/>
          <w:iCs w:val="0"/>
          <w:caps w:val="0"/>
          <w:color w:val="auto"/>
          <w:spacing w:val="0"/>
          <w:sz w:val="28"/>
          <w:szCs w:val="28"/>
          <w:highlight w:val="none"/>
          <w:shd w:val="clear" w:fill="FFFFFF"/>
          <w:lang w:val="en-US" w:eastAsia="zh-CN"/>
        </w:rPr>
        <w:t>6</w:t>
      </w:r>
      <w:r>
        <w:rPr>
          <w:rFonts w:hint="eastAsia" w:ascii="仿宋" w:hAnsi="仿宋" w:eastAsia="仿宋" w:cs="仿宋"/>
          <w:i w:val="0"/>
          <w:iCs w:val="0"/>
          <w:caps w:val="0"/>
          <w:color w:val="auto"/>
          <w:spacing w:val="0"/>
          <w:sz w:val="28"/>
          <w:szCs w:val="28"/>
          <w:highlight w:val="none"/>
          <w:shd w:val="clear" w:fill="FFFFFF"/>
        </w:rPr>
        <w:t>）参加政府采购活动前3年内，在经营活动中没有重大违法记录的书面声明；（</w:t>
      </w:r>
      <w:r>
        <w:rPr>
          <w:rFonts w:hint="eastAsia" w:ascii="仿宋" w:hAnsi="仿宋" w:eastAsia="仿宋" w:cs="仿宋"/>
          <w:i w:val="0"/>
          <w:iCs w:val="0"/>
          <w:caps w:val="0"/>
          <w:color w:val="auto"/>
          <w:spacing w:val="0"/>
          <w:sz w:val="28"/>
          <w:szCs w:val="28"/>
          <w:highlight w:val="none"/>
          <w:shd w:val="clear" w:fill="FFFFFF"/>
          <w:lang w:val="en-US" w:eastAsia="zh-CN"/>
        </w:rPr>
        <w:t>7</w:t>
      </w:r>
      <w:r>
        <w:rPr>
          <w:rFonts w:hint="eastAsia" w:ascii="仿宋" w:hAnsi="仿宋" w:eastAsia="仿宋" w:cs="仿宋"/>
          <w:i w:val="0"/>
          <w:iCs w:val="0"/>
          <w:caps w:val="0"/>
          <w:color w:val="auto"/>
          <w:spacing w:val="0"/>
          <w:sz w:val="28"/>
          <w:szCs w:val="28"/>
          <w:highlight w:val="none"/>
          <w:shd w:val="clear" w:fill="FFFFFF"/>
        </w:rPr>
        <w:t>）供应商不得为“中国执行信息公开网”列入失信被执行人名单的供应商，不得为“信用中国”网列入重大税收违法失信主体名单的供应商，不得为中国政府采购网政府采购严重违法失信行为记录名单中被财政部门禁止参加政府采购活动的供应商（以上内容资格审查时现场核查）。</w:t>
      </w:r>
    </w:p>
    <w:p w14:paraId="02A5960F">
      <w:pPr>
        <w:pageBreakBefore w:val="0"/>
        <w:bidi w:val="0"/>
        <w:spacing w:line="360" w:lineRule="atLeast"/>
        <w:jc w:val="center"/>
        <w:outlineLvl w:val="9"/>
        <w:rPr>
          <w:rFonts w:hint="eastAsia" w:ascii="仿宋" w:hAnsi="仿宋" w:eastAsia="仿宋" w:cs="仿宋"/>
          <w:b/>
          <w:color w:val="auto"/>
          <w:sz w:val="28"/>
          <w:szCs w:val="28"/>
          <w:highlight w:val="none"/>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59D11F1D">
      <w:pPr>
        <w:pageBreakBefore w:val="0"/>
        <w:bidi w:val="0"/>
        <w:spacing w:line="360" w:lineRule="atLeast"/>
        <w:jc w:val="center"/>
        <w:outlineLvl w:val="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九、</w:t>
      </w:r>
      <w:r>
        <w:rPr>
          <w:rFonts w:hint="eastAsia" w:ascii="仿宋" w:hAnsi="仿宋" w:eastAsia="仿宋" w:cs="仿宋"/>
          <w:b/>
          <w:color w:val="auto"/>
          <w:sz w:val="28"/>
          <w:szCs w:val="28"/>
          <w:highlight w:val="none"/>
        </w:rPr>
        <w:t>技术方案</w:t>
      </w:r>
    </w:p>
    <w:p w14:paraId="4DFCCCC0">
      <w:pPr>
        <w:pageBreakBefore w:val="0"/>
        <w:bidi w:val="0"/>
        <w:outlineLvl w:val="9"/>
        <w:rPr>
          <w:rFonts w:hint="eastAsia" w:ascii="仿宋" w:hAnsi="仿宋" w:eastAsia="仿宋" w:cs="仿宋"/>
          <w:color w:val="auto"/>
          <w:sz w:val="28"/>
          <w:szCs w:val="28"/>
          <w:highlight w:val="none"/>
        </w:rPr>
      </w:pPr>
    </w:p>
    <w:p w14:paraId="1F148F44">
      <w:pPr>
        <w:pStyle w:val="14"/>
        <w:rPr>
          <w:rFonts w:hint="eastAsia" w:ascii="仿宋" w:hAnsi="仿宋" w:eastAsia="仿宋" w:cs="仿宋"/>
          <w:b/>
          <w:color w:val="auto"/>
          <w:sz w:val="28"/>
          <w:szCs w:val="28"/>
          <w:highlight w:val="none"/>
          <w:lang w:val="en-US" w:eastAsia="zh-CN"/>
        </w:rPr>
      </w:pPr>
      <w:r>
        <w:rPr>
          <w:rFonts w:hint="eastAsia" w:ascii="仿宋" w:hAnsi="仿宋" w:eastAsia="仿宋" w:cs="仿宋"/>
          <w:color w:val="auto"/>
          <w:sz w:val="28"/>
          <w:szCs w:val="28"/>
          <w:highlight w:val="none"/>
          <w:lang w:val="en-US" w:eastAsia="zh-CN"/>
        </w:rPr>
        <w:t>根据评标办法编制（格式自拟）</w:t>
      </w:r>
    </w:p>
    <w:p w14:paraId="08744F3D">
      <w:pPr>
        <w:rPr>
          <w:rFonts w:hint="eastAsia" w:ascii="仿宋" w:hAnsi="仿宋" w:eastAsia="仿宋" w:cs="仿宋"/>
          <w:color w:val="auto"/>
          <w:sz w:val="28"/>
          <w:szCs w:val="28"/>
          <w:highlight w:val="none"/>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54E66554">
      <w:pPr>
        <w:pageBreakBefore w:val="0"/>
        <w:overflowPunct w:val="0"/>
        <w:topLinePunct/>
        <w:bidi w:val="0"/>
        <w:snapToGrid w:val="0"/>
        <w:spacing w:line="600" w:lineRule="auto"/>
        <w:ind w:left="840" w:leftChars="400" w:firstLine="2108" w:firstLineChars="750"/>
        <w:outlineLvl w:val="9"/>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val="en-US" w:eastAsia="zh-CN"/>
        </w:rPr>
        <w:t>十、</w:t>
      </w:r>
      <w:r>
        <w:rPr>
          <w:rFonts w:hint="eastAsia" w:ascii="仿宋" w:hAnsi="仿宋" w:eastAsia="仿宋" w:cs="仿宋"/>
          <w:b/>
          <w:color w:val="auto"/>
          <w:sz w:val="28"/>
          <w:szCs w:val="28"/>
          <w:highlight w:val="none"/>
        </w:rPr>
        <w:t>商务</w:t>
      </w:r>
      <w:r>
        <w:rPr>
          <w:rFonts w:hint="eastAsia" w:ascii="仿宋" w:hAnsi="仿宋" w:eastAsia="仿宋" w:cs="仿宋"/>
          <w:b/>
          <w:color w:val="auto"/>
          <w:sz w:val="28"/>
          <w:szCs w:val="28"/>
          <w:highlight w:val="none"/>
          <w:lang w:val="en-US" w:eastAsia="zh-CN"/>
        </w:rPr>
        <w:t>部分</w:t>
      </w:r>
    </w:p>
    <w:p w14:paraId="369D4672">
      <w:pPr>
        <w:keepNext w:val="0"/>
        <w:keepLines w:val="0"/>
        <w:pageBreakBefore w:val="0"/>
        <w:numPr>
          <w:ilvl w:val="0"/>
          <w:numId w:val="10"/>
        </w:numPr>
        <w:kinsoku/>
        <w:wordWrap/>
        <w:overflowPunct/>
        <w:topLinePunct w:val="0"/>
        <w:bidi w:val="0"/>
        <w:adjustRightInd/>
        <w:snapToGrid/>
        <w:spacing w:line="400" w:lineRule="exact"/>
        <w:ind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类似项目业绩</w:t>
      </w:r>
      <w:r>
        <w:rPr>
          <w:rFonts w:hint="eastAsia" w:ascii="仿宋" w:hAnsi="仿宋" w:eastAsia="仿宋" w:cs="仿宋"/>
          <w:color w:val="auto"/>
          <w:sz w:val="28"/>
          <w:szCs w:val="28"/>
          <w:highlight w:val="none"/>
          <w:lang w:eastAsia="zh-CN"/>
        </w:rPr>
        <w:t>；</w:t>
      </w:r>
    </w:p>
    <w:p w14:paraId="2B499F05">
      <w:pPr>
        <w:keepNext w:val="0"/>
        <w:keepLines w:val="0"/>
        <w:pageBreakBefore w:val="0"/>
        <w:numPr>
          <w:ilvl w:val="0"/>
          <w:numId w:val="10"/>
        </w:numPr>
        <w:kinsoku/>
        <w:wordWrap/>
        <w:overflowPunct/>
        <w:topLinePunct w:val="0"/>
        <w:bidi w:val="0"/>
        <w:adjustRightInd/>
        <w:snapToGrid/>
        <w:spacing w:line="400" w:lineRule="exact"/>
        <w:ind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综合评价</w:t>
      </w:r>
      <w:r>
        <w:rPr>
          <w:rFonts w:hint="eastAsia" w:ascii="仿宋" w:hAnsi="仿宋" w:eastAsia="仿宋" w:cs="仿宋"/>
          <w:color w:val="auto"/>
          <w:sz w:val="28"/>
          <w:szCs w:val="28"/>
          <w:highlight w:val="none"/>
          <w:lang w:eastAsia="zh-CN"/>
        </w:rPr>
        <w:t>；</w:t>
      </w:r>
    </w:p>
    <w:p w14:paraId="7CBDBD69">
      <w:pPr>
        <w:keepNext w:val="0"/>
        <w:keepLines w:val="0"/>
        <w:pageBreakBefore w:val="0"/>
        <w:numPr>
          <w:ilvl w:val="0"/>
          <w:numId w:val="10"/>
        </w:numPr>
        <w:kinsoku/>
        <w:wordWrap/>
        <w:overflowPunct/>
        <w:topLinePunct w:val="0"/>
        <w:bidi w:val="0"/>
        <w:adjustRightInd/>
        <w:snapToGrid/>
        <w:spacing w:line="400" w:lineRule="exact"/>
        <w:ind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技术支持资料</w:t>
      </w:r>
      <w:r>
        <w:rPr>
          <w:rFonts w:hint="eastAsia" w:ascii="仿宋" w:hAnsi="仿宋" w:eastAsia="仿宋" w:cs="仿宋"/>
          <w:color w:val="auto"/>
          <w:sz w:val="28"/>
          <w:szCs w:val="28"/>
          <w:highlight w:val="none"/>
          <w:lang w:eastAsia="zh-CN"/>
        </w:rPr>
        <w:t>。</w:t>
      </w:r>
    </w:p>
    <w:p w14:paraId="6CB6F406">
      <w:pPr>
        <w:pStyle w:val="14"/>
        <w:pageBreakBefore w:val="0"/>
        <w:bidi w:val="0"/>
        <w:outlineLvl w:val="9"/>
        <w:rPr>
          <w:rFonts w:hint="eastAsia" w:ascii="仿宋" w:hAnsi="仿宋" w:eastAsia="仿宋" w:cs="仿宋"/>
          <w:color w:val="auto"/>
          <w:sz w:val="28"/>
          <w:szCs w:val="28"/>
          <w:highlight w:val="none"/>
        </w:rPr>
      </w:pPr>
    </w:p>
    <w:p w14:paraId="2DC4D709">
      <w:pPr>
        <w:pageBreakBefore w:val="0"/>
        <w:bidi w:val="0"/>
        <w:spacing w:line="440" w:lineRule="exact"/>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53ECFEA8">
      <w:pPr>
        <w:pageBreakBefore w:val="0"/>
        <w:bidi w:val="0"/>
        <w:spacing w:line="360" w:lineRule="atLeast"/>
        <w:jc w:val="center"/>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十一、</w:t>
      </w:r>
      <w:r>
        <w:rPr>
          <w:rFonts w:hint="eastAsia" w:ascii="仿宋" w:hAnsi="仿宋" w:eastAsia="仿宋" w:cs="仿宋"/>
          <w:b/>
          <w:color w:val="auto"/>
          <w:sz w:val="28"/>
          <w:szCs w:val="28"/>
          <w:highlight w:val="none"/>
        </w:rPr>
        <w:t xml:space="preserve">  </w:t>
      </w:r>
      <w:r>
        <w:rPr>
          <w:rFonts w:hint="eastAsia" w:ascii="仿宋" w:hAnsi="仿宋" w:eastAsia="仿宋" w:cs="仿宋"/>
          <w:b/>
          <w:bCs/>
          <w:color w:val="auto"/>
          <w:sz w:val="28"/>
          <w:szCs w:val="28"/>
          <w:highlight w:val="none"/>
          <w:lang w:val="en-US" w:eastAsia="zh-CN"/>
        </w:rPr>
        <w:t>其他资料</w:t>
      </w:r>
    </w:p>
    <w:p w14:paraId="41836A18">
      <w:pPr>
        <w:pageBreakBefore w:val="0"/>
        <w:numPr>
          <w:ilvl w:val="0"/>
          <w:numId w:val="0"/>
        </w:numPr>
        <w:bidi w:val="0"/>
        <w:spacing w:line="440" w:lineRule="exact"/>
        <w:jc w:val="center"/>
        <w:outlineLvl w:val="9"/>
        <w:rPr>
          <w:rFonts w:hint="eastAsia" w:ascii="仿宋" w:hAnsi="仿宋" w:eastAsia="仿宋" w:cs="仿宋"/>
          <w:b/>
          <w:bCs/>
          <w:color w:val="auto"/>
          <w:kern w:val="0"/>
          <w:sz w:val="28"/>
          <w:szCs w:val="28"/>
          <w:highlight w:val="none"/>
          <w:lang w:val="en-US" w:eastAsia="zh-CN"/>
        </w:rPr>
        <w:sectPr>
          <w:headerReference r:id="rId20" w:type="first"/>
          <w:footerReference r:id="rId22" w:type="first"/>
          <w:headerReference r:id="rId19" w:type="default"/>
          <w:footerReference r:id="rId21"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1C93D8EB">
      <w:pPr>
        <w:spacing w:before="100" w:beforeAutospacing="1" w:after="120" w:afterLines="50" w:line="360" w:lineRule="auto"/>
        <w:jc w:val="center"/>
        <w:rPr>
          <w:rFonts w:hint="eastAsia" w:ascii="仿宋" w:hAnsi="仿宋" w:eastAsia="仿宋" w:cs="仿宋"/>
          <w:b/>
          <w:color w:val="auto"/>
          <w:kern w:val="0"/>
          <w:sz w:val="28"/>
          <w:szCs w:val="28"/>
          <w:highlight w:val="none"/>
          <w:lang w:bidi="ar"/>
        </w:rPr>
      </w:pPr>
      <w:r>
        <w:rPr>
          <w:rFonts w:hint="eastAsia" w:ascii="仿宋" w:hAnsi="仿宋" w:eastAsia="仿宋" w:cs="仿宋"/>
          <w:b/>
          <w:bCs/>
          <w:color w:val="auto"/>
          <w:kern w:val="0"/>
          <w:sz w:val="28"/>
          <w:szCs w:val="28"/>
          <w:highlight w:val="none"/>
          <w:lang w:val="en-US" w:eastAsia="zh-CN"/>
        </w:rPr>
        <w:t>1、</w:t>
      </w:r>
      <w:bookmarkStart w:id="26" w:name="_Toc32499"/>
      <w:bookmarkStart w:id="27" w:name="_Toc26990"/>
      <w:r>
        <w:rPr>
          <w:rFonts w:hint="eastAsia" w:ascii="仿宋" w:hAnsi="仿宋" w:eastAsia="仿宋" w:cs="仿宋"/>
          <w:b/>
          <w:color w:val="auto"/>
          <w:kern w:val="0"/>
          <w:sz w:val="28"/>
          <w:szCs w:val="28"/>
          <w:highlight w:val="none"/>
          <w:lang w:bidi="ar"/>
        </w:rPr>
        <w:t>中小企业声明函（货物）</w:t>
      </w:r>
    </w:p>
    <w:p w14:paraId="668DD89A">
      <w:pPr>
        <w:spacing w:before="100" w:beforeAutospacing="1" w:after="156" w:afterLines="50" w:line="360" w:lineRule="auto"/>
        <w:ind w:firstLine="560" w:firstLineChars="200"/>
        <w:outlineLvl w:val="0"/>
        <w:rPr>
          <w:rFonts w:hint="eastAsia" w:ascii="仿宋" w:hAnsi="仿宋" w:eastAsia="仿宋" w:cs="仿宋"/>
          <w:color w:val="auto"/>
          <w:sz w:val="28"/>
          <w:szCs w:val="28"/>
          <w:highlight w:val="none"/>
        </w:rPr>
      </w:pPr>
      <w:bookmarkStart w:id="28" w:name="_Toc11409"/>
      <w:bookmarkStart w:id="29" w:name="_Toc2289"/>
      <w:bookmarkStart w:id="30" w:name="_Toc9227"/>
      <w:bookmarkStart w:id="31" w:name="_Toc31737"/>
      <w:bookmarkStart w:id="32" w:name="_Toc6167"/>
      <w:r>
        <w:rPr>
          <w:rFonts w:hint="eastAsia" w:ascii="仿宋" w:hAnsi="仿宋" w:eastAsia="仿宋" w:cs="仿宋"/>
          <w:color w:val="auto"/>
          <w:sz w:val="28"/>
          <w:szCs w:val="28"/>
          <w:highlight w:val="none"/>
        </w:rPr>
        <w:t>本公司</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郑重声明，根据《政府采购促进中小企业发展管理办法》（财库﹝2020﹞46 号）的规定，本公司</w:t>
      </w:r>
      <w:r>
        <w:rPr>
          <w:rFonts w:hint="eastAsia" w:ascii="仿宋" w:hAnsi="仿宋" w:eastAsia="仿宋" w:cs="仿宋"/>
          <w:color w:val="auto"/>
          <w:kern w:val="0"/>
          <w:sz w:val="28"/>
          <w:szCs w:val="28"/>
          <w:highlight w:val="none"/>
          <w:lang w:eastAsia="zh-CN" w:bidi="ar"/>
        </w:rPr>
        <w:t>（</w:t>
      </w:r>
      <w:r>
        <w:rPr>
          <w:rFonts w:hint="eastAsia" w:ascii="仿宋" w:hAnsi="仿宋" w:eastAsia="仿宋" w:cs="仿宋"/>
          <w:color w:val="auto"/>
          <w:kern w:val="0"/>
          <w:sz w:val="28"/>
          <w:szCs w:val="28"/>
          <w:highlight w:val="none"/>
          <w:lang w:val="en-US" w:eastAsia="zh-CN" w:bidi="ar"/>
        </w:rPr>
        <w:t>联合体</w:t>
      </w:r>
      <w:r>
        <w:rPr>
          <w:rFonts w:hint="eastAsia" w:ascii="仿宋" w:hAnsi="仿宋" w:eastAsia="仿宋" w:cs="仿宋"/>
          <w:color w:val="auto"/>
          <w:kern w:val="0"/>
          <w:sz w:val="28"/>
          <w:szCs w:val="28"/>
          <w:highlight w:val="none"/>
          <w:lang w:eastAsia="zh-CN" w:bidi="ar"/>
        </w:rPr>
        <w:t>）</w:t>
      </w:r>
      <w:r>
        <w:rPr>
          <w:rFonts w:hint="eastAsia" w:ascii="仿宋" w:hAnsi="仿宋" w:eastAsia="仿宋" w:cs="仿宋"/>
          <w:color w:val="auto"/>
          <w:sz w:val="28"/>
          <w:szCs w:val="28"/>
          <w:highlight w:val="none"/>
        </w:rPr>
        <w:t>参加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（单位名称）的</w:t>
      </w:r>
      <w:r>
        <w:rPr>
          <w:rFonts w:hint="eastAsia" w:ascii="仿宋" w:hAnsi="仿宋" w:eastAsia="仿宋" w:cs="仿宋"/>
          <w:color w:val="auto"/>
          <w:sz w:val="28"/>
          <w:szCs w:val="28"/>
          <w:highlight w:val="none"/>
          <w:u w:val="single"/>
        </w:rPr>
        <w:t xml:space="preserve">       （项目名称）</w:t>
      </w:r>
      <w:r>
        <w:rPr>
          <w:rFonts w:hint="eastAsia" w:ascii="仿宋" w:hAnsi="仿宋" w:eastAsia="仿宋" w:cs="仿宋"/>
          <w:color w:val="auto"/>
          <w:sz w:val="28"/>
          <w:szCs w:val="28"/>
          <w:highlight w:val="none"/>
        </w:rPr>
        <w:t>采购活动，提供的货物全部由符合政策要求的中小企业制造。相关企业的具体情况如下：</w:t>
      </w:r>
      <w:bookmarkEnd w:id="28"/>
      <w:bookmarkEnd w:id="29"/>
      <w:bookmarkEnd w:id="30"/>
      <w:bookmarkEnd w:id="31"/>
      <w:bookmarkEnd w:id="32"/>
      <w:r>
        <w:rPr>
          <w:rFonts w:hint="eastAsia" w:ascii="仿宋" w:hAnsi="仿宋" w:eastAsia="仿宋" w:cs="仿宋"/>
          <w:color w:val="auto"/>
          <w:sz w:val="28"/>
          <w:szCs w:val="28"/>
          <w:highlight w:val="none"/>
        </w:rPr>
        <w:t xml:space="preserve"> </w:t>
      </w:r>
    </w:p>
    <w:p w14:paraId="3FB6EC86">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1、（标的名称） ，属于</w:t>
      </w:r>
      <w:r>
        <w:rPr>
          <w:rFonts w:hint="eastAsia" w:ascii="仿宋" w:hAnsi="仿宋" w:eastAsia="仿宋" w:cs="仿宋"/>
          <w:color w:val="auto"/>
          <w:sz w:val="28"/>
          <w:szCs w:val="28"/>
          <w:highlight w:val="none"/>
          <w:u w:val="single"/>
        </w:rPr>
        <w:t>（采购文件中明确的所属行业）</w:t>
      </w:r>
      <w:r>
        <w:rPr>
          <w:rFonts w:hint="eastAsia" w:ascii="仿宋" w:hAnsi="仿宋" w:eastAsia="仿宋" w:cs="仿宋"/>
          <w:color w:val="auto"/>
          <w:sz w:val="28"/>
          <w:szCs w:val="28"/>
          <w:highlight w:val="none"/>
        </w:rPr>
        <w:t xml:space="preserve"> 行业；制造商为</w:t>
      </w:r>
      <w:r>
        <w:rPr>
          <w:rFonts w:hint="eastAsia" w:ascii="仿宋" w:hAnsi="仿宋" w:eastAsia="仿宋" w:cs="仿宋"/>
          <w:color w:val="auto"/>
          <w:sz w:val="28"/>
          <w:szCs w:val="28"/>
          <w:highlight w:val="none"/>
          <w:u w:val="single"/>
        </w:rPr>
        <w:t>（企业名称）</w:t>
      </w:r>
      <w:r>
        <w:rPr>
          <w:rFonts w:hint="eastAsia" w:ascii="仿宋" w:hAnsi="仿宋" w:eastAsia="仿宋" w:cs="仿宋"/>
          <w:color w:val="auto"/>
          <w:sz w:val="28"/>
          <w:szCs w:val="28"/>
          <w:highlight w:val="none"/>
        </w:rPr>
        <w:t>，从业人员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人，营业收入为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万元，资产总额为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万元 ，属于（中型企业、小型企业、微型企业）；</w:t>
      </w:r>
    </w:p>
    <w:p w14:paraId="1E64C7FD">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2、（标的名称） ，属于</w:t>
      </w:r>
      <w:r>
        <w:rPr>
          <w:rFonts w:hint="eastAsia" w:ascii="仿宋" w:hAnsi="仿宋" w:eastAsia="仿宋" w:cs="仿宋"/>
          <w:color w:val="auto"/>
          <w:sz w:val="28"/>
          <w:szCs w:val="28"/>
          <w:highlight w:val="none"/>
          <w:u w:val="single"/>
        </w:rPr>
        <w:t>（采购文件中明确的所属行业）</w:t>
      </w:r>
      <w:r>
        <w:rPr>
          <w:rFonts w:hint="eastAsia" w:ascii="仿宋" w:hAnsi="仿宋" w:eastAsia="仿宋" w:cs="仿宋"/>
          <w:color w:val="auto"/>
          <w:sz w:val="28"/>
          <w:szCs w:val="28"/>
          <w:highlight w:val="none"/>
        </w:rPr>
        <w:t xml:space="preserve"> 行业；制造商为</w:t>
      </w:r>
      <w:r>
        <w:rPr>
          <w:rFonts w:hint="eastAsia" w:ascii="仿宋" w:hAnsi="仿宋" w:eastAsia="仿宋" w:cs="仿宋"/>
          <w:color w:val="auto"/>
          <w:sz w:val="28"/>
          <w:szCs w:val="28"/>
          <w:highlight w:val="none"/>
          <w:u w:val="single"/>
        </w:rPr>
        <w:t>（企业名称）</w:t>
      </w:r>
      <w:r>
        <w:rPr>
          <w:rFonts w:hint="eastAsia" w:ascii="仿宋" w:hAnsi="仿宋" w:eastAsia="仿宋" w:cs="仿宋"/>
          <w:color w:val="auto"/>
          <w:sz w:val="28"/>
          <w:szCs w:val="28"/>
          <w:highlight w:val="none"/>
        </w:rPr>
        <w:t>，从业人员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人，营业收入为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万元，资产总额为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万元，属于（中型企业、小型 企业、微型企业）；</w:t>
      </w:r>
    </w:p>
    <w:p w14:paraId="14DA978D">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 </w:t>
      </w:r>
    </w:p>
    <w:p w14:paraId="3261E037">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14:paraId="2D154ACD">
      <w:pPr>
        <w:tabs>
          <w:tab w:val="left" w:pos="4860"/>
        </w:tabs>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658678A4">
      <w:pPr>
        <w:tabs>
          <w:tab w:val="left" w:pos="1620"/>
          <w:tab w:val="left" w:pos="1800"/>
        </w:tabs>
        <w:spacing w:line="500" w:lineRule="exact"/>
        <w:rPr>
          <w:rFonts w:hint="eastAsia" w:ascii="仿宋" w:hAnsi="仿宋" w:eastAsia="仿宋" w:cs="仿宋"/>
          <w:color w:val="auto"/>
          <w:kern w:val="0"/>
          <w:sz w:val="28"/>
          <w:szCs w:val="28"/>
          <w:highlight w:val="none"/>
          <w:lang w:val="en-US" w:eastAsia="zh-CN" w:bidi="ar"/>
        </w:rPr>
      </w:pPr>
    </w:p>
    <w:p w14:paraId="1CCA0909">
      <w:pPr>
        <w:tabs>
          <w:tab w:val="left" w:pos="1620"/>
          <w:tab w:val="left" w:pos="1800"/>
        </w:tabs>
        <w:spacing w:line="500" w:lineRule="exact"/>
        <w:rPr>
          <w:rFonts w:hint="eastAsia" w:ascii="仿宋" w:hAnsi="仿宋" w:eastAsia="仿宋" w:cs="仿宋"/>
          <w:color w:val="auto"/>
          <w:kern w:val="0"/>
          <w:sz w:val="28"/>
          <w:szCs w:val="28"/>
          <w:highlight w:val="none"/>
          <w:lang w:val="en-US" w:eastAsia="zh-CN" w:bidi="ar"/>
        </w:rPr>
      </w:pPr>
    </w:p>
    <w:p w14:paraId="46B1F9C3">
      <w:pPr>
        <w:tabs>
          <w:tab w:val="left" w:pos="1620"/>
          <w:tab w:val="left" w:pos="1800"/>
        </w:tabs>
        <w:spacing w:line="500" w:lineRule="exact"/>
        <w:ind w:firstLine="5880" w:firstLineChars="2100"/>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val="en-US" w:eastAsia="zh-CN" w:bidi="ar"/>
        </w:rPr>
        <w:t>企业</w:t>
      </w:r>
      <w:r>
        <w:rPr>
          <w:rFonts w:hint="eastAsia" w:ascii="仿宋" w:hAnsi="仿宋" w:eastAsia="仿宋" w:cs="仿宋"/>
          <w:color w:val="auto"/>
          <w:kern w:val="0"/>
          <w:sz w:val="28"/>
          <w:szCs w:val="28"/>
          <w:highlight w:val="none"/>
          <w:lang w:bidi="ar"/>
        </w:rPr>
        <w:t>名称（公章）：</w:t>
      </w:r>
    </w:p>
    <w:p w14:paraId="65FB4850">
      <w:pPr>
        <w:tabs>
          <w:tab w:val="left" w:pos="1620"/>
          <w:tab w:val="left" w:pos="1800"/>
        </w:tabs>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lang w:bidi="ar"/>
        </w:rPr>
        <w:t xml:space="preserve">                                            日   期：</w:t>
      </w:r>
    </w:p>
    <w:p w14:paraId="0E61A5B2">
      <w:pPr>
        <w:tabs>
          <w:tab w:val="left" w:pos="1620"/>
          <w:tab w:val="left" w:pos="1800"/>
        </w:tabs>
        <w:spacing w:line="500" w:lineRule="exact"/>
        <w:rPr>
          <w:rFonts w:hint="eastAsia" w:ascii="仿宋" w:hAnsi="仿宋" w:eastAsia="仿宋" w:cs="仿宋"/>
          <w:b/>
          <w:color w:val="auto"/>
          <w:sz w:val="28"/>
          <w:szCs w:val="28"/>
          <w:highlight w:val="none"/>
        </w:rPr>
      </w:pPr>
    </w:p>
    <w:p w14:paraId="64157722">
      <w:pPr>
        <w:spacing w:line="500" w:lineRule="exact"/>
        <w:ind w:firstLine="560" w:firstLineChars="200"/>
        <w:rPr>
          <w:rFonts w:hint="eastAsia" w:ascii="仿宋" w:hAnsi="仿宋" w:eastAsia="仿宋" w:cs="仿宋"/>
          <w:color w:val="auto"/>
          <w:kern w:val="0"/>
          <w:sz w:val="28"/>
          <w:szCs w:val="28"/>
          <w:highlight w:val="none"/>
          <w:lang w:val="en-US" w:eastAsia="zh-CN" w:bidi="ar"/>
        </w:rPr>
      </w:pPr>
    </w:p>
    <w:p w14:paraId="2658EF05">
      <w:pPr>
        <w:spacing w:line="500" w:lineRule="exact"/>
        <w:ind w:firstLine="560" w:firstLineChars="200"/>
        <w:rPr>
          <w:rFonts w:hint="eastAsia" w:ascii="仿宋" w:hAnsi="仿宋" w:eastAsia="仿宋" w:cs="仿宋"/>
          <w:color w:val="auto"/>
          <w:kern w:val="0"/>
          <w:sz w:val="28"/>
          <w:szCs w:val="28"/>
          <w:highlight w:val="none"/>
          <w:lang w:val="en-US" w:eastAsia="zh-CN" w:bidi="ar"/>
        </w:rPr>
      </w:pPr>
    </w:p>
    <w:p w14:paraId="54049EB2">
      <w:pPr>
        <w:spacing w:line="500" w:lineRule="exact"/>
        <w:ind w:firstLine="560" w:firstLineChars="200"/>
        <w:rPr>
          <w:rFonts w:hint="eastAsia" w:ascii="仿宋" w:hAnsi="仿宋" w:eastAsia="仿宋" w:cs="仿宋"/>
          <w:color w:val="auto"/>
          <w:kern w:val="0"/>
          <w:sz w:val="28"/>
          <w:szCs w:val="28"/>
          <w:highlight w:val="none"/>
          <w:lang w:val="en-US" w:eastAsia="zh-CN" w:bidi="ar"/>
        </w:rPr>
      </w:pPr>
    </w:p>
    <w:p w14:paraId="3D9D3BCB">
      <w:pPr>
        <w:spacing w:line="500" w:lineRule="exact"/>
        <w:ind w:firstLine="560" w:firstLineChars="200"/>
        <w:rPr>
          <w:rFonts w:hint="eastAsia" w:ascii="仿宋" w:hAnsi="仿宋" w:eastAsia="仿宋" w:cs="仿宋"/>
          <w:color w:val="auto"/>
          <w:kern w:val="0"/>
          <w:sz w:val="28"/>
          <w:szCs w:val="28"/>
          <w:highlight w:val="none"/>
          <w:lang w:bidi="ar"/>
        </w:rPr>
      </w:pPr>
      <w:r>
        <w:rPr>
          <w:rFonts w:hint="eastAsia" w:ascii="仿宋" w:hAnsi="仿宋" w:eastAsia="仿宋" w:cs="仿宋"/>
          <w:color w:val="auto"/>
          <w:kern w:val="0"/>
          <w:sz w:val="28"/>
          <w:szCs w:val="28"/>
          <w:highlight w:val="none"/>
          <w:lang w:val="en-US" w:eastAsia="zh-CN" w:bidi="ar"/>
        </w:rPr>
        <w:t>注：从业人员、营业收入、资产总额填报上一年度数据，无上一年度数据的新成立企业可不填报。</w:t>
      </w:r>
    </w:p>
    <w:p w14:paraId="4E7A3EB9">
      <w:pPr>
        <w:tabs>
          <w:tab w:val="left" w:pos="1620"/>
          <w:tab w:val="left" w:pos="1800"/>
        </w:tabs>
        <w:spacing w:line="500" w:lineRule="exact"/>
        <w:ind w:firstLine="480"/>
        <w:rPr>
          <w:rFonts w:hint="eastAsia" w:ascii="仿宋" w:hAnsi="仿宋" w:eastAsia="仿宋" w:cs="仿宋"/>
          <w:color w:val="auto"/>
          <w:kern w:val="0"/>
          <w:sz w:val="28"/>
          <w:szCs w:val="28"/>
          <w:highlight w:val="none"/>
          <w:lang w:bidi="ar"/>
        </w:rPr>
      </w:pPr>
    </w:p>
    <w:p w14:paraId="3BCEE2F1">
      <w:pPr>
        <w:pageBreakBefore w:val="0"/>
        <w:tabs>
          <w:tab w:val="left" w:pos="1755"/>
        </w:tabs>
        <w:bidi w:val="0"/>
        <w:spacing w:line="360" w:lineRule="auto"/>
        <w:jc w:val="center"/>
        <w:outlineLvl w:val="9"/>
        <w:rPr>
          <w:rFonts w:hint="eastAsia" w:ascii="仿宋" w:hAnsi="仿宋" w:eastAsia="仿宋" w:cs="仿宋"/>
          <w:b/>
          <w:bCs/>
          <w:color w:val="auto"/>
          <w:sz w:val="28"/>
          <w:szCs w:val="28"/>
          <w:highlight w:val="none"/>
        </w:rPr>
      </w:pPr>
      <w:r>
        <w:rPr>
          <w:rFonts w:hint="eastAsia" w:ascii="仿宋" w:hAnsi="仿宋" w:eastAsia="仿宋" w:cs="仿宋"/>
          <w:b/>
          <w:bCs/>
          <w:color w:val="auto"/>
          <w:spacing w:val="6"/>
          <w:sz w:val="28"/>
          <w:szCs w:val="28"/>
          <w:highlight w:val="none"/>
        </w:rPr>
        <w:br w:type="page"/>
      </w: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w:t>
      </w:r>
      <w:bookmarkEnd w:id="26"/>
      <w:bookmarkEnd w:id="27"/>
      <w:r>
        <w:rPr>
          <w:rFonts w:hint="eastAsia" w:ascii="仿宋" w:hAnsi="仿宋" w:eastAsia="仿宋" w:cs="仿宋"/>
          <w:b/>
          <w:color w:val="auto"/>
          <w:kern w:val="0"/>
          <w:sz w:val="28"/>
          <w:szCs w:val="28"/>
          <w:highlight w:val="none"/>
          <w:lang w:val="zh-CN"/>
        </w:rPr>
        <w:t>残疾人福利性单位声明函（非</w:t>
      </w:r>
      <w:r>
        <w:rPr>
          <w:rFonts w:hint="eastAsia" w:ascii="仿宋" w:hAnsi="仿宋" w:eastAsia="仿宋" w:cs="仿宋"/>
          <w:b/>
          <w:bCs/>
          <w:color w:val="auto"/>
          <w:sz w:val="28"/>
          <w:szCs w:val="28"/>
          <w:highlight w:val="none"/>
        </w:rPr>
        <w:t>残疾人福利企业</w:t>
      </w:r>
      <w:r>
        <w:rPr>
          <w:rFonts w:hint="eastAsia" w:ascii="仿宋" w:hAnsi="仿宋" w:eastAsia="仿宋" w:cs="仿宋"/>
          <w:b/>
          <w:color w:val="auto"/>
          <w:kern w:val="0"/>
          <w:sz w:val="28"/>
          <w:szCs w:val="28"/>
          <w:highlight w:val="none"/>
          <w:lang w:val="zh-CN"/>
        </w:rPr>
        <w:t>不</w:t>
      </w:r>
      <w:r>
        <w:rPr>
          <w:rFonts w:hint="eastAsia" w:ascii="仿宋" w:hAnsi="仿宋" w:eastAsia="仿宋" w:cs="仿宋"/>
          <w:b/>
          <w:bCs/>
          <w:color w:val="auto"/>
          <w:kern w:val="0"/>
          <w:sz w:val="28"/>
          <w:szCs w:val="28"/>
          <w:highlight w:val="none"/>
        </w:rPr>
        <w:t>填写</w:t>
      </w:r>
      <w:r>
        <w:rPr>
          <w:rFonts w:hint="eastAsia" w:ascii="仿宋" w:hAnsi="仿宋" w:eastAsia="仿宋" w:cs="仿宋"/>
          <w:b/>
          <w:color w:val="auto"/>
          <w:kern w:val="0"/>
          <w:sz w:val="28"/>
          <w:szCs w:val="28"/>
          <w:highlight w:val="none"/>
          <w:lang w:val="zh-CN"/>
        </w:rPr>
        <w:t>）</w:t>
      </w:r>
    </w:p>
    <w:p w14:paraId="3B84EA73">
      <w:pPr>
        <w:pageBreakBefore w:val="0"/>
        <w:bidi w:val="0"/>
        <w:spacing w:line="360" w:lineRule="auto"/>
        <w:outlineLvl w:val="9"/>
        <w:rPr>
          <w:rFonts w:hint="eastAsia" w:ascii="仿宋" w:hAnsi="仿宋" w:eastAsia="仿宋" w:cs="仿宋"/>
          <w:b/>
          <w:color w:val="auto"/>
          <w:spacing w:val="6"/>
          <w:sz w:val="28"/>
          <w:szCs w:val="28"/>
          <w:highlight w:val="none"/>
          <w:shd w:val="pct10" w:color="auto" w:fill="FFFFFF"/>
        </w:rPr>
      </w:pPr>
    </w:p>
    <w:p w14:paraId="062A6112">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本单位郑重声明，根据《财政部 民政部 中国残疾人联合会关于促进残疾人就业政府采购政策的通知》（财库〔2017〕 141号）的规定，本单位为符合条件的残疾人福利性单位，且本单位参加的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项目采购活动提供本单位制造的货物（由本单位承担工程/提供服务），或者提供其他残疾人福利性单位制造的货物（不包括使用非残疾人福利性单位注册商标的货物）。</w:t>
      </w:r>
    </w:p>
    <w:p w14:paraId="1530E432">
      <w:pPr>
        <w:pageBreakBefore w:val="0"/>
        <w:bidi w:val="0"/>
        <w:spacing w:line="360" w:lineRule="auto"/>
        <w:ind w:firstLine="560"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本单位对上述声明的真实性负责。如有虚假，将依法承担相应责任。</w:t>
      </w:r>
    </w:p>
    <w:p w14:paraId="2E38235E">
      <w:pPr>
        <w:pageBreakBefore w:val="0"/>
        <w:bidi w:val="0"/>
        <w:spacing w:line="360" w:lineRule="auto"/>
        <w:ind w:firstLine="560" w:firstLineChars="200"/>
        <w:outlineLvl w:val="9"/>
        <w:rPr>
          <w:rFonts w:hint="eastAsia" w:ascii="仿宋" w:hAnsi="仿宋" w:eastAsia="仿宋" w:cs="仿宋"/>
          <w:color w:val="auto"/>
          <w:sz w:val="28"/>
          <w:szCs w:val="28"/>
          <w:highlight w:val="none"/>
        </w:rPr>
      </w:pPr>
    </w:p>
    <w:p w14:paraId="33E56239">
      <w:pPr>
        <w:pageBreakBefore w:val="0"/>
        <w:bidi w:val="0"/>
        <w:spacing w:line="360" w:lineRule="auto"/>
        <w:ind w:firstLine="560" w:firstLineChars="200"/>
        <w:outlineLvl w:val="9"/>
        <w:rPr>
          <w:rFonts w:hint="eastAsia" w:ascii="仿宋" w:hAnsi="仿宋" w:eastAsia="仿宋" w:cs="仿宋"/>
          <w:color w:val="auto"/>
          <w:sz w:val="28"/>
          <w:szCs w:val="28"/>
          <w:highlight w:val="none"/>
        </w:rPr>
      </w:pPr>
    </w:p>
    <w:p w14:paraId="671080C1">
      <w:pPr>
        <w:pageBreakBefore w:val="0"/>
        <w:tabs>
          <w:tab w:val="left" w:pos="4860"/>
          <w:tab w:val="left" w:pos="8040"/>
          <w:tab w:val="left" w:pos="8160"/>
        </w:tabs>
        <w:bidi w:val="0"/>
        <w:spacing w:line="360" w:lineRule="auto"/>
        <w:ind w:right="862" w:firstLine="560" w:firstLineChars="200"/>
        <w:jc w:val="center"/>
        <w:outlineLvl w:val="9"/>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单位名称（盖章）：</w:t>
      </w:r>
      <w:r>
        <w:rPr>
          <w:rFonts w:hint="eastAsia" w:ascii="仿宋" w:hAnsi="仿宋" w:eastAsia="仿宋" w:cs="仿宋"/>
          <w:color w:val="auto"/>
          <w:sz w:val="28"/>
          <w:szCs w:val="28"/>
          <w:highlight w:val="none"/>
          <w:u w:val="single"/>
        </w:rPr>
        <w:t xml:space="preserve">                   </w:t>
      </w:r>
    </w:p>
    <w:p w14:paraId="33CADEDA">
      <w:pPr>
        <w:pageBreakBefore w:val="0"/>
        <w:tabs>
          <w:tab w:val="left" w:pos="4860"/>
        </w:tabs>
        <w:bidi w:val="0"/>
        <w:spacing w:line="360" w:lineRule="auto"/>
        <w:ind w:right="1560" w:firstLine="560" w:firstLineChars="200"/>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2D0AF4CB">
      <w:pPr>
        <w:pageBreakBefore w:val="0"/>
        <w:tabs>
          <w:tab w:val="left" w:pos="4860"/>
        </w:tabs>
        <w:bidi w:val="0"/>
        <w:spacing w:line="360" w:lineRule="auto"/>
        <w:ind w:right="1560" w:firstLine="560" w:firstLineChars="200"/>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4E031519">
      <w:pPr>
        <w:pageBreakBefore w:val="0"/>
        <w:bidi w:val="0"/>
        <w:spacing w:line="360" w:lineRule="auto"/>
        <w:ind w:firstLine="586" w:firstLineChars="200"/>
        <w:outlineLvl w:val="9"/>
        <w:rPr>
          <w:rFonts w:hint="eastAsia" w:ascii="仿宋" w:hAnsi="仿宋" w:eastAsia="仿宋" w:cs="仿宋"/>
          <w:b/>
          <w:color w:val="auto"/>
          <w:spacing w:val="6"/>
          <w:sz w:val="28"/>
          <w:szCs w:val="28"/>
          <w:highlight w:val="none"/>
          <w:shd w:val="pct10" w:color="auto" w:fill="FFFFFF"/>
        </w:rPr>
      </w:pPr>
    </w:p>
    <w:p w14:paraId="13745F56">
      <w:pPr>
        <w:pageBreakBefore w:val="0"/>
        <w:bidi w:val="0"/>
        <w:spacing w:line="360" w:lineRule="auto"/>
        <w:ind w:firstLine="586" w:firstLineChars="200"/>
        <w:outlineLvl w:val="9"/>
        <w:rPr>
          <w:rFonts w:hint="eastAsia" w:ascii="仿宋" w:hAnsi="仿宋" w:eastAsia="仿宋" w:cs="仿宋"/>
          <w:b/>
          <w:color w:val="auto"/>
          <w:spacing w:val="6"/>
          <w:sz w:val="28"/>
          <w:szCs w:val="28"/>
          <w:highlight w:val="none"/>
          <w:shd w:val="pct10" w:color="auto" w:fill="FFFFFF"/>
        </w:rPr>
      </w:pPr>
    </w:p>
    <w:p w14:paraId="31F8AC5E">
      <w:pPr>
        <w:pageBreakBefore w:val="0"/>
        <w:kinsoku w:val="0"/>
        <w:bidi w:val="0"/>
        <w:spacing w:line="360" w:lineRule="auto"/>
        <w:ind w:firstLine="560" w:firstLineChars="200"/>
        <w:outlineLvl w:val="9"/>
        <w:rPr>
          <w:rFonts w:hint="eastAsia" w:ascii="仿宋" w:hAnsi="仿宋" w:eastAsia="仿宋" w:cs="仿宋"/>
          <w:color w:val="auto"/>
          <w:sz w:val="28"/>
          <w:szCs w:val="28"/>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r>
        <w:rPr>
          <w:rFonts w:hint="eastAsia" w:ascii="仿宋" w:hAnsi="仿宋" w:eastAsia="仿宋" w:cs="仿宋"/>
          <w:color w:val="auto"/>
          <w:kern w:val="0"/>
          <w:sz w:val="28"/>
          <w:szCs w:val="28"/>
          <w:highlight w:val="none"/>
          <w:lang w:val="zh-CN"/>
        </w:rPr>
        <w:t>备注：投标人提供的《残疾人福利性单位声明函》必须真实有效，如果被举报经查实出具虚假声明函的，将被取消投标资格，并按有关规定予以处理。</w:t>
      </w:r>
    </w:p>
    <w:p w14:paraId="6A703DA0">
      <w:pPr>
        <w:pStyle w:val="9"/>
        <w:widowControl/>
        <w:jc w:val="center"/>
        <w:rPr>
          <w:rFonts w:hint="eastAsia" w:ascii="仿宋" w:hAnsi="仿宋" w:eastAsia="仿宋" w:cs="仿宋"/>
          <w:b/>
          <w:color w:val="auto"/>
          <w:spacing w:val="6"/>
          <w:sz w:val="28"/>
          <w:szCs w:val="28"/>
          <w:highlight w:val="none"/>
        </w:rPr>
      </w:pPr>
      <w:r>
        <w:rPr>
          <w:rFonts w:hint="eastAsia" w:ascii="仿宋" w:hAnsi="仿宋" w:eastAsia="仿宋" w:cs="仿宋"/>
          <w:b/>
          <w:color w:val="auto"/>
          <w:kern w:val="0"/>
          <w:sz w:val="28"/>
          <w:szCs w:val="28"/>
          <w:highlight w:val="none"/>
          <w:lang w:val="en-US" w:eastAsia="zh-CN"/>
        </w:rPr>
        <w:t>3、</w:t>
      </w:r>
      <w:r>
        <w:rPr>
          <w:rFonts w:hint="eastAsia" w:ascii="仿宋" w:hAnsi="仿宋" w:eastAsia="仿宋" w:cs="仿宋"/>
          <w:b/>
          <w:color w:val="auto"/>
          <w:spacing w:val="6"/>
          <w:sz w:val="28"/>
          <w:szCs w:val="28"/>
          <w:highlight w:val="none"/>
        </w:rPr>
        <w:t>监狱企业证明</w:t>
      </w:r>
    </w:p>
    <w:p w14:paraId="046491E2">
      <w:pPr>
        <w:pStyle w:val="9"/>
        <w:widowControl/>
        <w:rPr>
          <w:rFonts w:hint="eastAsia" w:ascii="仿宋" w:hAnsi="仿宋" w:eastAsia="仿宋" w:cs="仿宋"/>
          <w:b/>
          <w:color w:val="auto"/>
          <w:spacing w:val="6"/>
          <w:sz w:val="28"/>
          <w:szCs w:val="28"/>
          <w:highlight w:val="none"/>
        </w:rPr>
      </w:pPr>
    </w:p>
    <w:p w14:paraId="72A77CD6">
      <w:pPr>
        <w:pStyle w:val="9"/>
        <w:widowControl/>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注：由省级及以上监狱管理局、戒毒管理局出具。格式自拟。</w:t>
      </w:r>
    </w:p>
    <w:p w14:paraId="06E231A0">
      <w:pPr>
        <w:pStyle w:val="9"/>
        <w:widowControl/>
        <w:rPr>
          <w:rFonts w:hint="eastAsia" w:ascii="仿宋" w:hAnsi="仿宋" w:eastAsia="仿宋" w:cs="仿宋"/>
          <w:color w:val="auto"/>
          <w:sz w:val="28"/>
          <w:szCs w:val="28"/>
          <w:highlight w:val="none"/>
        </w:rPr>
      </w:pPr>
    </w:p>
    <w:p w14:paraId="456B705C">
      <w:pPr>
        <w:pStyle w:val="9"/>
        <w:widowControl/>
        <w:rPr>
          <w:rFonts w:hint="eastAsia" w:ascii="仿宋" w:hAnsi="仿宋" w:eastAsia="仿宋" w:cs="仿宋"/>
          <w:color w:val="auto"/>
          <w:sz w:val="28"/>
          <w:szCs w:val="28"/>
          <w:highlight w:val="none"/>
        </w:rPr>
      </w:pPr>
    </w:p>
    <w:p w14:paraId="698295FD">
      <w:pPr>
        <w:pStyle w:val="9"/>
        <w:widowControl/>
        <w:rPr>
          <w:rFonts w:hint="eastAsia" w:ascii="仿宋" w:hAnsi="仿宋" w:eastAsia="仿宋" w:cs="仿宋"/>
          <w:color w:val="auto"/>
          <w:sz w:val="28"/>
          <w:szCs w:val="28"/>
          <w:highlight w:val="none"/>
        </w:rPr>
      </w:pPr>
    </w:p>
    <w:p w14:paraId="4B3B4DEB">
      <w:pPr>
        <w:rPr>
          <w:rFonts w:hint="eastAsia" w:ascii="仿宋" w:hAnsi="仿宋" w:eastAsia="仿宋" w:cs="仿宋"/>
          <w:color w:val="auto"/>
          <w:sz w:val="28"/>
          <w:szCs w:val="28"/>
          <w:highlight w:val="none"/>
        </w:rPr>
      </w:pPr>
    </w:p>
    <w:p w14:paraId="526BDB89">
      <w:pPr>
        <w:pageBreakBefore w:val="0"/>
        <w:bidi w:val="0"/>
        <w:spacing w:line="200" w:lineRule="exact"/>
        <w:outlineLvl w:val="9"/>
        <w:rPr>
          <w:rFonts w:hint="eastAsia" w:ascii="仿宋" w:hAnsi="仿宋" w:eastAsia="仿宋" w:cs="仿宋"/>
          <w:color w:val="auto"/>
          <w:sz w:val="28"/>
          <w:szCs w:val="28"/>
          <w:highlight w:val="none"/>
        </w:rPr>
      </w:pPr>
    </w:p>
    <w:p w14:paraId="13BED984">
      <w:pPr>
        <w:pageBreakBefore w:val="0"/>
        <w:bidi w:val="0"/>
        <w:spacing w:line="200" w:lineRule="exact"/>
        <w:outlineLvl w:val="9"/>
        <w:rPr>
          <w:rFonts w:hint="eastAsia" w:ascii="仿宋" w:hAnsi="仿宋" w:eastAsia="仿宋" w:cs="仿宋"/>
          <w:color w:val="auto"/>
          <w:sz w:val="28"/>
          <w:szCs w:val="28"/>
          <w:highlight w:val="none"/>
        </w:rPr>
      </w:pPr>
    </w:p>
    <w:p w14:paraId="691E756A">
      <w:pPr>
        <w:pageBreakBefore w:val="0"/>
        <w:tabs>
          <w:tab w:val="left" w:pos="520"/>
        </w:tabs>
        <w:bidi w:val="0"/>
        <w:spacing w:line="274" w:lineRule="exact"/>
        <w:ind w:left="60"/>
        <w:outlineLvl w:val="9"/>
        <w:rPr>
          <w:rFonts w:hint="eastAsia" w:ascii="仿宋" w:hAnsi="仿宋" w:eastAsia="仿宋" w:cs="仿宋"/>
          <w:color w:val="auto"/>
          <w:sz w:val="28"/>
          <w:szCs w:val="28"/>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2C9E7813">
      <w:pPr>
        <w:pStyle w:val="21"/>
        <w:spacing w:after="0" w:afterAutospacing="0"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4、关于符合本国产品标准的声明函</w:t>
      </w:r>
    </w:p>
    <w:p w14:paraId="2FEC7757">
      <w:pPr>
        <w:pStyle w:val="21"/>
        <w:spacing w:after="0" w:afterAutospacing="0" w:line="360" w:lineRule="auto"/>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3AF57041">
      <w:pPr>
        <w:pStyle w:val="21"/>
        <w:spacing w:after="0" w:afterAutospacing="0" w:line="360" w:lineRule="auto"/>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u w:val="single"/>
        </w:rPr>
        <w:t>（产品名称1）</w:t>
      </w:r>
      <w:r>
        <w:rPr>
          <w:rFonts w:hint="eastAsia" w:ascii="仿宋" w:hAnsi="仿宋" w:eastAsia="仿宋" w:cs="仿宋"/>
          <w:color w:val="auto"/>
          <w:sz w:val="28"/>
          <w:szCs w:val="28"/>
          <w:highlight w:val="none"/>
          <w:vertAlign w:val="superscript"/>
        </w:rPr>
        <w:t>1</w:t>
      </w:r>
      <w:r>
        <w:rPr>
          <w:rFonts w:hint="eastAsia" w:ascii="仿宋" w:hAnsi="仿宋" w:eastAsia="仿宋" w:cs="仿宋"/>
          <w:color w:val="auto"/>
          <w:sz w:val="28"/>
          <w:szCs w:val="28"/>
          <w:highlight w:val="none"/>
        </w:rPr>
        <w:t>，生产厂为</w:t>
      </w:r>
      <w:r>
        <w:rPr>
          <w:rFonts w:hint="eastAsia" w:ascii="仿宋" w:hAnsi="仿宋" w:eastAsia="仿宋" w:cs="仿宋"/>
          <w:color w:val="auto"/>
          <w:sz w:val="28"/>
          <w:szCs w:val="28"/>
          <w:highlight w:val="none"/>
          <w:u w:val="single"/>
        </w:rPr>
        <w:t>（厂名）</w:t>
      </w:r>
      <w:r>
        <w:rPr>
          <w:rFonts w:hint="eastAsia" w:ascii="仿宋" w:hAnsi="仿宋" w:eastAsia="仿宋" w:cs="仿宋"/>
          <w:color w:val="auto"/>
          <w:sz w:val="28"/>
          <w:szCs w:val="28"/>
          <w:highlight w:val="none"/>
          <w:vertAlign w:val="superscript"/>
        </w:rPr>
        <w:t>2</w:t>
      </w:r>
      <w:r>
        <w:rPr>
          <w:rFonts w:hint="eastAsia" w:ascii="仿宋" w:hAnsi="仿宋" w:eastAsia="仿宋" w:cs="仿宋"/>
          <w:color w:val="auto"/>
          <w:sz w:val="28"/>
          <w:szCs w:val="28"/>
          <w:highlight w:val="none"/>
        </w:rPr>
        <w:t>，厂址为</w:t>
      </w:r>
      <w:r>
        <w:rPr>
          <w:rFonts w:hint="eastAsia" w:ascii="仿宋" w:hAnsi="仿宋" w:eastAsia="仿宋" w:cs="仿宋"/>
          <w:color w:val="auto"/>
          <w:sz w:val="28"/>
          <w:szCs w:val="28"/>
          <w:highlight w:val="none"/>
          <w:u w:val="single"/>
        </w:rPr>
        <w:t>（生产厂址）</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（产品名称1）</w:t>
      </w:r>
      <w:r>
        <w:rPr>
          <w:rFonts w:hint="eastAsia" w:ascii="仿宋" w:hAnsi="仿宋" w:eastAsia="仿宋" w:cs="仿宋"/>
          <w:color w:val="auto"/>
          <w:sz w:val="28"/>
          <w:szCs w:val="28"/>
          <w:highlight w:val="none"/>
        </w:rPr>
        <w:t>的中国境内生产的组件成本占比≥</w:t>
      </w:r>
      <w:r>
        <w:rPr>
          <w:rFonts w:hint="eastAsia" w:ascii="仿宋" w:hAnsi="仿宋" w:eastAsia="仿宋" w:cs="仿宋"/>
          <w:color w:val="auto"/>
          <w:sz w:val="28"/>
          <w:szCs w:val="28"/>
          <w:highlight w:val="none"/>
          <w:u w:val="single"/>
        </w:rPr>
        <w:t>（规定比例）</w:t>
      </w:r>
      <w:r>
        <w:rPr>
          <w:rFonts w:hint="eastAsia" w:ascii="仿宋" w:hAnsi="仿宋" w:eastAsia="仿宋" w:cs="仿宋"/>
          <w:color w:val="auto"/>
          <w:sz w:val="28"/>
          <w:szCs w:val="28"/>
          <w:highlight w:val="none"/>
          <w:vertAlign w:val="superscript"/>
        </w:rPr>
        <w:t>3</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（产品名称1）</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（关键组件）</w:t>
      </w:r>
      <w:r>
        <w:rPr>
          <w:rFonts w:hint="eastAsia" w:ascii="仿宋" w:hAnsi="仿宋" w:eastAsia="仿宋" w:cs="仿宋"/>
          <w:color w:val="auto"/>
          <w:sz w:val="28"/>
          <w:szCs w:val="28"/>
          <w:highlight w:val="none"/>
          <w:vertAlign w:val="superscript"/>
        </w:rPr>
        <w:t>4</w:t>
      </w:r>
      <w:r>
        <w:rPr>
          <w:rFonts w:hint="eastAsia" w:ascii="仿宋" w:hAnsi="仿宋" w:eastAsia="仿宋" w:cs="仿宋"/>
          <w:color w:val="auto"/>
          <w:sz w:val="28"/>
          <w:szCs w:val="28"/>
          <w:highlight w:val="none"/>
        </w:rPr>
        <w:t>在中国境内生产。</w:t>
      </w:r>
      <w:r>
        <w:rPr>
          <w:rFonts w:hint="eastAsia" w:ascii="仿宋" w:hAnsi="仿宋" w:eastAsia="仿宋" w:cs="仿宋"/>
          <w:color w:val="auto"/>
          <w:sz w:val="28"/>
          <w:szCs w:val="28"/>
          <w:highlight w:val="none"/>
          <w:u w:val="single"/>
        </w:rPr>
        <w:t>（产品名称1）</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（关键工序）</w:t>
      </w:r>
      <w:r>
        <w:rPr>
          <w:rFonts w:hint="eastAsia" w:ascii="仿宋" w:hAnsi="仿宋" w:eastAsia="仿宋" w:cs="仿宋"/>
          <w:color w:val="auto"/>
          <w:sz w:val="28"/>
          <w:szCs w:val="28"/>
          <w:highlight w:val="none"/>
          <w:vertAlign w:val="superscript"/>
        </w:rPr>
        <w:t>5</w:t>
      </w:r>
      <w:r>
        <w:rPr>
          <w:rFonts w:hint="eastAsia" w:ascii="仿宋" w:hAnsi="仿宋" w:eastAsia="仿宋" w:cs="仿宋"/>
          <w:color w:val="auto"/>
          <w:sz w:val="28"/>
          <w:szCs w:val="28"/>
          <w:highlight w:val="none"/>
        </w:rPr>
        <w:t>在中国境内完成。</w:t>
      </w:r>
    </w:p>
    <w:p w14:paraId="64046CD6">
      <w:pPr>
        <w:pStyle w:val="21"/>
        <w:spacing w:after="0" w:afterAutospacing="0" w:line="360" w:lineRule="auto"/>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u w:val="single"/>
        </w:rPr>
        <w:t>（产品名称2）</w:t>
      </w:r>
      <w:r>
        <w:rPr>
          <w:rFonts w:hint="eastAsia" w:ascii="仿宋" w:hAnsi="仿宋" w:eastAsia="仿宋" w:cs="仿宋"/>
          <w:color w:val="auto"/>
          <w:sz w:val="28"/>
          <w:szCs w:val="28"/>
          <w:highlight w:val="none"/>
        </w:rPr>
        <w:t>，生产厂为</w:t>
      </w:r>
      <w:r>
        <w:rPr>
          <w:rFonts w:hint="eastAsia" w:ascii="仿宋" w:hAnsi="仿宋" w:eastAsia="仿宋" w:cs="仿宋"/>
          <w:color w:val="auto"/>
          <w:sz w:val="28"/>
          <w:szCs w:val="28"/>
          <w:highlight w:val="none"/>
          <w:u w:val="single"/>
        </w:rPr>
        <w:t>（厂名）</w:t>
      </w:r>
      <w:r>
        <w:rPr>
          <w:rFonts w:hint="eastAsia" w:ascii="仿宋" w:hAnsi="仿宋" w:eastAsia="仿宋" w:cs="仿宋"/>
          <w:color w:val="auto"/>
          <w:sz w:val="28"/>
          <w:szCs w:val="28"/>
          <w:highlight w:val="none"/>
        </w:rPr>
        <w:t>，厂址为</w:t>
      </w:r>
      <w:r>
        <w:rPr>
          <w:rFonts w:hint="eastAsia" w:ascii="仿宋" w:hAnsi="仿宋" w:eastAsia="仿宋" w:cs="仿宋"/>
          <w:color w:val="auto"/>
          <w:sz w:val="28"/>
          <w:szCs w:val="28"/>
          <w:highlight w:val="none"/>
          <w:u w:val="single"/>
        </w:rPr>
        <w:t>（生产厂址）</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（产品名称2）</w:t>
      </w:r>
      <w:r>
        <w:rPr>
          <w:rFonts w:hint="eastAsia" w:ascii="仿宋" w:hAnsi="仿宋" w:eastAsia="仿宋" w:cs="仿宋"/>
          <w:color w:val="auto"/>
          <w:sz w:val="28"/>
          <w:szCs w:val="28"/>
          <w:highlight w:val="none"/>
        </w:rPr>
        <w:t>的中国境内生产的组件成本占比≥</w:t>
      </w:r>
      <w:r>
        <w:rPr>
          <w:rFonts w:hint="eastAsia" w:ascii="仿宋" w:hAnsi="仿宋" w:eastAsia="仿宋" w:cs="仿宋"/>
          <w:color w:val="auto"/>
          <w:sz w:val="28"/>
          <w:szCs w:val="28"/>
          <w:highlight w:val="none"/>
          <w:u w:val="single"/>
        </w:rPr>
        <w:t>（规定比例）</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（产品名称2）</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（关键组件）</w:t>
      </w:r>
      <w:r>
        <w:rPr>
          <w:rFonts w:hint="eastAsia" w:ascii="仿宋" w:hAnsi="仿宋" w:eastAsia="仿宋" w:cs="仿宋"/>
          <w:color w:val="auto"/>
          <w:sz w:val="28"/>
          <w:szCs w:val="28"/>
          <w:highlight w:val="none"/>
        </w:rPr>
        <w:t>在中国境内生产。</w:t>
      </w:r>
      <w:r>
        <w:rPr>
          <w:rFonts w:hint="eastAsia" w:ascii="仿宋" w:hAnsi="仿宋" w:eastAsia="仿宋" w:cs="仿宋"/>
          <w:color w:val="auto"/>
          <w:sz w:val="28"/>
          <w:szCs w:val="28"/>
          <w:highlight w:val="none"/>
          <w:u w:val="single"/>
        </w:rPr>
        <w:t>（产品名称2）</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（关键工序）</w:t>
      </w:r>
      <w:r>
        <w:rPr>
          <w:rFonts w:hint="eastAsia" w:ascii="仿宋" w:hAnsi="仿宋" w:eastAsia="仿宋" w:cs="仿宋"/>
          <w:color w:val="auto"/>
          <w:sz w:val="28"/>
          <w:szCs w:val="28"/>
          <w:highlight w:val="none"/>
        </w:rPr>
        <w:t>在中国境内完成。</w:t>
      </w:r>
    </w:p>
    <w:p w14:paraId="45FEC312">
      <w:pPr>
        <w:pStyle w:val="21"/>
        <w:spacing w:after="0" w:afterAutospacing="0" w:line="360" w:lineRule="auto"/>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p w14:paraId="15BE9D42">
      <w:pPr>
        <w:pStyle w:val="21"/>
        <w:spacing w:after="0" w:afterAutospacing="0" w:line="360" w:lineRule="auto"/>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本公司（单位）对上述声明内容的真实性负责。如有虚假，愿承担相应法律责任。</w:t>
      </w:r>
    </w:p>
    <w:p w14:paraId="57E03790">
      <w:pPr>
        <w:pStyle w:val="21"/>
        <w:spacing w:after="0" w:afterAutospacing="0" w:line="360" w:lineRule="auto"/>
        <w:ind w:firstLine="42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公司（单位）名称（盖章）：　</w:t>
      </w:r>
    </w:p>
    <w:p w14:paraId="1A511F1C">
      <w:pPr>
        <w:pStyle w:val="21"/>
        <w:spacing w:after="0" w:afterAutospacing="0" w:line="360" w:lineRule="auto"/>
        <w:ind w:firstLine="42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日期：　 年　 月　 日</w:t>
      </w:r>
    </w:p>
    <w:p w14:paraId="4CB5F825">
      <w:pPr>
        <w:pStyle w:val="21"/>
        <w:spacing w:after="0" w:afterAutospacing="0" w:line="360" w:lineRule="auto"/>
        <w:ind w:firstLine="420"/>
        <w:rPr>
          <w:rFonts w:hint="eastAsia" w:ascii="仿宋" w:hAnsi="仿宋" w:eastAsia="仿宋" w:cs="仿宋"/>
          <w:color w:val="auto"/>
          <w:sz w:val="28"/>
          <w:szCs w:val="28"/>
          <w:highlight w:val="none"/>
        </w:rPr>
      </w:pPr>
    </w:p>
    <w:p w14:paraId="39A110B4">
      <w:pPr>
        <w:pStyle w:val="21"/>
        <w:spacing w:after="0" w:afterAutospacing="0" w:line="315" w:lineRule="atLeas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1.产品如有型号，请在“产品名称”栏一并填写。</w:t>
      </w:r>
    </w:p>
    <w:p w14:paraId="7BB63A1F">
      <w:pPr>
        <w:pStyle w:val="21"/>
        <w:spacing w:after="0" w:afterAutospacing="0" w:line="315" w:lineRule="atLeas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2.生产厂名与厂址应与生产厂营业执照载明的相关信息保持一致。</w:t>
      </w:r>
    </w:p>
    <w:p w14:paraId="0560342E">
      <w:pPr>
        <w:pStyle w:val="21"/>
        <w:spacing w:after="0" w:afterAutospacing="0" w:line="315" w:lineRule="atLeas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3.该产品的中国境内生产的组件成本占比相关要求实施前，“规定比例”栏可不填，下同。</w:t>
      </w:r>
    </w:p>
    <w:p w14:paraId="5291D112">
      <w:pPr>
        <w:pStyle w:val="21"/>
        <w:spacing w:after="0" w:afterAutospacing="0" w:line="315" w:lineRule="atLeas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4.该产品的关键组件要求实施前，“关键组件”栏可不填，下同。</w:t>
      </w:r>
    </w:p>
    <w:p w14:paraId="06089E58">
      <w:pPr>
        <w:pStyle w:val="21"/>
        <w:spacing w:after="0" w:afterAutospacing="0" w:line="315" w:lineRule="atLeas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5.该产品的关键工序要求实施前，“关键工序”栏可不填，下同。</w:t>
      </w:r>
    </w:p>
    <w:p w14:paraId="0166C07A">
      <w:pPr>
        <w:pStyle w:val="3"/>
        <w:rPr>
          <w:rFonts w:hint="eastAsia" w:ascii="仿宋" w:hAnsi="仿宋" w:eastAsia="仿宋" w:cs="仿宋"/>
          <w:color w:val="auto"/>
          <w:sz w:val="28"/>
          <w:szCs w:val="28"/>
          <w:highlight w:val="none"/>
        </w:rPr>
        <w:sectPr>
          <w:pgSz w:w="11906" w:h="16838"/>
          <w:pgMar w:top="1440" w:right="1800" w:bottom="1440" w:left="1800" w:header="851" w:footer="992" w:gutter="0"/>
          <w:pgNumType w:fmt="decimal"/>
          <w:cols w:space="720" w:num="1"/>
          <w:titlePg/>
          <w:docGrid w:type="lines" w:linePitch="312" w:charSpace="0"/>
        </w:sectPr>
      </w:pPr>
    </w:p>
    <w:p w14:paraId="178FD35E">
      <w:pPr>
        <w:pStyle w:val="96"/>
        <w:numPr>
          <w:ilvl w:val="0"/>
          <w:numId w:val="0"/>
        </w:numPr>
        <w:jc w:val="center"/>
        <w:outlineLvl w:val="2"/>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5、声明函</w:t>
      </w:r>
    </w:p>
    <w:p w14:paraId="03AD183D">
      <w:pPr>
        <w:pStyle w:val="96"/>
        <w:numPr>
          <w:ilvl w:val="0"/>
          <w:numId w:val="0"/>
        </w:numPr>
        <w:outlineLvl w:val="2"/>
        <w:rPr>
          <w:rFonts w:hint="eastAsia" w:ascii="仿宋" w:hAnsi="仿宋" w:eastAsia="仿宋" w:cs="仿宋"/>
          <w:color w:val="auto"/>
          <w:sz w:val="28"/>
          <w:szCs w:val="28"/>
          <w:highlight w:val="none"/>
        </w:rPr>
      </w:pPr>
    </w:p>
    <w:p w14:paraId="1407A167">
      <w:pPr>
        <w:pStyle w:val="96"/>
        <w:numPr>
          <w:ilvl w:val="0"/>
          <w:numId w:val="0"/>
        </w:numPr>
        <w:outlineLvl w:val="2"/>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u w:val="none"/>
          <w:lang w:val="en-US" w:eastAsia="zh-CN"/>
        </w:rPr>
        <w:t>致：</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w:t>
      </w:r>
      <w:r>
        <w:rPr>
          <w:rFonts w:hint="eastAsia" w:ascii="仿宋" w:hAnsi="仿宋" w:eastAsia="仿宋" w:cs="仿宋"/>
          <w:b w:val="0"/>
          <w:bCs/>
          <w:color w:val="auto"/>
          <w:sz w:val="28"/>
          <w:szCs w:val="28"/>
          <w:highlight w:val="none"/>
          <w:lang w:val="en-US" w:eastAsia="zh-CN"/>
        </w:rPr>
        <w:t>采购</w:t>
      </w:r>
      <w:r>
        <w:rPr>
          <w:rFonts w:hint="eastAsia" w:ascii="仿宋" w:hAnsi="仿宋" w:eastAsia="仿宋" w:cs="仿宋"/>
          <w:b w:val="0"/>
          <w:bCs/>
          <w:color w:val="auto"/>
          <w:sz w:val="28"/>
          <w:szCs w:val="28"/>
          <w:highlight w:val="none"/>
        </w:rPr>
        <w:t>人名称)：</w:t>
      </w:r>
    </w:p>
    <w:p w14:paraId="5DA3C29F">
      <w:pPr>
        <w:pStyle w:val="96"/>
        <w:numPr>
          <w:ilvl w:val="0"/>
          <w:numId w:val="0"/>
        </w:numPr>
        <w:outlineLvl w:val="2"/>
        <w:rPr>
          <w:rFonts w:hint="eastAsia" w:ascii="仿宋" w:hAnsi="仿宋" w:eastAsia="仿宋" w:cs="仿宋"/>
          <w:b w:val="0"/>
          <w:bCs/>
          <w:color w:val="auto"/>
          <w:sz w:val="28"/>
          <w:szCs w:val="28"/>
          <w:highlight w:val="none"/>
        </w:rPr>
      </w:pPr>
    </w:p>
    <w:p w14:paraId="145B4CCD">
      <w:pPr>
        <w:keepNext w:val="0"/>
        <w:keepLines w:val="0"/>
        <w:pageBreakBefore w:val="0"/>
        <w:widowControl/>
        <w:kinsoku/>
        <w:wordWrap/>
        <w:overflowPunct/>
        <w:topLinePunct w:val="0"/>
        <w:autoSpaceDE/>
        <w:autoSpaceDN/>
        <w:bidi w:val="0"/>
        <w:adjustRightInd/>
        <w:snapToGrid/>
        <w:spacing w:line="360" w:lineRule="auto"/>
        <w:ind w:firstLine="476"/>
        <w:jc w:val="left"/>
        <w:textAlignment w:val="auto"/>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color w:val="auto"/>
          <w:kern w:val="0"/>
          <w:sz w:val="28"/>
          <w:szCs w:val="28"/>
          <w:highlight w:val="none"/>
          <w:lang w:val="en-US" w:eastAsia="zh-CN" w:bidi="ar"/>
        </w:rPr>
        <w:t>1、我公司不存在：单位负责人为同一人或者</w:t>
      </w:r>
      <w:r>
        <w:rPr>
          <w:rFonts w:hint="eastAsia" w:ascii="仿宋" w:hAnsi="仿宋" w:eastAsia="仿宋" w:cs="仿宋"/>
          <w:color w:val="auto"/>
          <w:sz w:val="28"/>
          <w:szCs w:val="28"/>
          <w:highlight w:val="none"/>
        </w:rPr>
        <w:t>存在直接控股、管理关系的不同供应商</w:t>
      </w:r>
      <w:r>
        <w:rPr>
          <w:rFonts w:hint="eastAsia" w:ascii="仿宋" w:hAnsi="仿宋" w:eastAsia="仿宋" w:cs="仿宋"/>
          <w:color w:val="auto"/>
          <w:kern w:val="0"/>
          <w:sz w:val="28"/>
          <w:szCs w:val="28"/>
          <w:highlight w:val="none"/>
          <w:lang w:val="en-US" w:eastAsia="zh-CN" w:bidi="ar"/>
        </w:rPr>
        <w:t>，同时参与本项目投标。</w:t>
      </w:r>
    </w:p>
    <w:p w14:paraId="0AD50766">
      <w:pPr>
        <w:pStyle w:val="97"/>
        <w:spacing w:line="360" w:lineRule="auto"/>
        <w:ind w:firstLine="560" w:firstLineChars="200"/>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color w:val="auto"/>
          <w:kern w:val="0"/>
          <w:sz w:val="28"/>
          <w:szCs w:val="28"/>
          <w:highlight w:val="none"/>
          <w:lang w:val="en-US" w:eastAsia="zh-CN" w:bidi="ar"/>
        </w:rPr>
        <w:t>2、我公司未与其他单位组成联合体参与本项目投标。</w:t>
      </w:r>
    </w:p>
    <w:p w14:paraId="6F62F270">
      <w:pPr>
        <w:pStyle w:val="97"/>
        <w:rPr>
          <w:rFonts w:hint="eastAsia" w:ascii="仿宋" w:hAnsi="仿宋" w:eastAsia="仿宋" w:cs="仿宋"/>
          <w:color w:val="auto"/>
          <w:sz w:val="28"/>
          <w:szCs w:val="28"/>
          <w:highlight w:val="none"/>
          <w:lang w:val="en-US" w:eastAsia="zh-CN"/>
        </w:rPr>
      </w:pPr>
    </w:p>
    <w:p w14:paraId="7980229F">
      <w:pPr>
        <w:pStyle w:val="97"/>
        <w:rPr>
          <w:rFonts w:hint="eastAsia" w:ascii="仿宋" w:hAnsi="仿宋" w:eastAsia="仿宋" w:cs="仿宋"/>
          <w:color w:val="auto"/>
          <w:kern w:val="2"/>
          <w:sz w:val="28"/>
          <w:szCs w:val="28"/>
          <w:highlight w:val="none"/>
          <w:lang w:val="en-US" w:eastAsia="zh-CN" w:bidi="ar-SA"/>
        </w:rPr>
      </w:pPr>
    </w:p>
    <w:p w14:paraId="115C9D76">
      <w:pPr>
        <w:pStyle w:val="97"/>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 xml:space="preserve">    特此声明。</w:t>
      </w:r>
    </w:p>
    <w:p w14:paraId="6E16BCDC">
      <w:pPr>
        <w:pStyle w:val="96"/>
        <w:numPr>
          <w:ilvl w:val="0"/>
          <w:numId w:val="0"/>
        </w:numPr>
        <w:outlineLvl w:val="2"/>
        <w:rPr>
          <w:rFonts w:hint="eastAsia" w:ascii="仿宋" w:hAnsi="仿宋" w:eastAsia="仿宋" w:cs="仿宋"/>
          <w:b w:val="0"/>
          <w:bCs/>
          <w:color w:val="auto"/>
          <w:sz w:val="28"/>
          <w:szCs w:val="28"/>
          <w:highlight w:val="none"/>
          <w:lang w:val="en-US" w:eastAsia="zh-CN"/>
        </w:rPr>
      </w:pPr>
    </w:p>
    <w:p w14:paraId="5DFC3DE8">
      <w:pPr>
        <w:pStyle w:val="101"/>
        <w:wordWrap w:val="0"/>
        <w:ind w:firstLine="560" w:firstLineChars="200"/>
        <w:jc w:val="right"/>
        <w:rPr>
          <w:rFonts w:hint="eastAsia" w:ascii="仿宋" w:hAnsi="仿宋" w:eastAsia="仿宋" w:cs="仿宋"/>
          <w:color w:val="auto"/>
          <w:sz w:val="28"/>
          <w:szCs w:val="28"/>
          <w:highlight w:val="none"/>
        </w:rPr>
      </w:pPr>
      <w:r>
        <w:rPr>
          <w:rFonts w:hint="eastAsia" w:ascii="仿宋" w:hAnsi="仿宋" w:eastAsia="仿宋" w:cs="仿宋"/>
          <w:b w:val="0"/>
          <w:bCs/>
          <w:color w:val="auto"/>
          <w:sz w:val="28"/>
          <w:szCs w:val="28"/>
          <w:highlight w:val="none"/>
          <w:lang w:val="en-US" w:eastAsia="zh-CN"/>
        </w:rPr>
        <w:t>供应商</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（盖单位章）</w:t>
      </w:r>
    </w:p>
    <w:p w14:paraId="4A123B12">
      <w:pPr>
        <w:pStyle w:val="101"/>
        <w:wordWrap/>
        <w:ind w:firstLine="560" w:firstLineChars="200"/>
        <w:jc w:val="right"/>
        <w:rPr>
          <w:rFonts w:hint="eastAsia" w:ascii="仿宋" w:hAnsi="仿宋" w:eastAsia="仿宋" w:cs="仿宋"/>
          <w:color w:val="auto"/>
          <w:sz w:val="28"/>
          <w:szCs w:val="28"/>
          <w:highlight w:val="none"/>
        </w:rPr>
      </w:pPr>
    </w:p>
    <w:p w14:paraId="1AA5F4B6">
      <w:pPr>
        <w:pStyle w:val="101"/>
        <w:wordWrap/>
        <w:ind w:firstLine="560" w:firstLineChars="20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年  月  日</w:t>
      </w:r>
    </w:p>
    <w:p w14:paraId="727913B7">
      <w:pPr>
        <w:pStyle w:val="96"/>
        <w:numPr>
          <w:ilvl w:val="0"/>
          <w:numId w:val="0"/>
        </w:numPr>
        <w:outlineLvl w:val="2"/>
        <w:rPr>
          <w:rFonts w:hint="eastAsia" w:ascii="仿宋" w:hAnsi="仿宋" w:eastAsia="仿宋" w:cs="仿宋"/>
          <w:b w:val="0"/>
          <w:bCs/>
          <w:color w:val="auto"/>
          <w:sz w:val="28"/>
          <w:szCs w:val="28"/>
          <w:highlight w:val="none"/>
          <w:lang w:val="en-US" w:eastAsia="zh-CN"/>
        </w:rPr>
        <w:sectPr>
          <w:pgSz w:w="11906" w:h="16838"/>
          <w:pgMar w:top="1440" w:right="1800" w:bottom="1440" w:left="1800" w:header="851" w:footer="992" w:gutter="0"/>
          <w:pgNumType w:fmt="decimal"/>
          <w:cols w:space="720" w:num="1"/>
          <w:titlePg/>
          <w:docGrid w:type="lines" w:linePitch="312" w:charSpace="0"/>
        </w:sectPr>
      </w:pPr>
    </w:p>
    <w:p w14:paraId="12FFA6A5">
      <w:pPr>
        <w:pStyle w:val="9"/>
        <w:jc w:val="center"/>
        <w:rPr>
          <w:rFonts w:hint="eastAsia" w:ascii="仿宋" w:hAnsi="仿宋" w:eastAsia="仿宋" w:cs="仿宋"/>
          <w:b/>
          <w:color w:val="auto"/>
          <w:kern w:val="0"/>
          <w:sz w:val="28"/>
          <w:szCs w:val="28"/>
          <w:highlight w:val="none"/>
          <w:lang w:val="en-US" w:eastAsia="zh-CN" w:bidi="ar-SA"/>
        </w:rPr>
      </w:pPr>
      <w:r>
        <w:rPr>
          <w:rFonts w:hint="eastAsia" w:ascii="仿宋" w:hAnsi="仿宋" w:eastAsia="仿宋" w:cs="仿宋"/>
          <w:b/>
          <w:color w:val="auto"/>
          <w:kern w:val="0"/>
          <w:sz w:val="28"/>
          <w:szCs w:val="28"/>
          <w:highlight w:val="none"/>
          <w:lang w:val="en-US" w:eastAsia="zh-CN" w:bidi="ar-SA"/>
        </w:rPr>
        <w:t>6、供应商认为需要的其他资料</w:t>
      </w:r>
    </w:p>
    <w:p w14:paraId="6F7FC2BB">
      <w:pPr>
        <w:pageBreakBefore w:val="0"/>
        <w:tabs>
          <w:tab w:val="left" w:pos="520"/>
        </w:tabs>
        <w:bidi w:val="0"/>
        <w:spacing w:line="274" w:lineRule="exact"/>
        <w:ind w:left="60"/>
        <w:outlineLvl w:val="9"/>
        <w:rPr>
          <w:rFonts w:hint="eastAsia" w:ascii="仿宋" w:hAnsi="仿宋" w:eastAsia="仿宋" w:cs="仿宋"/>
          <w:color w:val="auto"/>
          <w:sz w:val="28"/>
          <w:szCs w:val="28"/>
          <w:highlight w:val="none"/>
        </w:rPr>
      </w:pPr>
    </w:p>
    <w:sectPr>
      <w:headerReference r:id="rId24" w:type="first"/>
      <w:footerReference r:id="rId26" w:type="first"/>
      <w:headerReference r:id="rId23" w:type="default"/>
      <w:footerReference r:id="rId25"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宋?">
    <w:altName w:val="Times New Roman"/>
    <w:panose1 w:val="00000000000000000000"/>
    <w:charset w:val="00"/>
    <w:family w:val="auto"/>
    <w:pitch w:val="default"/>
    <w:sig w:usb0="00000000" w:usb1="00000000" w:usb2="00000000"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宋体"/>
    <w:panose1 w:val="020B0604020202020204"/>
    <w:charset w:val="86"/>
    <w:family w:val="auto"/>
    <w:pitch w:val="default"/>
    <w:sig w:usb0="00000000" w:usb1="00000000" w:usb2="0000003F" w:usb3="00000000" w:csb0="603F01FF" w:csb1="FFFF0000"/>
  </w:font>
  <w:font w:name="ˎ̥">
    <w:altName w:val="Times New Roman"/>
    <w:panose1 w:val="00000000000000000000"/>
    <w:charset w:val="00"/>
    <w:family w:val="roman"/>
    <w:pitch w:val="default"/>
    <w:sig w:usb0="00000000"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F830">
    <w:pPr>
      <w:pStyle w:val="16"/>
      <w:wordWrap w:val="0"/>
      <w:ind w:right="360"/>
      <w:jc w:val="both"/>
      <w:rPr>
        <w:rFonts w:hint="eastAsia"/>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D2D55">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B3EBFF">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3B3EBFF">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ED7C7">
    <w:pPr>
      <w:pStyle w:val="16"/>
      <w:rPr>
        <w:rFonts w:ascii="宋体" w:hAnsi="宋体"/>
        <w:b/>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91F6F">
    <w:pPr>
      <w:pStyle w:val="16"/>
      <w:tabs>
        <w:tab w:val="clear" w:pos="4153"/>
      </w:tabs>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9F76">
    <w:pPr>
      <w:pStyle w:val="16"/>
      <w:tabs>
        <w:tab w:val="left" w:pos="1699"/>
        <w:tab w:val="clear" w:pos="4153"/>
      </w:tabs>
    </w:pPr>
    <w:r>
      <w:rPr>
        <w:sz w:val="18"/>
      </w:rPr>
      <mc:AlternateContent>
        <mc:Choice Requires="wps">
          <w:drawing>
            <wp:anchor distT="0" distB="0" distL="114300" distR="114300" simplePos="0" relativeHeight="251660288" behindDoc="0" locked="0" layoutInCell="1" allowOverlap="1">
              <wp:simplePos x="0" y="0"/>
              <wp:positionH relativeFrom="margin">
                <wp:posOffset>2867660</wp:posOffset>
              </wp:positionH>
              <wp:positionV relativeFrom="paragraph">
                <wp:posOffset>-690245</wp:posOffset>
              </wp:positionV>
              <wp:extent cx="131445" cy="269875"/>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31445" cy="2698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457F05">
                          <w:pPr>
                            <w:pStyle w:val="16"/>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4</w:t>
                          </w:r>
                          <w:r>
                            <w:rPr>
                              <w:rFonts w:hint="default" w:ascii="Times New Roman" w:hAnsi="Times New Roman" w:cs="Times New Roman"/>
                              <w:sz w:val="21"/>
                              <w:szCs w:val="21"/>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25.8pt;margin-top:-54.35pt;height:21.25pt;width:10.35pt;mso-position-horizontal-relative:margin;z-index:251660288;mso-width-relative:page;mso-height-relative:page;" filled="f" stroked="f" coordsize="21600,21600" o:gfxdata="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JcZ2d3bAAAADAEAAA8AAAAAAAAAAQAgAAAAIgAAAGRycy9k&#10;b3ducmV2LnhtbFBLAQIUABQAAAAIAIdO4kDzqrx6OAIAAGMEAAAOAAAAAAAAAAEAIAAAACoBAABk&#10;cnMvZTJvRG9jLnhtbFBLBQYAAAAABgAGAFkBAADUBQAAAAA=&#10;">
              <v:fill on="f" focussize="0,0"/>
              <v:stroke on="f" weight="0.5pt"/>
              <v:imagedata o:title=""/>
              <o:lock v:ext="edit" aspectratio="f"/>
              <v:textbox inset="0mm,0mm,0mm,0mm">
                <w:txbxContent>
                  <w:p w14:paraId="58457F05">
                    <w:pPr>
                      <w:pStyle w:val="16"/>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4</w:t>
                    </w:r>
                    <w:r>
                      <w:rPr>
                        <w:rFonts w:hint="default" w:ascii="Times New Roman" w:hAnsi="Times New Roman" w:cs="Times New Roman"/>
                        <w:sz w:val="21"/>
                        <w:szCs w:val="21"/>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E4BD9">
    <w:pPr>
      <w:pStyle w:val="16"/>
      <w:tabs>
        <w:tab w:val="left" w:pos="1699"/>
        <w:tab w:val="clear" w:pos="4153"/>
      </w:tabs>
    </w:pPr>
    <w:r>
      <w:rPr>
        <w:sz w:val="18"/>
      </w:rPr>
      <mc:AlternateContent>
        <mc:Choice Requires="wps">
          <w:drawing>
            <wp:anchor distT="0" distB="0" distL="114300" distR="114300" simplePos="0" relativeHeight="251665408" behindDoc="0" locked="0" layoutInCell="1" allowOverlap="1">
              <wp:simplePos x="0" y="0"/>
              <wp:positionH relativeFrom="margin">
                <wp:posOffset>2444115</wp:posOffset>
              </wp:positionH>
              <wp:positionV relativeFrom="paragraph">
                <wp:posOffset>113030</wp:posOffset>
              </wp:positionV>
              <wp:extent cx="264160" cy="1993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264160" cy="1993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7802AD">
                          <w:pPr>
                            <w:pStyle w:val="1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2.45pt;margin-top:8.9pt;height:15.7pt;width:20.8pt;mso-position-horizontal-relative:margin;z-index:251665408;mso-width-relative:page;mso-height-relative:page;" filled="f" stroked="f" coordsize="21600,21600" o:gfxdata="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E/FzYAAAACQEAAA8AAAAAAAAAAQAgAAAAIgAAAGRycy9kb3ducmV2&#10;LnhtbFBLAQIUABQAAAAIAIdO4kCPlli1NQIAAGEEAAAOAAAAAAAAAAEAIAAAACcBAABkcnMvZTJv&#10;RG9jLnhtbFBLBQYAAAAABgAGAFkBAADOBQAAAAA=&#10;">
              <v:fill on="f" focussize="0,0"/>
              <v:stroke on="f" weight="0.5pt"/>
              <v:imagedata o:title=""/>
              <o:lock v:ext="edit" aspectratio="f"/>
              <v:textbox inset="0mm,0mm,0mm,0mm">
                <w:txbxContent>
                  <w:p w14:paraId="4F7802AD">
                    <w:pPr>
                      <w:pStyle w:val="16"/>
                    </w:pPr>
                    <w:r>
                      <w:fldChar w:fldCharType="begin"/>
                    </w:r>
                    <w:r>
                      <w:instrText xml:space="preserve"> PAGE  \* MERGEFORMAT </w:instrText>
                    </w:r>
                    <w:r>
                      <w:fldChar w:fldCharType="separate"/>
                    </w:r>
                    <w:r>
                      <w:t>4</w:t>
                    </w:r>
                    <w:r>
                      <w:fldChar w:fldCharType="end"/>
                    </w:r>
                  </w:p>
                </w:txbxContent>
              </v:textbox>
            </v:shape>
          </w:pict>
        </mc:Fallback>
      </mc:AlternateContent>
    </w:r>
  </w:p>
  <w:p w14:paraId="7F0C6CB8">
    <w:pPr>
      <w:pStyle w:val="16"/>
      <w:tabs>
        <w:tab w:val="left" w:pos="1699"/>
        <w:tab w:val="clear" w:pos="4153"/>
      </w:tabs>
    </w:pPr>
  </w:p>
  <w:p w14:paraId="0862747C">
    <w:pPr>
      <w:pStyle w:val="16"/>
      <w:tabs>
        <w:tab w:val="left" w:pos="1699"/>
        <w:tab w:val="clear" w:pos="4153"/>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828E1">
    <w:pPr>
      <w:pStyle w:val="16"/>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6E1AA7">
                          <w:pPr>
                            <w:pStyle w:val="16"/>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25</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D6E1AA7">
                    <w:pPr>
                      <w:pStyle w:val="16"/>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25</w:t>
                    </w:r>
                    <w:r>
                      <w:rPr>
                        <w:rFonts w:hint="default" w:ascii="Times New Roman" w:hAnsi="Times New Roman" w:cs="Times New Roman"/>
                        <w:sz w:val="21"/>
                        <w:szCs w:val="21"/>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F296D">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269F9F">
                          <w:pPr>
                            <w:pStyle w:val="16"/>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5269F9F">
                    <w:pPr>
                      <w:pStyle w:val="16"/>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7FD52">
    <w:pPr>
      <w:pStyle w:val="1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1F909B">
                          <w:pPr>
                            <w:pStyle w:val="1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581F909B">
                    <w:pPr>
                      <w:pStyle w:val="16"/>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5F9EA">
    <w:pPr>
      <w:pStyle w:val="16"/>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8349C9">
                          <w:pPr>
                            <w:pStyle w:val="16"/>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18349C9">
                    <w:pPr>
                      <w:pStyle w:val="16"/>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2623D">
    <w:pPr>
      <w:pStyle w:val="16"/>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E7535C">
                          <w:pPr>
                            <w:pStyle w:val="16"/>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3E7535C">
                    <w:pPr>
                      <w:pStyle w:val="16"/>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9B6C5">
    <w:pPr>
      <w:pStyle w:val="1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B5DC35">
                          <w:pPr>
                            <w:pStyle w:val="1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70B5DC35">
                    <w:pPr>
                      <w:pStyle w:val="16"/>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16D2D">
    <w:pPr>
      <w:pStyle w:val="1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091369">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D091369">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758E8">
    <w:pPr>
      <w:pStyle w:val="16"/>
    </w:pPr>
    <w:r>
      <w:rPr>
        <w:sz w:val="18"/>
      </w:rPr>
      <mc:AlternateContent>
        <mc:Choice Requires="wps">
          <w:drawing>
            <wp:anchor distT="0" distB="0" distL="114300" distR="114300" simplePos="0" relativeHeight="251664384" behindDoc="0" locked="0" layoutInCell="1" allowOverlap="1">
              <wp:simplePos x="0" y="0"/>
              <wp:positionH relativeFrom="margin">
                <wp:posOffset>3024505</wp:posOffset>
              </wp:positionH>
              <wp:positionV relativeFrom="paragraph">
                <wp:posOffset>-114300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F5BEF">
                          <w:pPr>
                            <w:pStyle w:val="16"/>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74</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8.15pt;margin-top:-9pt;height:144pt;width:144pt;mso-position-horizontal-relative:margin;mso-wrap-style:none;z-index:251664384;mso-width-relative:page;mso-height-relative:page;" filled="f" stroked="f" coordsize="21600,21600" o:gfxdata="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DDvb3vYAAAACwEAAA8AAAAAAAAAAQAgAAAAIgAAAGRycy9kb3ducmV2Lnht&#10;bFBLAQIUABQAAAAIAIdO4kDUd5jmMgIAAGMEAAAOAAAAAAAAAAEAIAAAACcBAABkcnMvZTJvRG9j&#10;LnhtbFBLBQYAAAAABgAGAFkBAADLBQAAAAA=&#10;">
              <v:fill on="f" focussize="0,0"/>
              <v:stroke on="f" weight="0.5pt"/>
              <v:imagedata o:title=""/>
              <o:lock v:ext="edit" aspectratio="f"/>
              <v:textbox inset="0mm,0mm,0mm,0mm" style="mso-fit-shape-to-text:t;">
                <w:txbxContent>
                  <w:p w14:paraId="2F1F5BEF">
                    <w:pPr>
                      <w:pStyle w:val="16"/>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74</w:t>
                    </w:r>
                    <w:r>
                      <w:rPr>
                        <w:rFonts w:hint="default" w:ascii="Times New Roman" w:hAnsi="Times New Roman" w:cs="Times New Roman"/>
                        <w:sz w:val="21"/>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128BD">
    <w:pPr>
      <w:pStyle w:val="3"/>
      <w:tabs>
        <w:tab w:val="left" w:pos="10438"/>
      </w:tabs>
      <w:kinsoku w:val="0"/>
      <w:overflowPunct w:val="0"/>
      <w:autoSpaceDE w:val="0"/>
      <w:autoSpaceDN w:val="0"/>
      <w:adjustRightInd w:val="0"/>
      <w:snapToGrid w:val="0"/>
      <w:spacing w:before="240" w:beforeLines="100" w:after="240" w:afterLines="100" w:line="460" w:lineRule="exact"/>
      <w:jc w:val="left"/>
      <w:rPr>
        <w:rFonts w:hint="eastAsia" w:eastAsia="宋体"/>
        <w:lang w:eastAsia="zh-CN"/>
      </w:rPr>
    </w:pPr>
    <w:r>
      <w:rPr>
        <w:rFonts w:hint="eastAsia"/>
        <w:lang w:eastAsia="zh-CN"/>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7E40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14C7B"/>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AC193"/>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61C66"/>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4C1D7">
    <w:pPr>
      <w:pBdr>
        <w:bottom w:val="none" w:color="auto" w:sz="0" w:space="1"/>
      </w:pBdr>
      <w:spacing w:line="460" w:lineRule="exact"/>
      <w:jc w:val="left"/>
      <w:rPr>
        <w:highlight w:val="lightGray"/>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B1B5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4C26E">
    <w:pPr>
      <w:pBdr>
        <w:bottom w:val="none" w:color="auto" w:sz="0" w:space="1"/>
      </w:pBdr>
      <w:spacing w:line="460" w:lineRule="exact"/>
      <w:jc w:val="left"/>
      <w:rPr>
        <w:highlight w:val="lightGray"/>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2EC75"/>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7681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AB1176"/>
    <w:multiLevelType w:val="singleLevel"/>
    <w:tmpl w:val="BAAB1176"/>
    <w:lvl w:ilvl="0" w:tentative="0">
      <w:start w:val="1"/>
      <w:numFmt w:val="decimal"/>
      <w:suff w:val="nothing"/>
      <w:lvlText w:val="%1、"/>
      <w:lvlJc w:val="left"/>
    </w:lvl>
  </w:abstractNum>
  <w:abstractNum w:abstractNumId="1">
    <w:nsid w:val="C1A93032"/>
    <w:multiLevelType w:val="singleLevel"/>
    <w:tmpl w:val="C1A93032"/>
    <w:lvl w:ilvl="0" w:tentative="0">
      <w:start w:val="1"/>
      <w:numFmt w:val="chineseCounting"/>
      <w:suff w:val="nothing"/>
      <w:lvlText w:val="%1、"/>
      <w:lvlJc w:val="left"/>
      <w:rPr>
        <w:rFonts w:hint="eastAsia"/>
      </w:rPr>
    </w:lvl>
  </w:abstractNum>
  <w:abstractNum w:abstractNumId="2">
    <w:nsid w:val="CAD76AAA"/>
    <w:multiLevelType w:val="singleLevel"/>
    <w:tmpl w:val="CAD76AAA"/>
    <w:lvl w:ilvl="0" w:tentative="0">
      <w:start w:val="1"/>
      <w:numFmt w:val="chineseCounting"/>
      <w:suff w:val="nothing"/>
      <w:lvlText w:val="%1、"/>
      <w:lvlJc w:val="left"/>
      <w:rPr>
        <w:rFonts w:hint="eastAsia"/>
      </w:rPr>
    </w:lvl>
  </w:abstractNum>
  <w:abstractNum w:abstractNumId="3">
    <w:nsid w:val="D99B5D92"/>
    <w:multiLevelType w:val="singleLevel"/>
    <w:tmpl w:val="D99B5D92"/>
    <w:lvl w:ilvl="0" w:tentative="0">
      <w:start w:val="1"/>
      <w:numFmt w:val="decimal"/>
      <w:suff w:val="nothing"/>
      <w:lvlText w:val="%1、"/>
      <w:lvlJc w:val="left"/>
    </w:lvl>
  </w:abstractNum>
  <w:abstractNum w:abstractNumId="4">
    <w:nsid w:val="DB746834"/>
    <w:multiLevelType w:val="singleLevel"/>
    <w:tmpl w:val="DB746834"/>
    <w:lvl w:ilvl="0" w:tentative="0">
      <w:start w:val="1"/>
      <w:numFmt w:val="chineseCounting"/>
      <w:suff w:val="nothing"/>
      <w:lvlText w:val="（%1）"/>
      <w:lvlJc w:val="left"/>
      <w:rPr>
        <w:rFonts w:hint="eastAsia"/>
      </w:rPr>
    </w:lvl>
  </w:abstractNum>
  <w:abstractNum w:abstractNumId="5">
    <w:nsid w:val="F82501B9"/>
    <w:multiLevelType w:val="singleLevel"/>
    <w:tmpl w:val="F82501B9"/>
    <w:lvl w:ilvl="0" w:tentative="0">
      <w:start w:val="1"/>
      <w:numFmt w:val="decimal"/>
      <w:suff w:val="nothing"/>
      <w:lvlText w:val="%1）"/>
      <w:lvlJc w:val="left"/>
    </w:lvl>
  </w:abstractNum>
  <w:abstractNum w:abstractNumId="6">
    <w:nsid w:val="0053208E"/>
    <w:multiLevelType w:val="singleLevel"/>
    <w:tmpl w:val="0053208E"/>
    <w:lvl w:ilvl="0" w:tentative="0">
      <w:start w:val="2"/>
      <w:numFmt w:val="decimal"/>
      <w:suff w:val="nothing"/>
      <w:lvlText w:val="%1）"/>
      <w:lvlJc w:val="left"/>
    </w:lvl>
  </w:abstractNum>
  <w:abstractNum w:abstractNumId="7">
    <w:nsid w:val="7AE66C40"/>
    <w:multiLevelType w:val="singleLevel"/>
    <w:tmpl w:val="7AE66C40"/>
    <w:lvl w:ilvl="0" w:tentative="0">
      <w:start w:val="1"/>
      <w:numFmt w:val="decimal"/>
      <w:suff w:val="nothing"/>
      <w:lvlText w:val="%1、"/>
      <w:lvlJc w:val="left"/>
    </w:lvl>
  </w:abstractNum>
  <w:abstractNum w:abstractNumId="8">
    <w:nsid w:val="7DC1E3BA"/>
    <w:multiLevelType w:val="singleLevel"/>
    <w:tmpl w:val="7DC1E3BA"/>
    <w:lvl w:ilvl="0" w:tentative="0">
      <w:start w:val="4"/>
      <w:numFmt w:val="chineseCounting"/>
      <w:suff w:val="nothing"/>
      <w:lvlText w:val="%1、"/>
      <w:lvlJc w:val="left"/>
      <w:rPr>
        <w:rFonts w:hint="eastAsia"/>
      </w:rPr>
    </w:lvl>
  </w:abstractNum>
  <w:abstractNum w:abstractNumId="9">
    <w:nsid w:val="7FA10B9B"/>
    <w:multiLevelType w:val="singleLevel"/>
    <w:tmpl w:val="7FA10B9B"/>
    <w:lvl w:ilvl="0" w:tentative="0">
      <w:start w:val="1"/>
      <w:numFmt w:val="decimal"/>
      <w:suff w:val="nothing"/>
      <w:lvlText w:val="（%1）"/>
      <w:lvlJc w:val="left"/>
    </w:lvl>
  </w:abstractNum>
  <w:num w:numId="1">
    <w:abstractNumId w:val="7"/>
  </w:num>
  <w:num w:numId="2">
    <w:abstractNumId w:val="1"/>
  </w:num>
  <w:num w:numId="3">
    <w:abstractNumId w:val="2"/>
  </w:num>
  <w:num w:numId="4">
    <w:abstractNumId w:val="6"/>
  </w:num>
  <w:num w:numId="5">
    <w:abstractNumId w:val="9"/>
  </w:num>
  <w:num w:numId="6">
    <w:abstractNumId w:val="0"/>
  </w:num>
  <w:num w:numId="7">
    <w:abstractNumId w:val="3"/>
  </w:num>
  <w:num w:numId="8">
    <w:abstractNumId w:val="8"/>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zMmMwMDJiZDAxNDIzYjZhOGMxNDI1Yzk3ZWZiYTMifQ=="/>
  </w:docVars>
  <w:rsids>
    <w:rsidRoot w:val="159D1B49"/>
    <w:rsid w:val="000E2DB7"/>
    <w:rsid w:val="00184B07"/>
    <w:rsid w:val="003B501F"/>
    <w:rsid w:val="00647456"/>
    <w:rsid w:val="006E53EB"/>
    <w:rsid w:val="00743B73"/>
    <w:rsid w:val="008878D1"/>
    <w:rsid w:val="00964140"/>
    <w:rsid w:val="009C512B"/>
    <w:rsid w:val="00B06633"/>
    <w:rsid w:val="00B7342B"/>
    <w:rsid w:val="00C2263B"/>
    <w:rsid w:val="00C7016B"/>
    <w:rsid w:val="00D27337"/>
    <w:rsid w:val="00E62D8D"/>
    <w:rsid w:val="02963DFC"/>
    <w:rsid w:val="02BB72C4"/>
    <w:rsid w:val="036F4C87"/>
    <w:rsid w:val="048C3C3C"/>
    <w:rsid w:val="04D806FC"/>
    <w:rsid w:val="05372775"/>
    <w:rsid w:val="05BB6053"/>
    <w:rsid w:val="067349C1"/>
    <w:rsid w:val="06930D7E"/>
    <w:rsid w:val="07172730"/>
    <w:rsid w:val="075259FC"/>
    <w:rsid w:val="07CE2990"/>
    <w:rsid w:val="07DC6755"/>
    <w:rsid w:val="083A2FAD"/>
    <w:rsid w:val="097053A7"/>
    <w:rsid w:val="09A04F73"/>
    <w:rsid w:val="09A127BA"/>
    <w:rsid w:val="09E3201C"/>
    <w:rsid w:val="0A0A496A"/>
    <w:rsid w:val="0A2E7419"/>
    <w:rsid w:val="0AE85176"/>
    <w:rsid w:val="0B785C4C"/>
    <w:rsid w:val="0B927856"/>
    <w:rsid w:val="0BB377CC"/>
    <w:rsid w:val="0BCD6C70"/>
    <w:rsid w:val="0BD45102"/>
    <w:rsid w:val="0C2F32F7"/>
    <w:rsid w:val="0C321B11"/>
    <w:rsid w:val="0C6F24CE"/>
    <w:rsid w:val="0C747D08"/>
    <w:rsid w:val="0CE57E5A"/>
    <w:rsid w:val="0DA815B3"/>
    <w:rsid w:val="0DB02216"/>
    <w:rsid w:val="0E4365EF"/>
    <w:rsid w:val="0E601E8E"/>
    <w:rsid w:val="0EA70E63"/>
    <w:rsid w:val="0EE7435D"/>
    <w:rsid w:val="0F0E107C"/>
    <w:rsid w:val="0F7F5791"/>
    <w:rsid w:val="0FF603DB"/>
    <w:rsid w:val="104856E5"/>
    <w:rsid w:val="105F301A"/>
    <w:rsid w:val="10694477"/>
    <w:rsid w:val="11537A88"/>
    <w:rsid w:val="11B36B2A"/>
    <w:rsid w:val="11D601AF"/>
    <w:rsid w:val="12095433"/>
    <w:rsid w:val="121F5211"/>
    <w:rsid w:val="12721769"/>
    <w:rsid w:val="12A83E03"/>
    <w:rsid w:val="12AA3D0B"/>
    <w:rsid w:val="12B96010"/>
    <w:rsid w:val="12DD5B34"/>
    <w:rsid w:val="131C20FE"/>
    <w:rsid w:val="13E23111"/>
    <w:rsid w:val="144A6502"/>
    <w:rsid w:val="147606DF"/>
    <w:rsid w:val="159D1B49"/>
    <w:rsid w:val="15A92CBF"/>
    <w:rsid w:val="15E6711C"/>
    <w:rsid w:val="1615189D"/>
    <w:rsid w:val="16A70313"/>
    <w:rsid w:val="16EE795F"/>
    <w:rsid w:val="177122FD"/>
    <w:rsid w:val="17997E8E"/>
    <w:rsid w:val="17D824D8"/>
    <w:rsid w:val="17F83137"/>
    <w:rsid w:val="189C023B"/>
    <w:rsid w:val="190D329D"/>
    <w:rsid w:val="19DD5940"/>
    <w:rsid w:val="1A9D7FC6"/>
    <w:rsid w:val="1AD34A0E"/>
    <w:rsid w:val="1B032036"/>
    <w:rsid w:val="1B446693"/>
    <w:rsid w:val="1BBB5543"/>
    <w:rsid w:val="1C3D1686"/>
    <w:rsid w:val="1C8256C5"/>
    <w:rsid w:val="1CD679D5"/>
    <w:rsid w:val="1CDC640B"/>
    <w:rsid w:val="1CEE1080"/>
    <w:rsid w:val="1D232A04"/>
    <w:rsid w:val="1D256DFB"/>
    <w:rsid w:val="1D3D339A"/>
    <w:rsid w:val="1D577B5E"/>
    <w:rsid w:val="1D6C577D"/>
    <w:rsid w:val="1D886D0B"/>
    <w:rsid w:val="1DBE6C94"/>
    <w:rsid w:val="1DED2AB9"/>
    <w:rsid w:val="1E1B688B"/>
    <w:rsid w:val="1E301B87"/>
    <w:rsid w:val="1EF645AA"/>
    <w:rsid w:val="1EF74148"/>
    <w:rsid w:val="1EFA3291"/>
    <w:rsid w:val="1F0C571A"/>
    <w:rsid w:val="1F1D72D7"/>
    <w:rsid w:val="1F78690B"/>
    <w:rsid w:val="20270A5D"/>
    <w:rsid w:val="20313C05"/>
    <w:rsid w:val="205E1FA5"/>
    <w:rsid w:val="209F4BA5"/>
    <w:rsid w:val="20CE7B78"/>
    <w:rsid w:val="21156B08"/>
    <w:rsid w:val="21555156"/>
    <w:rsid w:val="21635AC5"/>
    <w:rsid w:val="2181130E"/>
    <w:rsid w:val="219A0BA6"/>
    <w:rsid w:val="22126BE0"/>
    <w:rsid w:val="22152567"/>
    <w:rsid w:val="22394A78"/>
    <w:rsid w:val="22635651"/>
    <w:rsid w:val="22FD334F"/>
    <w:rsid w:val="231D5BEF"/>
    <w:rsid w:val="233701DC"/>
    <w:rsid w:val="235E7FED"/>
    <w:rsid w:val="238C0BD7"/>
    <w:rsid w:val="23A24F50"/>
    <w:rsid w:val="23CB2E54"/>
    <w:rsid w:val="24A652B7"/>
    <w:rsid w:val="24BE74B6"/>
    <w:rsid w:val="24E5281F"/>
    <w:rsid w:val="24F062C8"/>
    <w:rsid w:val="251247D8"/>
    <w:rsid w:val="251A293E"/>
    <w:rsid w:val="252728D9"/>
    <w:rsid w:val="25532D0D"/>
    <w:rsid w:val="25757B75"/>
    <w:rsid w:val="25AC31DE"/>
    <w:rsid w:val="25B51813"/>
    <w:rsid w:val="25DF54EA"/>
    <w:rsid w:val="261A6C39"/>
    <w:rsid w:val="263E440B"/>
    <w:rsid w:val="26C12B1D"/>
    <w:rsid w:val="27192146"/>
    <w:rsid w:val="27EC5BFD"/>
    <w:rsid w:val="27FB5854"/>
    <w:rsid w:val="282C486D"/>
    <w:rsid w:val="28397580"/>
    <w:rsid w:val="28931F81"/>
    <w:rsid w:val="28B20005"/>
    <w:rsid w:val="292D0766"/>
    <w:rsid w:val="292D216D"/>
    <w:rsid w:val="29C117AF"/>
    <w:rsid w:val="2A0B436D"/>
    <w:rsid w:val="2A13783A"/>
    <w:rsid w:val="2A50295E"/>
    <w:rsid w:val="2A6936BF"/>
    <w:rsid w:val="2A88034A"/>
    <w:rsid w:val="2A8D0269"/>
    <w:rsid w:val="2A9D0E6D"/>
    <w:rsid w:val="2AB47FA8"/>
    <w:rsid w:val="2AE81A43"/>
    <w:rsid w:val="2B3335A4"/>
    <w:rsid w:val="2B9A5B7B"/>
    <w:rsid w:val="2BC41856"/>
    <w:rsid w:val="2C613C1D"/>
    <w:rsid w:val="2C620BC7"/>
    <w:rsid w:val="2C8A2DBD"/>
    <w:rsid w:val="2C9F0A22"/>
    <w:rsid w:val="2D12214D"/>
    <w:rsid w:val="2D60110A"/>
    <w:rsid w:val="2D671044"/>
    <w:rsid w:val="2D734EE3"/>
    <w:rsid w:val="2D804F50"/>
    <w:rsid w:val="2DF3038D"/>
    <w:rsid w:val="2E714081"/>
    <w:rsid w:val="2E7C28D5"/>
    <w:rsid w:val="2F063F34"/>
    <w:rsid w:val="2FC40205"/>
    <w:rsid w:val="2FF5311A"/>
    <w:rsid w:val="304E23F9"/>
    <w:rsid w:val="308905D5"/>
    <w:rsid w:val="30AD7C75"/>
    <w:rsid w:val="30B959D8"/>
    <w:rsid w:val="310452EE"/>
    <w:rsid w:val="3159659D"/>
    <w:rsid w:val="317258B0"/>
    <w:rsid w:val="320F75A3"/>
    <w:rsid w:val="321E1C91"/>
    <w:rsid w:val="32A777DC"/>
    <w:rsid w:val="32FA5B5D"/>
    <w:rsid w:val="33371074"/>
    <w:rsid w:val="335E2B99"/>
    <w:rsid w:val="33AD330B"/>
    <w:rsid w:val="3471147A"/>
    <w:rsid w:val="3473045B"/>
    <w:rsid w:val="350318F6"/>
    <w:rsid w:val="35C5113D"/>
    <w:rsid w:val="35C87C7D"/>
    <w:rsid w:val="35DE286E"/>
    <w:rsid w:val="363968E5"/>
    <w:rsid w:val="367779DB"/>
    <w:rsid w:val="36BC2E5F"/>
    <w:rsid w:val="36C4095C"/>
    <w:rsid w:val="37073A30"/>
    <w:rsid w:val="37821CDD"/>
    <w:rsid w:val="38111141"/>
    <w:rsid w:val="38DE5455"/>
    <w:rsid w:val="394713D0"/>
    <w:rsid w:val="39B40F1A"/>
    <w:rsid w:val="3A0913FF"/>
    <w:rsid w:val="3A231E3E"/>
    <w:rsid w:val="3A4C20E6"/>
    <w:rsid w:val="3AF07D53"/>
    <w:rsid w:val="3B073DC4"/>
    <w:rsid w:val="3B3A76A9"/>
    <w:rsid w:val="3BA26D92"/>
    <w:rsid w:val="3BE92C13"/>
    <w:rsid w:val="3BFC64A2"/>
    <w:rsid w:val="3C2B4A36"/>
    <w:rsid w:val="3C624BAB"/>
    <w:rsid w:val="3C6A41F3"/>
    <w:rsid w:val="3D116F41"/>
    <w:rsid w:val="3D3954D4"/>
    <w:rsid w:val="3D91318F"/>
    <w:rsid w:val="3E546FE7"/>
    <w:rsid w:val="3E563C23"/>
    <w:rsid w:val="3E7323B2"/>
    <w:rsid w:val="3EC05EAD"/>
    <w:rsid w:val="3EC87E82"/>
    <w:rsid w:val="3F5F0DF3"/>
    <w:rsid w:val="3F9E2732"/>
    <w:rsid w:val="405C39B3"/>
    <w:rsid w:val="406D12A6"/>
    <w:rsid w:val="40B66992"/>
    <w:rsid w:val="40D61E5B"/>
    <w:rsid w:val="4117383C"/>
    <w:rsid w:val="41573FCC"/>
    <w:rsid w:val="41D91034"/>
    <w:rsid w:val="4226071D"/>
    <w:rsid w:val="436B215F"/>
    <w:rsid w:val="43A45F5B"/>
    <w:rsid w:val="43B65AD0"/>
    <w:rsid w:val="43D742F8"/>
    <w:rsid w:val="44047A2D"/>
    <w:rsid w:val="4433274D"/>
    <w:rsid w:val="44B05540"/>
    <w:rsid w:val="44D2432D"/>
    <w:rsid w:val="45607F00"/>
    <w:rsid w:val="45EA0A45"/>
    <w:rsid w:val="46216B91"/>
    <w:rsid w:val="46B5206F"/>
    <w:rsid w:val="47E81FD1"/>
    <w:rsid w:val="47EA0F5F"/>
    <w:rsid w:val="48007DC3"/>
    <w:rsid w:val="48476C35"/>
    <w:rsid w:val="48517B76"/>
    <w:rsid w:val="488658D7"/>
    <w:rsid w:val="488C7B16"/>
    <w:rsid w:val="48951D84"/>
    <w:rsid w:val="49667651"/>
    <w:rsid w:val="49A26997"/>
    <w:rsid w:val="4A2C7215"/>
    <w:rsid w:val="4A391290"/>
    <w:rsid w:val="4A3E237C"/>
    <w:rsid w:val="4A4A44F3"/>
    <w:rsid w:val="4A7C74DF"/>
    <w:rsid w:val="4AA439E5"/>
    <w:rsid w:val="4B231FE2"/>
    <w:rsid w:val="4B2A63DE"/>
    <w:rsid w:val="4BB413BE"/>
    <w:rsid w:val="4BDB290C"/>
    <w:rsid w:val="4C464E12"/>
    <w:rsid w:val="4C585329"/>
    <w:rsid w:val="4C883D82"/>
    <w:rsid w:val="4D534390"/>
    <w:rsid w:val="4D9D560B"/>
    <w:rsid w:val="4DC511B0"/>
    <w:rsid w:val="4E866B7B"/>
    <w:rsid w:val="4E8862BB"/>
    <w:rsid w:val="4EBB71D7"/>
    <w:rsid w:val="4EC86A38"/>
    <w:rsid w:val="4EEB0A1E"/>
    <w:rsid w:val="4F517FB5"/>
    <w:rsid w:val="4F7B7DFC"/>
    <w:rsid w:val="4F7C5E20"/>
    <w:rsid w:val="50375244"/>
    <w:rsid w:val="50455C1A"/>
    <w:rsid w:val="5097572C"/>
    <w:rsid w:val="510559A1"/>
    <w:rsid w:val="513D338D"/>
    <w:rsid w:val="513D513B"/>
    <w:rsid w:val="51532BB1"/>
    <w:rsid w:val="515911B2"/>
    <w:rsid w:val="51827AA0"/>
    <w:rsid w:val="52EA4E4F"/>
    <w:rsid w:val="52FC25B4"/>
    <w:rsid w:val="5349478E"/>
    <w:rsid w:val="534C3D5B"/>
    <w:rsid w:val="53622163"/>
    <w:rsid w:val="539D0113"/>
    <w:rsid w:val="53A84EA1"/>
    <w:rsid w:val="53D3115C"/>
    <w:rsid w:val="53E576A0"/>
    <w:rsid w:val="542A7306"/>
    <w:rsid w:val="54F17F9E"/>
    <w:rsid w:val="556C25BE"/>
    <w:rsid w:val="55FB55C5"/>
    <w:rsid w:val="5622727F"/>
    <w:rsid w:val="5625333F"/>
    <w:rsid w:val="56777341"/>
    <w:rsid w:val="568B45C4"/>
    <w:rsid w:val="56BD4320"/>
    <w:rsid w:val="56F664B8"/>
    <w:rsid w:val="5721520A"/>
    <w:rsid w:val="57424697"/>
    <w:rsid w:val="579E562B"/>
    <w:rsid w:val="57FD6633"/>
    <w:rsid w:val="584634F1"/>
    <w:rsid w:val="58694A68"/>
    <w:rsid w:val="587A3D1D"/>
    <w:rsid w:val="587D735F"/>
    <w:rsid w:val="58B33F35"/>
    <w:rsid w:val="59356FA0"/>
    <w:rsid w:val="59B77A55"/>
    <w:rsid w:val="59D95071"/>
    <w:rsid w:val="5A623E64"/>
    <w:rsid w:val="5B1A62BF"/>
    <w:rsid w:val="5B3C46B5"/>
    <w:rsid w:val="5BAA047C"/>
    <w:rsid w:val="5C401F83"/>
    <w:rsid w:val="5C5E240A"/>
    <w:rsid w:val="5C6962F2"/>
    <w:rsid w:val="5CA442C0"/>
    <w:rsid w:val="5D1624F6"/>
    <w:rsid w:val="5D3A4C25"/>
    <w:rsid w:val="5D690594"/>
    <w:rsid w:val="5E1D21B1"/>
    <w:rsid w:val="5E7220EE"/>
    <w:rsid w:val="5EB74BDB"/>
    <w:rsid w:val="5EBA50F7"/>
    <w:rsid w:val="5F182F9A"/>
    <w:rsid w:val="5F32387D"/>
    <w:rsid w:val="5F9235E9"/>
    <w:rsid w:val="60191AD5"/>
    <w:rsid w:val="6051650D"/>
    <w:rsid w:val="60D72195"/>
    <w:rsid w:val="60EE2060"/>
    <w:rsid w:val="61377E0E"/>
    <w:rsid w:val="61477910"/>
    <w:rsid w:val="614B50AB"/>
    <w:rsid w:val="61665F49"/>
    <w:rsid w:val="61811507"/>
    <w:rsid w:val="61F77588"/>
    <w:rsid w:val="624435A2"/>
    <w:rsid w:val="625D4ECA"/>
    <w:rsid w:val="626562A0"/>
    <w:rsid w:val="62FF66F4"/>
    <w:rsid w:val="63503692"/>
    <w:rsid w:val="63666773"/>
    <w:rsid w:val="63B55141"/>
    <w:rsid w:val="63D61343"/>
    <w:rsid w:val="63F17328"/>
    <w:rsid w:val="642B0762"/>
    <w:rsid w:val="647D6468"/>
    <w:rsid w:val="65046C98"/>
    <w:rsid w:val="65420B1A"/>
    <w:rsid w:val="65466F75"/>
    <w:rsid w:val="659B647C"/>
    <w:rsid w:val="661257D6"/>
    <w:rsid w:val="66255300"/>
    <w:rsid w:val="66270CC0"/>
    <w:rsid w:val="66541B60"/>
    <w:rsid w:val="66CF6BCA"/>
    <w:rsid w:val="66D85CCE"/>
    <w:rsid w:val="66E55C01"/>
    <w:rsid w:val="67AD28F9"/>
    <w:rsid w:val="688C12C1"/>
    <w:rsid w:val="68964036"/>
    <w:rsid w:val="68D21860"/>
    <w:rsid w:val="68ED228A"/>
    <w:rsid w:val="691D47F4"/>
    <w:rsid w:val="69932F63"/>
    <w:rsid w:val="69B111DF"/>
    <w:rsid w:val="69DB153D"/>
    <w:rsid w:val="69E260B9"/>
    <w:rsid w:val="6A2829D5"/>
    <w:rsid w:val="6BB56BB0"/>
    <w:rsid w:val="6BD251CE"/>
    <w:rsid w:val="6C667EDD"/>
    <w:rsid w:val="6CA85626"/>
    <w:rsid w:val="6CB77F1C"/>
    <w:rsid w:val="6CE71B82"/>
    <w:rsid w:val="6D317DF2"/>
    <w:rsid w:val="6DA36034"/>
    <w:rsid w:val="6E6C5BA9"/>
    <w:rsid w:val="6E7B6E4B"/>
    <w:rsid w:val="6E8A7F82"/>
    <w:rsid w:val="6E91666F"/>
    <w:rsid w:val="6EB72172"/>
    <w:rsid w:val="6EDC3D95"/>
    <w:rsid w:val="6F532AF4"/>
    <w:rsid w:val="708E5694"/>
    <w:rsid w:val="70B60D1C"/>
    <w:rsid w:val="70D30392"/>
    <w:rsid w:val="717D0A9D"/>
    <w:rsid w:val="7198714F"/>
    <w:rsid w:val="71DD6E25"/>
    <w:rsid w:val="71FB2F69"/>
    <w:rsid w:val="727809F2"/>
    <w:rsid w:val="72B03567"/>
    <w:rsid w:val="73BE3DC8"/>
    <w:rsid w:val="73CD1EF7"/>
    <w:rsid w:val="73FB6AF8"/>
    <w:rsid w:val="7400051E"/>
    <w:rsid w:val="742E643A"/>
    <w:rsid w:val="743B4721"/>
    <w:rsid w:val="74620891"/>
    <w:rsid w:val="74A72748"/>
    <w:rsid w:val="75261A8C"/>
    <w:rsid w:val="755F0853"/>
    <w:rsid w:val="76237B25"/>
    <w:rsid w:val="76472C11"/>
    <w:rsid w:val="76522B87"/>
    <w:rsid w:val="76C67B1E"/>
    <w:rsid w:val="76CF3B9A"/>
    <w:rsid w:val="76CF49A6"/>
    <w:rsid w:val="76D44D84"/>
    <w:rsid w:val="77297D8C"/>
    <w:rsid w:val="77664B3C"/>
    <w:rsid w:val="77DE4BA4"/>
    <w:rsid w:val="77F16440"/>
    <w:rsid w:val="780E2ADE"/>
    <w:rsid w:val="7827533A"/>
    <w:rsid w:val="78444CA7"/>
    <w:rsid w:val="78CC6C21"/>
    <w:rsid w:val="78D57C49"/>
    <w:rsid w:val="79637216"/>
    <w:rsid w:val="796F7CFF"/>
    <w:rsid w:val="79BA4CCB"/>
    <w:rsid w:val="7A10700A"/>
    <w:rsid w:val="7AB17FAC"/>
    <w:rsid w:val="7AF002AC"/>
    <w:rsid w:val="7B633FF7"/>
    <w:rsid w:val="7BC54EE3"/>
    <w:rsid w:val="7BED5CFD"/>
    <w:rsid w:val="7C0B1FBD"/>
    <w:rsid w:val="7CCB239A"/>
    <w:rsid w:val="7D154555"/>
    <w:rsid w:val="7D1D5117"/>
    <w:rsid w:val="7E256FA7"/>
    <w:rsid w:val="7ED061F4"/>
    <w:rsid w:val="7EE10F4C"/>
    <w:rsid w:val="7F1135E0"/>
    <w:rsid w:val="7F6A241A"/>
    <w:rsid w:val="7F73248E"/>
    <w:rsid w:val="7FA426A6"/>
    <w:rsid w:val="7FA43923"/>
    <w:rsid w:val="7FF07313"/>
    <w:rsid w:val="7FFD3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1"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qFormat/>
    <w:uiPriority w:val="0"/>
    <w:pPr>
      <w:keepNext/>
      <w:keepLines/>
      <w:tabs>
        <w:tab w:val="left" w:pos="864"/>
      </w:tabs>
      <w:spacing w:before="120" w:line="360" w:lineRule="auto"/>
      <w:ind w:left="864" w:hanging="864"/>
      <w:outlineLvl w:val="3"/>
    </w:pPr>
    <w:rPr>
      <w:rFonts w:ascii="Arial" w:hAnsi="Arial"/>
      <w:bCs/>
      <w:szCs w:val="28"/>
    </w:rPr>
  </w:style>
  <w:style w:type="paragraph" w:styleId="6">
    <w:name w:val="heading 6"/>
    <w:basedOn w:val="1"/>
    <w:next w:val="1"/>
    <w:qFormat/>
    <w:uiPriority w:val="0"/>
    <w:pPr>
      <w:keepNext/>
      <w:keepLines/>
      <w:spacing w:before="240" w:after="64" w:line="317" w:lineRule="auto"/>
      <w:outlineLvl w:val="5"/>
    </w:pPr>
    <w:rPr>
      <w:rFonts w:ascii="Arial" w:hAnsi="Arial" w:eastAsia="黑体"/>
      <w:b/>
      <w:sz w:val="24"/>
    </w:rPr>
  </w:style>
  <w:style w:type="character" w:default="1" w:styleId="26">
    <w:name w:val="Default Paragraph Font"/>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unhideWhenUsed/>
    <w:qFormat/>
    <w:uiPriority w:val="1"/>
    <w:pPr>
      <w:spacing w:line="300" w:lineRule="auto"/>
      <w:ind w:firstLine="420" w:firstLineChars="200"/>
    </w:pPr>
  </w:style>
  <w:style w:type="paragraph" w:styleId="8">
    <w:name w:val="annotation text"/>
    <w:basedOn w:val="1"/>
    <w:qFormat/>
    <w:uiPriority w:val="0"/>
    <w:pPr>
      <w:jc w:val="left"/>
    </w:pPr>
  </w:style>
  <w:style w:type="paragraph" w:styleId="9">
    <w:name w:val="Body Text"/>
    <w:basedOn w:val="1"/>
    <w:next w:val="1"/>
    <w:qFormat/>
    <w:uiPriority w:val="0"/>
    <w:pPr>
      <w:spacing w:after="120"/>
    </w:pPr>
  </w:style>
  <w:style w:type="paragraph" w:styleId="10">
    <w:name w:val="Body Text Indent"/>
    <w:basedOn w:val="1"/>
    <w:next w:val="11"/>
    <w:qFormat/>
    <w:uiPriority w:val="0"/>
    <w:pPr>
      <w:spacing w:before="100" w:beforeAutospacing="1" w:after="120"/>
      <w:ind w:left="200" w:leftChars="200"/>
    </w:pPr>
  </w:style>
  <w:style w:type="paragraph" w:styleId="11">
    <w:name w:val="envelope return"/>
    <w:basedOn w:val="1"/>
    <w:qFormat/>
    <w:uiPriority w:val="0"/>
    <w:pPr>
      <w:widowControl/>
      <w:adjustRightInd w:val="0"/>
      <w:snapToGrid w:val="0"/>
      <w:spacing w:after="200"/>
      <w:jc w:val="left"/>
    </w:pPr>
    <w:rPr>
      <w:rFonts w:ascii="Arial" w:hAnsi="Arial" w:eastAsia="微软雅黑"/>
      <w:kern w:val="0"/>
      <w:sz w:val="22"/>
    </w:rPr>
  </w:style>
  <w:style w:type="paragraph" w:styleId="12">
    <w:name w:val="Plain Text"/>
    <w:basedOn w:val="1"/>
    <w:qFormat/>
    <w:uiPriority w:val="99"/>
    <w:rPr>
      <w:rFonts w:ascii="宋体" w:hAnsi="Courier New" w:cs="Courier New"/>
      <w:szCs w:val="21"/>
    </w:rPr>
  </w:style>
  <w:style w:type="paragraph" w:styleId="13">
    <w:name w:val="Date"/>
    <w:basedOn w:val="1"/>
    <w:next w:val="1"/>
    <w:qFormat/>
    <w:uiPriority w:val="0"/>
    <w:rPr>
      <w:rFonts w:ascii="Copperplate Gothic Bold" w:hAnsi="Copperplate Gothic Bold"/>
      <w:sz w:val="32"/>
    </w:rPr>
  </w:style>
  <w:style w:type="paragraph" w:styleId="14">
    <w:name w:val="Body Text Indent 2"/>
    <w:basedOn w:val="1"/>
    <w:next w:val="1"/>
    <w:qFormat/>
    <w:uiPriority w:val="0"/>
    <w:pPr>
      <w:ind w:left="1260"/>
    </w:pPr>
    <w:rPr>
      <w:szCs w:val="24"/>
    </w:rPr>
  </w:style>
  <w:style w:type="paragraph" w:styleId="15">
    <w:name w:val="Balloon Text"/>
    <w:basedOn w:val="1"/>
    <w:link w:val="47"/>
    <w:qFormat/>
    <w:uiPriority w:val="0"/>
    <w:rPr>
      <w:sz w:val="18"/>
      <w:szCs w:val="18"/>
    </w:r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header"/>
    <w:basedOn w:val="1"/>
    <w:qFormat/>
    <w:uiPriority w:val="99"/>
    <w:pPr>
      <w:pBdr>
        <w:bottom w:val="single" w:color="auto" w:sz="6" w:space="1"/>
      </w:pBdr>
      <w:tabs>
        <w:tab w:val="center" w:pos="4153"/>
        <w:tab w:val="right" w:pos="8306"/>
      </w:tabs>
      <w:snapToGrid w:val="0"/>
    </w:pPr>
    <w:rPr>
      <w:rFonts w:ascii="宋体" w:hAnsi="宋体"/>
      <w:color w:val="595959"/>
      <w:szCs w:val="21"/>
    </w:rPr>
  </w:style>
  <w:style w:type="paragraph" w:styleId="18">
    <w:name w:val="toc 1"/>
    <w:basedOn w:val="1"/>
    <w:next w:val="1"/>
    <w:qFormat/>
    <w:uiPriority w:val="39"/>
    <w:pPr>
      <w:widowControl/>
      <w:spacing w:after="100" w:line="276" w:lineRule="auto"/>
      <w:jc w:val="left"/>
    </w:pPr>
    <w:rPr>
      <w:kern w:val="0"/>
      <w:sz w:val="22"/>
    </w:rPr>
  </w:style>
  <w:style w:type="paragraph" w:styleId="19">
    <w:name w:val="toc 2"/>
    <w:basedOn w:val="1"/>
    <w:next w:val="1"/>
    <w:qFormat/>
    <w:uiPriority w:val="39"/>
    <w:pPr>
      <w:widowControl/>
      <w:spacing w:after="100" w:line="276" w:lineRule="auto"/>
      <w:ind w:left="220"/>
      <w:jc w:val="left"/>
    </w:pPr>
    <w:rPr>
      <w:kern w:val="0"/>
      <w:sz w:val="22"/>
    </w:rPr>
  </w:style>
  <w:style w:type="paragraph" w:styleId="20">
    <w:name w:val="Body Text 2"/>
    <w:basedOn w:val="1"/>
    <w:qFormat/>
    <w:uiPriority w:val="0"/>
    <w:pPr>
      <w:spacing w:after="120" w:line="480" w:lineRule="auto"/>
    </w:pPr>
  </w:style>
  <w:style w:type="paragraph" w:styleId="21">
    <w:name w:val="Normal (Web)"/>
    <w:basedOn w:val="1"/>
    <w:semiHidden/>
    <w:qFormat/>
    <w:uiPriority w:val="99"/>
    <w:pPr>
      <w:spacing w:beforeAutospacing="1" w:afterAutospacing="1"/>
      <w:jc w:val="left"/>
    </w:pPr>
    <w:rPr>
      <w:rFonts w:ascii="宋体" w:hAnsi="宋体"/>
      <w:color w:val="000000"/>
      <w:kern w:val="0"/>
      <w:sz w:val="18"/>
      <w:szCs w:val="18"/>
    </w:rPr>
  </w:style>
  <w:style w:type="paragraph" w:styleId="22">
    <w:name w:val="Body Text First Indent"/>
    <w:basedOn w:val="9"/>
    <w:next w:val="23"/>
    <w:qFormat/>
    <w:uiPriority w:val="0"/>
    <w:pPr>
      <w:ind w:firstLine="420" w:firstLineChars="100"/>
    </w:pPr>
    <w:rPr>
      <w:rFonts w:eastAsia="仿宋_GB2312"/>
      <w:sz w:val="28"/>
    </w:rPr>
  </w:style>
  <w:style w:type="paragraph" w:styleId="23">
    <w:name w:val="Body Text First Indent 2"/>
    <w:basedOn w:val="10"/>
    <w:semiHidden/>
    <w:qFormat/>
    <w:uiPriority w:val="0"/>
    <w:pPr>
      <w:ind w:firstLine="420" w:firstLineChars="200"/>
    </w:pPr>
    <w:rPr>
      <w:rFonts w:eastAsia="宋?"/>
    </w:rPr>
  </w:style>
  <w:style w:type="table" w:styleId="25">
    <w:name w:val="Table Grid"/>
    <w:basedOn w:val="2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0"/>
    <w:rPr>
      <w:b/>
      <w:bCs/>
    </w:rPr>
  </w:style>
  <w:style w:type="character" w:styleId="28">
    <w:name w:val="page number"/>
    <w:basedOn w:val="26"/>
    <w:qFormat/>
    <w:uiPriority w:val="0"/>
  </w:style>
  <w:style w:type="character" w:styleId="29">
    <w:name w:val="FollowedHyperlink"/>
    <w:basedOn w:val="26"/>
    <w:qFormat/>
    <w:uiPriority w:val="0"/>
    <w:rPr>
      <w:color w:val="000000"/>
      <w:u w:val="none"/>
    </w:rPr>
  </w:style>
  <w:style w:type="character" w:styleId="30">
    <w:name w:val="Emphasis"/>
    <w:basedOn w:val="26"/>
    <w:qFormat/>
    <w:uiPriority w:val="0"/>
    <w:rPr>
      <w:b/>
      <w:bCs/>
    </w:rPr>
  </w:style>
  <w:style w:type="character" w:styleId="31">
    <w:name w:val="HTML Definition"/>
    <w:basedOn w:val="26"/>
    <w:qFormat/>
    <w:uiPriority w:val="0"/>
  </w:style>
  <w:style w:type="character" w:styleId="32">
    <w:name w:val="HTML Typewriter"/>
    <w:basedOn w:val="26"/>
    <w:qFormat/>
    <w:uiPriority w:val="0"/>
    <w:rPr>
      <w:rFonts w:hint="default" w:ascii="monospace" w:hAnsi="monospace" w:eastAsia="monospace" w:cs="monospace"/>
      <w:sz w:val="20"/>
    </w:rPr>
  </w:style>
  <w:style w:type="character" w:styleId="33">
    <w:name w:val="HTML Acronym"/>
    <w:basedOn w:val="26"/>
    <w:qFormat/>
    <w:uiPriority w:val="0"/>
  </w:style>
  <w:style w:type="character" w:styleId="34">
    <w:name w:val="HTML Variable"/>
    <w:basedOn w:val="26"/>
    <w:qFormat/>
    <w:uiPriority w:val="0"/>
  </w:style>
  <w:style w:type="character" w:styleId="35">
    <w:name w:val="Hyperlink"/>
    <w:basedOn w:val="26"/>
    <w:qFormat/>
    <w:uiPriority w:val="99"/>
    <w:rPr>
      <w:color w:val="0000FF"/>
      <w:u w:val="single"/>
    </w:rPr>
  </w:style>
  <w:style w:type="character" w:styleId="36">
    <w:name w:val="HTML Code"/>
    <w:basedOn w:val="26"/>
    <w:qFormat/>
    <w:uiPriority w:val="0"/>
    <w:rPr>
      <w:rFonts w:ascii="monospace" w:hAnsi="monospace" w:eastAsia="monospace" w:cs="monospace"/>
      <w:sz w:val="20"/>
      <w:shd w:val="clear" w:fill="FFFFFF"/>
    </w:rPr>
  </w:style>
  <w:style w:type="character" w:styleId="37">
    <w:name w:val="HTML Cite"/>
    <w:basedOn w:val="26"/>
    <w:qFormat/>
    <w:uiPriority w:val="0"/>
  </w:style>
  <w:style w:type="character" w:styleId="38">
    <w:name w:val="HTML Keyboard"/>
    <w:basedOn w:val="26"/>
    <w:qFormat/>
    <w:uiPriority w:val="0"/>
    <w:rPr>
      <w:rFonts w:hint="default" w:ascii="monospace" w:hAnsi="monospace" w:eastAsia="monospace" w:cs="monospace"/>
      <w:sz w:val="20"/>
    </w:rPr>
  </w:style>
  <w:style w:type="character" w:styleId="39">
    <w:name w:val="HTML Sample"/>
    <w:basedOn w:val="26"/>
    <w:qFormat/>
    <w:uiPriority w:val="0"/>
    <w:rPr>
      <w:rFonts w:hint="default" w:ascii="monospace" w:hAnsi="monospace" w:eastAsia="monospace" w:cs="monospace"/>
    </w:rPr>
  </w:style>
  <w:style w:type="paragraph" w:customStyle="1" w:styleId="40">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41">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
    <w:name w:val="Char"/>
    <w:basedOn w:val="1"/>
    <w:next w:val="4"/>
    <w:qFormat/>
    <w:uiPriority w:val="0"/>
    <w:pPr>
      <w:widowControl/>
      <w:spacing w:after="160" w:afterLines="0" w:line="240" w:lineRule="exact"/>
      <w:jc w:val="left"/>
    </w:pPr>
    <w:rPr>
      <w:szCs w:val="20"/>
    </w:rPr>
  </w:style>
  <w:style w:type="paragraph" w:customStyle="1" w:styleId="43">
    <w:name w:val="默认段落字体 Para Char Char Char Char Char Char Char Char Char1 Char Char Char Char"/>
    <w:basedOn w:val="1"/>
    <w:qFormat/>
    <w:uiPriority w:val="0"/>
    <w:pPr>
      <w:adjustRightInd w:val="0"/>
      <w:spacing w:line="312" w:lineRule="atLeast"/>
    </w:pPr>
    <w:rPr>
      <w:szCs w:val="24"/>
    </w:rPr>
  </w:style>
  <w:style w:type="paragraph" w:customStyle="1" w:styleId="44">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45">
    <w:name w:val="p15"/>
    <w:basedOn w:val="1"/>
    <w:qFormat/>
    <w:uiPriority w:val="99"/>
    <w:pPr>
      <w:widowControl/>
    </w:pPr>
    <w:rPr>
      <w:rFonts w:ascii="Times New Roman" w:hAnsi="Times New Roman" w:cs="Times New Roman"/>
      <w:kern w:val="0"/>
      <w:szCs w:val="21"/>
    </w:rPr>
  </w:style>
  <w:style w:type="paragraph" w:styleId="46">
    <w:name w:val="List Paragraph"/>
    <w:basedOn w:val="1"/>
    <w:qFormat/>
    <w:uiPriority w:val="34"/>
    <w:pPr>
      <w:ind w:firstLine="420" w:firstLineChars="200"/>
    </w:pPr>
  </w:style>
  <w:style w:type="character" w:customStyle="1" w:styleId="47">
    <w:name w:val="批注框文本 Char"/>
    <w:basedOn w:val="26"/>
    <w:link w:val="15"/>
    <w:qFormat/>
    <w:uiPriority w:val="0"/>
    <w:rPr>
      <w:rFonts w:cs="宋体"/>
      <w:kern w:val="2"/>
      <w:sz w:val="18"/>
      <w:szCs w:val="18"/>
    </w:rPr>
  </w:style>
  <w:style w:type="character" w:customStyle="1" w:styleId="48">
    <w:name w:val="font11"/>
    <w:basedOn w:val="26"/>
    <w:qFormat/>
    <w:uiPriority w:val="0"/>
    <w:rPr>
      <w:rFonts w:hint="eastAsia" w:ascii="宋体" w:hAnsi="宋体" w:eastAsia="宋体" w:cs="宋体"/>
      <w:color w:val="000000"/>
      <w:sz w:val="28"/>
      <w:szCs w:val="28"/>
      <w:u w:val="none"/>
    </w:rPr>
  </w:style>
  <w:style w:type="character" w:customStyle="1" w:styleId="49">
    <w:name w:val="font01"/>
    <w:basedOn w:val="26"/>
    <w:qFormat/>
    <w:uiPriority w:val="0"/>
    <w:rPr>
      <w:rFonts w:ascii="宋体" w:hAnsi="宋体" w:eastAsia="宋体" w:cs="宋体"/>
      <w:color w:val="000000"/>
      <w:sz w:val="28"/>
      <w:szCs w:val="28"/>
      <w:u w:val="none"/>
    </w:rPr>
  </w:style>
  <w:style w:type="paragraph" w:customStyle="1" w:styleId="50">
    <w:name w:val="Table Paragraph"/>
    <w:basedOn w:val="1"/>
    <w:qFormat/>
    <w:uiPriority w:val="1"/>
    <w:rPr>
      <w:rFonts w:ascii="宋体" w:hAnsi="宋体"/>
      <w:lang w:val="zh-CN" w:bidi="zh-CN"/>
    </w:rPr>
  </w:style>
  <w:style w:type="paragraph" w:customStyle="1" w:styleId="51">
    <w:name w:val="title15"/>
    <w:basedOn w:val="1"/>
    <w:qFormat/>
    <w:uiPriority w:val="0"/>
    <w:pPr>
      <w:spacing w:before="150" w:beforeAutospacing="0" w:after="0" w:afterAutospacing="0"/>
      <w:ind w:left="0" w:right="0" w:firstLine="0"/>
      <w:jc w:val="left"/>
    </w:pPr>
    <w:rPr>
      <w:b/>
      <w:bCs/>
      <w:kern w:val="0"/>
      <w:sz w:val="22"/>
      <w:szCs w:val="22"/>
      <w:lang w:val="en-US" w:eastAsia="zh-CN" w:bidi="ar"/>
    </w:rPr>
  </w:style>
  <w:style w:type="paragraph" w:customStyle="1" w:styleId="52">
    <w:name w:val="Plain Text1"/>
    <w:basedOn w:val="1"/>
    <w:qFormat/>
    <w:uiPriority w:val="99"/>
    <w:rPr>
      <w:rFonts w:ascii="宋体" w:hAnsi="Courier New"/>
    </w:rPr>
  </w:style>
  <w:style w:type="paragraph" w:customStyle="1" w:styleId="53">
    <w:name w:val="09正文_wh"/>
    <w:qFormat/>
    <w:uiPriority w:val="0"/>
    <w:pPr>
      <w:spacing w:line="300" w:lineRule="auto"/>
      <w:ind w:firstLine="200" w:firstLineChars="200"/>
      <w:jc w:val="both"/>
    </w:pPr>
    <w:rPr>
      <w:rFonts w:asciiTheme="minorHAnsi" w:hAnsiTheme="minorHAnsi" w:eastAsiaTheme="minorEastAsia" w:cstheme="minorBidi"/>
      <w:sz w:val="28"/>
      <w:szCs w:val="22"/>
      <w:lang w:val="en-US" w:eastAsia="zh-CN" w:bidi="ar-SA"/>
    </w:rPr>
  </w:style>
  <w:style w:type="paragraph" w:customStyle="1" w:styleId="54">
    <w:name w:val="正文缩进1"/>
    <w:basedOn w:val="1"/>
    <w:qFormat/>
    <w:uiPriority w:val="0"/>
    <w:pPr>
      <w:ind w:firstLine="420" w:firstLineChars="200"/>
    </w:pPr>
  </w:style>
  <w:style w:type="paragraph" w:customStyle="1" w:styleId="55">
    <w:name w:val="正文自定"/>
    <w:basedOn w:val="1"/>
    <w:qFormat/>
    <w:uiPriority w:val="0"/>
    <w:pPr>
      <w:tabs>
        <w:tab w:val="left" w:pos="7665"/>
      </w:tabs>
      <w:spacing w:line="360" w:lineRule="auto"/>
      <w:ind w:firstLine="480" w:firstLineChars="200"/>
    </w:pPr>
    <w:rPr>
      <w:rFonts w:ascii="宋体" w:hAnsi="宋体"/>
      <w:sz w:val="24"/>
    </w:rPr>
  </w:style>
  <w:style w:type="paragraph" w:customStyle="1" w:styleId="5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7">
    <w:name w:val="font41"/>
    <w:basedOn w:val="26"/>
    <w:qFormat/>
    <w:uiPriority w:val="0"/>
    <w:rPr>
      <w:rFonts w:hint="default" w:ascii="Times New Roman" w:hAnsi="Times New Roman" w:cs="Times New Roman"/>
      <w:color w:val="000000"/>
      <w:sz w:val="21"/>
      <w:szCs w:val="21"/>
      <w:u w:val="none"/>
    </w:rPr>
  </w:style>
  <w:style w:type="character" w:customStyle="1" w:styleId="58">
    <w:name w:val="font91"/>
    <w:basedOn w:val="26"/>
    <w:qFormat/>
    <w:uiPriority w:val="0"/>
    <w:rPr>
      <w:rFonts w:ascii="宋体" w:hAnsi="宋体" w:eastAsia="宋体" w:cs="宋体"/>
      <w:color w:val="000000"/>
      <w:sz w:val="20"/>
      <w:szCs w:val="20"/>
      <w:u w:val="none"/>
    </w:rPr>
  </w:style>
  <w:style w:type="character" w:customStyle="1" w:styleId="59">
    <w:name w:val="font71"/>
    <w:basedOn w:val="26"/>
    <w:qFormat/>
    <w:uiPriority w:val="0"/>
    <w:rPr>
      <w:rFonts w:hint="eastAsia" w:ascii="宋体" w:hAnsi="宋体" w:eastAsia="宋体" w:cs="宋体"/>
      <w:color w:val="000000"/>
      <w:sz w:val="22"/>
      <w:szCs w:val="22"/>
      <w:u w:val="none"/>
    </w:rPr>
  </w:style>
  <w:style w:type="character" w:customStyle="1" w:styleId="60">
    <w:name w:val="font81"/>
    <w:basedOn w:val="26"/>
    <w:qFormat/>
    <w:uiPriority w:val="0"/>
    <w:rPr>
      <w:rFonts w:ascii="Arial" w:hAnsi="Arial" w:cs="Arial"/>
      <w:color w:val="000000"/>
      <w:sz w:val="22"/>
      <w:szCs w:val="22"/>
      <w:u w:val="none"/>
    </w:rPr>
  </w:style>
  <w:style w:type="character" w:customStyle="1" w:styleId="61">
    <w:name w:val="font31"/>
    <w:basedOn w:val="26"/>
    <w:qFormat/>
    <w:uiPriority w:val="0"/>
    <w:rPr>
      <w:rFonts w:hint="eastAsia" w:ascii="宋体" w:hAnsi="宋体" w:eastAsia="宋体" w:cs="宋体"/>
      <w:color w:val="000000"/>
      <w:sz w:val="22"/>
      <w:szCs w:val="22"/>
      <w:u w:val="none"/>
    </w:rPr>
  </w:style>
  <w:style w:type="character" w:customStyle="1" w:styleId="62">
    <w:name w:val="font21"/>
    <w:basedOn w:val="26"/>
    <w:qFormat/>
    <w:uiPriority w:val="0"/>
    <w:rPr>
      <w:rFonts w:hint="eastAsia" w:ascii="宋体" w:hAnsi="宋体" w:eastAsia="宋体" w:cs="宋体"/>
      <w:color w:val="000000"/>
      <w:sz w:val="21"/>
      <w:szCs w:val="21"/>
      <w:u w:val="none"/>
    </w:rPr>
  </w:style>
  <w:style w:type="paragraph" w:customStyle="1" w:styleId="63">
    <w:name w:val="Default"/>
    <w:qFormat/>
    <w:uiPriority w:val="0"/>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paragraph" w:customStyle="1" w:styleId="64">
    <w:name w:val="BodyText"/>
    <w:basedOn w:val="1"/>
    <w:next w:val="1"/>
    <w:qFormat/>
    <w:uiPriority w:val="0"/>
    <w:pPr>
      <w:spacing w:after="120"/>
      <w:jc w:val="both"/>
      <w:textAlignment w:val="baseline"/>
    </w:pPr>
    <w:rPr>
      <w:kern w:val="2"/>
      <w:sz w:val="21"/>
      <w:szCs w:val="24"/>
      <w:lang w:val="en-US" w:eastAsia="zh-CN" w:bidi="ar-SA"/>
    </w:rPr>
  </w:style>
  <w:style w:type="table" w:customStyle="1" w:styleId="65">
    <w:name w:val="Table Normal"/>
    <w:semiHidden/>
    <w:unhideWhenUsed/>
    <w:qFormat/>
    <w:uiPriority w:val="0"/>
    <w:tblPr>
      <w:tblCellMar>
        <w:top w:w="0" w:type="dxa"/>
        <w:left w:w="0" w:type="dxa"/>
        <w:bottom w:w="0" w:type="dxa"/>
        <w:right w:w="0" w:type="dxa"/>
      </w:tblCellMar>
    </w:tblPr>
  </w:style>
  <w:style w:type="paragraph" w:customStyle="1" w:styleId="66">
    <w:name w:val="Body 1"/>
    <w:qFormat/>
    <w:uiPriority w:val="0"/>
    <w:pPr>
      <w:outlineLvl w:val="0"/>
    </w:pPr>
    <w:rPr>
      <w:rFonts w:ascii="Helvetica" w:hAnsi="Helvetica" w:eastAsia="Arial Unicode MS" w:cs="Times New Roman"/>
      <w:b/>
      <w:color w:val="000000"/>
      <w:u w:val="none" w:color="000000"/>
      <w:lang w:val="en-US" w:eastAsia="zh-CN" w:bidi="ar-SA"/>
    </w:rPr>
  </w:style>
  <w:style w:type="paragraph" w:customStyle="1" w:styleId="67">
    <w:name w:val="表格"/>
    <w:basedOn w:val="1"/>
    <w:qFormat/>
    <w:uiPriority w:val="0"/>
    <w:pPr>
      <w:spacing w:line="400" w:lineRule="exact"/>
    </w:pPr>
    <w:rPr>
      <w:sz w:val="24"/>
      <w:szCs w:val="24"/>
    </w:rPr>
  </w:style>
  <w:style w:type="character" w:customStyle="1" w:styleId="68">
    <w:name w:val="tabg"/>
    <w:basedOn w:val="26"/>
    <w:qFormat/>
    <w:uiPriority w:val="0"/>
    <w:rPr>
      <w:color w:val="FFFFFF"/>
      <w:sz w:val="27"/>
      <w:szCs w:val="27"/>
    </w:rPr>
  </w:style>
  <w:style w:type="character" w:customStyle="1" w:styleId="69">
    <w:name w:val="hover14"/>
    <w:basedOn w:val="26"/>
    <w:qFormat/>
    <w:uiPriority w:val="0"/>
    <w:rPr>
      <w:color w:val="025291"/>
    </w:rPr>
  </w:style>
  <w:style w:type="character" w:customStyle="1" w:styleId="70">
    <w:name w:val="font"/>
    <w:basedOn w:val="26"/>
    <w:qFormat/>
    <w:uiPriority w:val="0"/>
  </w:style>
  <w:style w:type="character" w:customStyle="1" w:styleId="71">
    <w:name w:val="font1"/>
    <w:basedOn w:val="26"/>
    <w:qFormat/>
    <w:uiPriority w:val="0"/>
  </w:style>
  <w:style w:type="character" w:customStyle="1" w:styleId="72">
    <w:name w:val="font_gjgzk"/>
    <w:basedOn w:val="26"/>
    <w:qFormat/>
    <w:uiPriority w:val="0"/>
  </w:style>
  <w:style w:type="character" w:customStyle="1" w:styleId="73">
    <w:name w:val="on4"/>
    <w:basedOn w:val="26"/>
    <w:qFormat/>
    <w:uiPriority w:val="0"/>
    <w:rPr>
      <w:color w:val="FFFFFF"/>
      <w:shd w:val="clear" w:fill="0B67A6"/>
    </w:rPr>
  </w:style>
  <w:style w:type="character" w:customStyle="1" w:styleId="74">
    <w:name w:val="on5"/>
    <w:basedOn w:val="26"/>
    <w:qFormat/>
    <w:uiPriority w:val="0"/>
    <w:rPr>
      <w:b/>
      <w:bCs/>
      <w:color w:val="015293"/>
    </w:rPr>
  </w:style>
  <w:style w:type="character" w:customStyle="1" w:styleId="75">
    <w:name w:val="active&gt;i"/>
    <w:basedOn w:val="26"/>
    <w:qFormat/>
    <w:uiPriority w:val="0"/>
  </w:style>
  <w:style w:type="character" w:customStyle="1" w:styleId="76">
    <w:name w:val="place"/>
    <w:basedOn w:val="26"/>
    <w:qFormat/>
    <w:uiPriority w:val="0"/>
    <w:rPr>
      <w:rFonts w:ascii="微软雅黑" w:hAnsi="微软雅黑" w:eastAsia="微软雅黑" w:cs="微软雅黑"/>
      <w:color w:val="888888"/>
      <w:sz w:val="25"/>
      <w:szCs w:val="25"/>
    </w:rPr>
  </w:style>
  <w:style w:type="character" w:customStyle="1" w:styleId="77">
    <w:name w:val="place1"/>
    <w:basedOn w:val="26"/>
    <w:qFormat/>
    <w:uiPriority w:val="0"/>
  </w:style>
  <w:style w:type="character" w:customStyle="1" w:styleId="78">
    <w:name w:val="place2"/>
    <w:basedOn w:val="26"/>
    <w:qFormat/>
    <w:uiPriority w:val="0"/>
  </w:style>
  <w:style w:type="character" w:customStyle="1" w:styleId="79">
    <w:name w:val="place3"/>
    <w:basedOn w:val="26"/>
    <w:qFormat/>
    <w:uiPriority w:val="0"/>
  </w:style>
  <w:style w:type="character" w:customStyle="1" w:styleId="80">
    <w:name w:val="bg02"/>
    <w:basedOn w:val="26"/>
    <w:qFormat/>
    <w:uiPriority w:val="0"/>
  </w:style>
  <w:style w:type="character" w:customStyle="1" w:styleId="81">
    <w:name w:val="bg01"/>
    <w:basedOn w:val="26"/>
    <w:qFormat/>
    <w:uiPriority w:val="0"/>
  </w:style>
  <w:style w:type="character" w:customStyle="1" w:styleId="82">
    <w:name w:val="font-zyygwj"/>
    <w:basedOn w:val="26"/>
    <w:qFormat/>
    <w:uiPriority w:val="0"/>
  </w:style>
  <w:style w:type="character" w:customStyle="1" w:styleId="83">
    <w:name w:val="font-zyygwj1"/>
    <w:basedOn w:val="26"/>
    <w:qFormat/>
    <w:uiPriority w:val="0"/>
  </w:style>
  <w:style w:type="character" w:customStyle="1" w:styleId="84">
    <w:name w:val="noline"/>
    <w:basedOn w:val="26"/>
    <w:qFormat/>
    <w:uiPriority w:val="0"/>
  </w:style>
  <w:style w:type="character" w:customStyle="1" w:styleId="85">
    <w:name w:val="laypage_curr"/>
    <w:basedOn w:val="26"/>
    <w:qFormat/>
    <w:uiPriority w:val="0"/>
    <w:rPr>
      <w:color w:val="FFFDF4"/>
      <w:sz w:val="42"/>
      <w:szCs w:val="42"/>
      <w:shd w:val="clear" w:fill="0B67A6"/>
    </w:rPr>
  </w:style>
  <w:style w:type="character" w:customStyle="1" w:styleId="86">
    <w:name w:val="on"/>
    <w:basedOn w:val="26"/>
    <w:qFormat/>
    <w:uiPriority w:val="0"/>
    <w:rPr>
      <w:b/>
      <w:bCs/>
      <w:color w:val="015293"/>
    </w:rPr>
  </w:style>
  <w:style w:type="character" w:customStyle="1" w:styleId="87">
    <w:name w:val="on1"/>
    <w:basedOn w:val="26"/>
    <w:qFormat/>
    <w:uiPriority w:val="0"/>
    <w:rPr>
      <w:color w:val="FFFFFF"/>
      <w:shd w:val="clear" w:fill="0B67A6"/>
    </w:rPr>
  </w:style>
  <w:style w:type="character" w:customStyle="1" w:styleId="88">
    <w:name w:val="hover15"/>
    <w:basedOn w:val="26"/>
    <w:qFormat/>
    <w:uiPriority w:val="0"/>
    <w:rPr>
      <w:color w:val="025291"/>
    </w:rPr>
  </w:style>
  <w:style w:type="character" w:customStyle="1" w:styleId="89">
    <w:name w:val="font51"/>
    <w:basedOn w:val="26"/>
    <w:qFormat/>
    <w:uiPriority w:val="0"/>
    <w:rPr>
      <w:rFonts w:hint="default" w:ascii="Calibri" w:hAnsi="Calibri" w:cs="Calibri"/>
      <w:color w:val="000000"/>
      <w:sz w:val="20"/>
      <w:szCs w:val="20"/>
      <w:u w:val="none"/>
    </w:rPr>
  </w:style>
  <w:style w:type="character" w:customStyle="1" w:styleId="90">
    <w:name w:val="font101"/>
    <w:basedOn w:val="26"/>
    <w:qFormat/>
    <w:uiPriority w:val="0"/>
    <w:rPr>
      <w:rFonts w:hint="eastAsia" w:ascii="宋体" w:hAnsi="宋体" w:eastAsia="宋体" w:cs="宋体"/>
      <w:color w:val="000000"/>
      <w:sz w:val="16"/>
      <w:szCs w:val="16"/>
      <w:u w:val="none"/>
    </w:rPr>
  </w:style>
  <w:style w:type="character" w:customStyle="1" w:styleId="91">
    <w:name w:val="font112"/>
    <w:basedOn w:val="26"/>
    <w:qFormat/>
    <w:uiPriority w:val="0"/>
    <w:rPr>
      <w:rFonts w:hint="eastAsia" w:ascii="宋体" w:hAnsi="宋体" w:eastAsia="宋体" w:cs="宋体"/>
      <w:color w:val="FF0000"/>
      <w:sz w:val="16"/>
      <w:szCs w:val="16"/>
      <w:u w:val="none"/>
    </w:rPr>
  </w:style>
  <w:style w:type="character" w:customStyle="1" w:styleId="92">
    <w:name w:val="font131"/>
    <w:basedOn w:val="26"/>
    <w:qFormat/>
    <w:uiPriority w:val="0"/>
    <w:rPr>
      <w:rFonts w:hint="eastAsia" w:ascii="宋体" w:hAnsi="宋体" w:eastAsia="宋体" w:cs="宋体"/>
      <w:color w:val="FF0000"/>
      <w:sz w:val="16"/>
      <w:szCs w:val="16"/>
      <w:u w:val="none"/>
    </w:rPr>
  </w:style>
  <w:style w:type="character" w:customStyle="1" w:styleId="93">
    <w:name w:val="font61"/>
    <w:basedOn w:val="26"/>
    <w:qFormat/>
    <w:uiPriority w:val="0"/>
    <w:rPr>
      <w:rFonts w:hint="eastAsia" w:ascii="宋体" w:hAnsi="宋体" w:eastAsia="宋体" w:cs="宋体"/>
      <w:color w:val="FF0000"/>
      <w:sz w:val="22"/>
      <w:szCs w:val="22"/>
      <w:u w:val="none"/>
    </w:rPr>
  </w:style>
  <w:style w:type="paragraph" w:customStyle="1" w:styleId="94">
    <w:name w:val="null3"/>
    <w:qFormat/>
    <w:uiPriority w:val="0"/>
    <w:rPr>
      <w:rFonts w:hint="eastAsia" w:ascii="Calibri" w:hAnsi="Calibri" w:eastAsia="宋体" w:cs="Times New Roman"/>
      <w:lang w:val="en-US" w:eastAsia="zh-Hans"/>
    </w:rPr>
  </w:style>
  <w:style w:type="paragraph" w:customStyle="1" w:styleId="95">
    <w:name w:val="正文正"/>
    <w:basedOn w:val="1"/>
    <w:qFormat/>
    <w:uiPriority w:val="99"/>
    <w:pPr>
      <w:spacing w:line="560" w:lineRule="exact"/>
      <w:ind w:firstLine="561"/>
    </w:pPr>
    <w:rPr>
      <w:rFonts w:ascii="Calibri" w:hAnsi="Calibri" w:eastAsia="宋体"/>
      <w:sz w:val="28"/>
      <w:szCs w:val="24"/>
    </w:rPr>
  </w:style>
  <w:style w:type="paragraph" w:customStyle="1" w:styleId="96">
    <w:name w:val="Normal_12"/>
    <w:qFormat/>
    <w:uiPriority w:val="0"/>
    <w:rPr>
      <w:rFonts w:ascii="黑体" w:hAnsi="黑体" w:eastAsia="黑体" w:cs="Times New Roman"/>
      <w:b/>
      <w:sz w:val="32"/>
      <w:szCs w:val="24"/>
      <w:lang w:bidi="ar-SA"/>
    </w:rPr>
  </w:style>
  <w:style w:type="paragraph" w:customStyle="1" w:styleId="97">
    <w:name w:val="正文文本_0"/>
    <w:basedOn w:val="98"/>
    <w:qFormat/>
    <w:uiPriority w:val="99"/>
    <w:pPr>
      <w:spacing w:after="120"/>
    </w:pPr>
    <w:rPr>
      <w:rFonts w:ascii="Calibri" w:hAnsi="Calibri"/>
      <w:kern w:val="0"/>
      <w:sz w:val="24"/>
    </w:rPr>
  </w:style>
  <w:style w:type="paragraph" w:customStyle="1" w:styleId="98">
    <w:name w:val="正文_12"/>
    <w:next w:val="9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9">
    <w:name w:val="BodyText_0"/>
    <w:basedOn w:val="100"/>
    <w:next w:val="98"/>
    <w:qFormat/>
    <w:uiPriority w:val="0"/>
    <w:pPr>
      <w:spacing w:after="120"/>
      <w:jc w:val="both"/>
      <w:textAlignment w:val="baseline"/>
    </w:pPr>
    <w:rPr>
      <w:kern w:val="2"/>
      <w:sz w:val="21"/>
      <w:szCs w:val="24"/>
      <w:lang w:val="en-US" w:eastAsia="zh-CN" w:bidi="ar-SA"/>
    </w:rPr>
  </w:style>
  <w:style w:type="paragraph" w:customStyle="1" w:styleId="100">
    <w:name w:val="正文_1_1"/>
    <w:next w:val="99"/>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1">
    <w:name w:val="正文_11"/>
    <w:basedOn w:val="102"/>
    <w:qFormat/>
    <w:uiPriority w:val="0"/>
    <w:rPr>
      <w:rFonts w:ascii="Calibri" w:hAnsi="Calibri" w:eastAsia="宋体"/>
    </w:rPr>
  </w:style>
  <w:style w:type="paragraph" w:customStyle="1" w:styleId="102">
    <w:name w:val="正文_3_0"/>
    <w:basedOn w:val="103"/>
    <w:qFormat/>
    <w:uiPriority w:val="0"/>
    <w:rPr>
      <w:rFonts w:ascii="Calibri" w:hAnsi="Calibri" w:eastAsia="宋体" w:cs="Calibri"/>
      <w:szCs w:val="21"/>
    </w:rPr>
  </w:style>
  <w:style w:type="paragraph" w:customStyle="1" w:styleId="103">
    <w:name w:val="正文_4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4">
    <w:name w:val="样式 (西文) ˎ̥ 小四 行距: 1.5 倍行距 首行缩进:  2 字符"/>
    <w:basedOn w:val="1"/>
    <w:qFormat/>
    <w:uiPriority w:val="0"/>
    <w:pPr>
      <w:spacing w:line="360" w:lineRule="auto"/>
      <w:ind w:firstLine="480" w:firstLineChars="200"/>
    </w:pPr>
    <w:rPr>
      <w:rFonts w:ascii="ˎ̥" w:hAnsi="ˎ̥" w:cs="宋体"/>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header" Target="header10.xml"/><Relationship Id="rId23" Type="http://schemas.openxmlformats.org/officeDocument/2006/relationships/header" Target="header9.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100</Pages>
  <Words>88</Words>
  <Characters>99</Characters>
  <Lines>224</Lines>
  <Paragraphs>63</Paragraphs>
  <TotalTime>4</TotalTime>
  <ScaleCrop>false</ScaleCrop>
  <LinksUpToDate>false</LinksUpToDate>
  <CharactersWithSpaces>110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2020-07-10T02:16:00Z</dcterms:created>
  <dc:creator>Administrator</dc:creator>
  <cp:lastModifiedBy>11</cp:lastModifiedBy>
  <cp:lastPrinted>2026-10-27T07:32:18Z</cp:lastPrinted>
  <dcterms:modified xsi:type="dcterms:W3CDTF">2026-10-27T07:35:24Z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7EE8A2874EE8401FBE6A307B5F599274_13</vt:lpwstr>
  </property>
  <property fmtid="{D5CDD505-2E9C-101B-9397-08002B2CF9AE}" pid="4" name="KSOTemplateDocerSaveRecord">
    <vt:lpwstr>eyJoZGlkIjoiNWMzMmMwMDJiZDAxNDIzYjZhOGMxNDI1Yzk3ZWZiYTMiLCJ1c2VySWQiOiIyNDgzOTAxODgifQ==</vt:lpwstr>
  </property>
</Properties>
</file>