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版本号：JJX-2026-06820260814001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渭南市“十五五”碳达峰行动方案和碳排放预算方案编制采购项目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JJX-2026-068</w:t>
      </w:r>
      <w:r>
        <w:br/>
      </w:r>
      <w:r>
        <w:br/>
      </w:r>
      <w:r>
        <w:br/>
      </w:r>
    </w:p>
    <w:p>
      <w:pPr>
        <w:pStyle w:val="null3"/>
        <w:jc w:val="center"/>
        <w:outlineLvl w:val="2"/>
      </w:pPr>
      <w:r>
        <w:rPr>
          <w:rFonts w:ascii="仿宋_GB2312" w:hAnsi="仿宋_GB2312" w:cs="仿宋_GB2312" w:eastAsia="仿宋_GB2312"/>
          <w:sz w:val="28"/>
          <w:b/>
        </w:rPr>
        <w:t>渭南市发展和改革委员会</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渭南市发展和改革委员会</w:t>
      </w:r>
      <w:r>
        <w:rPr>
          <w:rFonts w:ascii="仿宋_GB2312" w:hAnsi="仿宋_GB2312" w:cs="仿宋_GB2312" w:eastAsia="仿宋_GB2312"/>
        </w:rPr>
        <w:t>委托，拟对</w:t>
      </w:r>
      <w:r>
        <w:rPr>
          <w:rFonts w:ascii="仿宋_GB2312" w:hAnsi="仿宋_GB2312" w:cs="仿宋_GB2312" w:eastAsia="仿宋_GB2312"/>
        </w:rPr>
        <w:t>渭南市“十五五”碳达峰行动方案和碳排放预算方案编制采购项目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渭南市“十五五”碳达峰行动方案和碳排放预算方案编制采购项目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渭南市“十五五”碳达峰行动方案和碳排放预算方案编制采购项目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3、项目负责人：项目负责人需具备环境相关专业高级及以上职称。</w:t>
      </w:r>
    </w:p>
    <w:p>
      <w:pPr>
        <w:pStyle w:val="null3"/>
      </w:pPr>
      <w:r>
        <w:rPr>
          <w:rFonts w:ascii="仿宋_GB2312" w:hAnsi="仿宋_GB2312" w:cs="仿宋_GB2312" w:eastAsia="仿宋_GB2312"/>
        </w:rPr>
        <w:t>4、磋商保证金：磋商保证金缴纳资料。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渭南市车雷大街69号市民服务中心12楼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高攀峰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0913-2930917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渭南市临渭区玉德路豪庭佳苑南门东临商铺4层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开户名称：陕西金吉翔项目管理有限公司</w:t>
            </w:r>
          </w:p>
          <w:p>
            <w:pPr>
              <w:pStyle w:val="null3"/>
            </w:pPr>
            <w:r>
              <w:rPr>
                <w:rFonts w:ascii="仿宋_GB2312" w:hAnsi="仿宋_GB2312" w:cs="仿宋_GB2312" w:eastAsia="仿宋_GB2312"/>
              </w:rPr>
              <w:t>开户银行：中国农业银行股份有限公司西安政通路支行</w:t>
            </w:r>
          </w:p>
          <w:p>
            <w:pPr>
              <w:pStyle w:val="null3"/>
            </w:pPr>
            <w:r>
              <w:rPr>
                <w:rFonts w:ascii="仿宋_GB2312" w:hAnsi="仿宋_GB2312" w:cs="仿宋_GB2312" w:eastAsia="仿宋_GB2312"/>
              </w:rPr>
              <w:t>银行账号：26140401040014376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渭南市发展和改革委员会</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本项目不涉及知识产权约束，保证采购人正常实施项目不会受到任何限制与影响。</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地址：渭南市临渭区玉德路豪庭佳苑南门东临商铺4层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渭南市“十五五”碳达峰行动方案和碳排放预算方案编制采购项目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渭南市“十五五”碳达峰行动方案和碳排放预算方案编制采购项目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标的名称：渭南市“十五五”碳达峰行动方案和碳排放预算方案编制采购项目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编制“十五五”碳排放预算管理方案。摸底测算2025年渭南市基础碳排放（一产、居民和其他民生领域）、重点碳排放（工业生产、能源供应行业）、新增碳排放（新建项目）基数，测算全市80家重点用能和排放单位碳排放基数。以完成全市碳排放强度降低目标为驱动，测算分析全市“十五五”时期碳排放总量目标、分项目标、年度目标，并将碳预算指标细化分解到具体行业领域、重点企业等执行层面，明确全市各行业领域管理部门、重点企业的具体落实目标，形成清晰明确的碳排放控制指标体系，编制形成《渭南市“十五五”碳排放预算管理方案》。</w:t>
            </w:r>
            <w:r>
              <w:br/>
            </w:r>
            <w:r>
              <w:rPr>
                <w:rFonts w:ascii="仿宋_GB2312" w:hAnsi="仿宋_GB2312" w:cs="仿宋_GB2312" w:eastAsia="仿宋_GB2312"/>
              </w:rPr>
              <w:t xml:space="preserve"> （二）编制“十五五”碳达峰行动方案。结合渭南市发展定位、资源禀赋和产业基础，以落实碳达峰碳中和“5+9”综合评价指标体系为根本导向，明确“十五五”时期我市推进碳达峰工作的指导思想、主要目标、重点任务和保障措施，针对能源低碳转型、工业深度减碳、城乡建设低碳发展、交通运输绿色低碳、公共机构节能降碳等重点领域，提出具体行动举措，编制形成《渭南市“十五五”碳达峰行动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合同签订后90天完成所有内容。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符合国家现行技术规范和标准合格。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其他，项目完成经采购人验收合格后，达到付款条件起10个工作日内，支付合同总金额的60.0%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成交供应商在结果公示结束后，需提供系统签章后的磋商响应文件，双面打印三套，封皮加盖单位鲜章，送至采购代理机构。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的能力：提供法人或者其他组织的营业执照等证明文件，自然人的身份证明；2、有依法缴纳税收和社会保障资金的良好记录：提供2025年8月1日至磋商截止之日前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财务报告（含附表附注），（成立时间至磋商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项目负责人需具备环境相关专业高级及以上职称。</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磋商保证金缴纳资料。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供应商名称和公章、营业执照的相关资料一致。</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合同签订后90天完成所有内容。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服务内容及服务要求响应表.docx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供应商针对本项目提供具体可行的总体方案，包含①总体思路②工作依据及原则③主要工作内容④工作阶段划分及各阶段工作内容等内容。 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供应商针对本项目提供具体可行的分析方案，包含①项目背景分析②项目目标与定位的理解③专业资料的搜集与内容梳理④实地调研与考察方案⑤对发展现状认识等内容。 二、评审标准： 根据完整性：内容必须全面，对评审内容中的各项要求有详细描述；可实施性：切合本项目实际情况，提出清晰、合理的内容；针对性：内容能够紧扣项目实际情况，内容科学合理提供相应方案，以上5项内容无缺项、无漏项且无缺陷的得10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对本地区碳排放情况掌握</w:t>
            </w:r>
          </w:p>
        </w:tc>
        <w:tc>
          <w:tcPr>
            <w:tcW w:type="dxa" w:w="2492"/>
          </w:tcPr>
          <w:p>
            <w:pPr>
              <w:pStyle w:val="null3"/>
            </w:pPr>
            <w:r>
              <w:rPr>
                <w:rFonts w:ascii="仿宋_GB2312" w:hAnsi="仿宋_GB2312" w:cs="仿宋_GB2312" w:eastAsia="仿宋_GB2312"/>
              </w:rPr>
              <w:t>一、评审内容： 供应商针对本项目采购需求编制对本地区碳排放情况的了解，包含①排放源现状掌握②重点排放主体掌握③本地双碳工作难点等内容。 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6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一、评审内容： 供应商针对本项目提供具体可行的项目进度计划及保证措施，包含①各阶段进度控制措施；②进度计划及保障措施等内容。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供应商针对本项目提供具体可行的质量保证措施，包含①质量保障措施②质量管控要求等内容。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应急预案及保密措施</w:t>
            </w:r>
          </w:p>
        </w:tc>
        <w:tc>
          <w:tcPr>
            <w:tcW w:type="dxa" w:w="2492"/>
          </w:tcPr>
          <w:p>
            <w:pPr>
              <w:pStyle w:val="null3"/>
            </w:pPr>
            <w:r>
              <w:rPr>
                <w:rFonts w:ascii="仿宋_GB2312" w:hAnsi="仿宋_GB2312" w:cs="仿宋_GB2312" w:eastAsia="仿宋_GB2312"/>
              </w:rPr>
              <w:t>一、评审内容： 供应商针对本项目提供具体可行的应急预案及保密措施，包含①应急方案及措施、②保密措施等内容。 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4分，其中每有一项内容存在缺项或漏项的扣2分，每项内容中每有一处存在缺陷的扣0.5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项目组人员配备（项目负责人除外）</w:t>
            </w:r>
          </w:p>
        </w:tc>
        <w:tc>
          <w:tcPr>
            <w:tcW w:type="dxa" w:w="2492"/>
          </w:tcPr>
          <w:p>
            <w:pPr>
              <w:pStyle w:val="null3"/>
            </w:pPr>
            <w:r>
              <w:rPr>
                <w:rFonts w:ascii="仿宋_GB2312" w:hAnsi="仿宋_GB2312" w:cs="仿宋_GB2312" w:eastAsia="仿宋_GB2312"/>
              </w:rPr>
              <w:t>1、团队人员具备高级及以上职称的，每提供1人得1分，满分2分； 2、团队人员为本科及以上学历，具有三级及以上碳排放管理员职业技能等级证书，每提供1人得3分，满分12分；以具有职业技能等级认定社会培训评价组织签发的职业技能等级证书，以及技能人才评价证书全国联网查询网站截图（网址：https://www.osta.org.cn/）为准，不提供或缺项不得分。响应文件中需提供对应人员身份证、相关证书复印件及磋商前半年内（磋商当月不计入在内）任意一个月的社保缴纳证明或有效的劳动合同。未提供或提供不全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 2.服务进度目标承诺（3分）：供应商提供针对本项目的服务期限节点、进度管控、进度保障、逾期补救措施等专项承诺，承诺完整并加盖公章得3分，未提供或不完整不得分。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2分）：承诺1小时内专人对接响应，提供7×12小时联络热线、项目专属工作群，满足得满分2分；仅承诺2小时及以内响应得50%分值1分；承诺超过2小时不得分；未提供固定联络渠道扣全部分值。2.一般咨询、资料修正需求（2分）：承诺2小时内出具修改思路/回复意见得满分2分；承诺4小时及以内得50%分值1分，超出4小时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供应商提供2023年8月1日至今具有类似项目业绩；响应文件中需附合同复印件及合同对应的结算发票复印件并加盖公章，以合同签订时间为准。每提供1个得2分，满分10分。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