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版本号：SXJC-ZC-202603220260908002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2026年洋县磨子桥镇磨子桥社区村米面加工项目（建筑部分）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SXJC-ZC-2026032</w:t>
      </w:r>
      <w:r>
        <w:br/>
      </w:r>
      <w:r>
        <w:br/>
      </w:r>
      <w:r>
        <w:br/>
      </w:r>
    </w:p>
    <w:p>
      <w:pPr>
        <w:pStyle w:val="null3"/>
        <w:jc w:val="center"/>
        <w:outlineLvl w:val="2"/>
      </w:pPr>
      <w:r>
        <w:rPr>
          <w:rFonts w:ascii="仿宋_GB2312" w:hAnsi="仿宋_GB2312" w:cs="仿宋_GB2312" w:eastAsia="仿宋_GB2312"/>
          <w:sz w:val="28"/>
          <w:b/>
        </w:rPr>
        <w:t>洋县磨子桥镇人民政府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洋县磨子桥镇人民政府</w:t>
      </w:r>
      <w:r>
        <w:rPr>
          <w:rFonts w:ascii="仿宋_GB2312" w:hAnsi="仿宋_GB2312" w:cs="仿宋_GB2312" w:eastAsia="仿宋_GB2312"/>
        </w:rPr>
        <w:t>委托，拟对</w:t>
      </w:r>
      <w:r>
        <w:rPr>
          <w:rFonts w:ascii="仿宋_GB2312" w:hAnsi="仿宋_GB2312" w:cs="仿宋_GB2312" w:eastAsia="仿宋_GB2312"/>
        </w:rPr>
        <w:t>2026年洋县磨子桥镇磨子桥社区村米面加工项目（建筑部分）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2026年洋县磨子桥镇磨子桥社区村米面加工项目（建筑部分）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新建铁艺围墙、电动伸缩门及机井等相应安装工程。（具体详见工程量清单）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采购包1（2026年洋县磨子桥镇磨子桥社区村米面加工项目（建筑部分））：属于专门面向中小企业采购。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3、企业资质要求：供应商须具备建设行政主管部门核发的建筑工程施⼯总承包三级（含三级）及以上资质，安全生产许可证合格有效。</w:t>
      </w:r>
    </w:p>
    <w:p>
      <w:pPr>
        <w:pStyle w:val="null3"/>
      </w:pPr>
      <w:r>
        <w:rPr>
          <w:rFonts w:ascii="仿宋_GB2312" w:hAnsi="仿宋_GB2312" w:cs="仿宋_GB2312" w:eastAsia="仿宋_GB2312"/>
        </w:rPr>
        <w:t>4、项目经理资格要求：项目经理应具备建筑工程专业二级（含二级）及以上注册建造师资格、具有有效的安全考核合格证（B证），且无在建工程。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洋县磨子桥镇人民政府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洋县磨子桥镇磨子桥街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0916-8482345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采购包1：434,640.72元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 号)、国家发展和改⾰委员会《国家发展改⾰委办公厅关于招标代理服务收费有关问题的通知》( 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洋县磨子桥镇人民政府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洋县磨子桥镇人民政府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洋县磨子桥镇人民政府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按照施⼯合同、⼯程量清单及国家现⾏相关施⼯规范开展验收，⼯程质量达到合格标准，按期完⼯、配套设施运⾏正常、竣⼯资料⻬全，商务条款全部履⾏到位即为履约验收合格。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联系人：商女士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434,640.72</w:t>
      </w:r>
    </w:p>
    <w:p>
      <w:pPr>
        <w:pStyle w:val="null3"/>
      </w:pPr>
      <w:r>
        <w:rPr>
          <w:rFonts w:ascii="仿宋_GB2312" w:hAnsi="仿宋_GB2312" w:cs="仿宋_GB2312" w:eastAsia="仿宋_GB2312"/>
        </w:rPr>
        <w:t>采购包最高限价（元）: 434,640.72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2026年洋县磨子桥镇磨子桥社区村米面加工项目（建筑部分）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434,640.72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标的名称：2026年洋县磨子桥镇磨子桥社区村米面加工项目（建筑部分）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目概况（施工范围）：</w:t>
            </w:r>
            <w:r>
              <w:rPr>
                <w:rFonts w:ascii="仿宋_GB2312" w:hAnsi="仿宋_GB2312" w:cs="仿宋_GB2312" w:eastAsia="仿宋_GB2312"/>
                <w:sz w:val="24"/>
                <w:b/>
              </w:rPr>
              <w:t>新建铁艺围墙、电动伸缩门及机井等相应安装工程。（具体详见工程量清单）</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工期：</w:t>
            </w:r>
            <w:r>
              <w:rPr>
                <w:rFonts w:ascii="仿宋_GB2312" w:hAnsi="仿宋_GB2312" w:cs="仿宋_GB2312" w:eastAsia="仿宋_GB2312"/>
                <w:sz w:val="24"/>
                <w:b/>
              </w:rPr>
              <w:t>30日历天</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质量标准：</w:t>
            </w:r>
            <w:r>
              <w:rPr>
                <w:rFonts w:ascii="仿宋_GB2312" w:hAnsi="仿宋_GB2312" w:cs="仿宋_GB2312" w:eastAsia="仿宋_GB2312"/>
                <w:sz w:val="24"/>
                <w:b/>
              </w:rPr>
              <w:t>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供应商须具备建设行政主管部门核发的建筑工程施⼯总承包三级（含三级）及以上资质，安全生产许可证合格有效。</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项目经理应具备建筑工程专业二级（含二级）及以上注册建造师资格、具有有效的安全考核合格证（B证），且无在建工程。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1、投标报价唯一；2、报价货币符合招标文件要求；3、未超出采购预算或采购文件规定的最高限价。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施工承诺.docx 汉中市政府采购供应商资格承诺函.docx 响应文件封面 项目管理机构组成表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结合本项目实际编制完整施工方案，包括①项目整体实施思路；②项目施工重点、难点及应对措施；③施工实施流程；④施工进度计划横道图。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图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安全文明施工管理制度及措施</w:t>
            </w:r>
          </w:p>
        </w:tc>
        <w:tc>
          <w:tcPr>
            <w:tcW w:type="dxa" w:w="2492"/>
          </w:tcPr>
          <w:p>
            <w:pPr>
              <w:pStyle w:val="null3"/>
            </w:pPr>
            <w:r>
              <w:rPr>
                <w:rFonts w:ascii="仿宋_GB2312" w:hAnsi="仿宋_GB2312" w:cs="仿宋_GB2312" w:eastAsia="仿宋_GB2312"/>
              </w:rPr>
              <w:t>一、评审内容：针对本项目制定安全文明施工管理制度及措施，包括①安全文明施工管理制度及安全教育；②安全文明施工管理措施及应急保障。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8分。两项内容任意一项无独立章节、无实质性文字描述，视为该分项完整缺失，每缺失1个分项扣4分。分项内容虽有对应章节，但内容存在缺陷的，每发现1处缺陷扣0.5分；单个分项缺陷累计扣分最高不超过4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二、评审标准：1、完整性：响应全面，对评审内容中的各项要求有详细描述；2、可实施性：内容科学，步骤清晰、合理，可实施性强；3、针对性：能够紧扣项目实际情况，满足项目配置需求。三、赋分标准：方案内容全面详细、步骤清晰合理、完全贴合本项目实际、全部满足采购及国家规范要求的，得3分。每一项内容存在1处缺陷，扣0.5分，扣完为止。 备注：缺陷是指该项方案已有内容，但内容过于简单、不完善、前后表述不一致、套用其他项目方案或与项目需求不匹配、凭空编造、出现常识性错误及其他不利于项目实施等任意一种情形。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①维修措施；②保修责任；③保修承诺。二、评审标准：1、完整性：响应全面，对评审内容中的各项要求有详细描述；2、可实施性：内容科学，步骤清晰、合理，可实施性强；3、针对性：能够紧扣项目实际情况，满足具体要求。三、赋分标准：以上三项内容齐全完整，各分项描述详实完善；工序步骤清晰科学、落地可行性高；全文贴合本项目实际，完全匹配采购全部要求，无任何缺陷，得3分。三项内容任意一项无独立章节、无实质性文字描述，视为该分项完整缺失，每缺失1个分项扣1分。分项内容虽有对应章节，但内容存在缺陷的，每发现1处缺陷扣0.5分；单个分项缺陷累计扣分最高不超过1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施工安全承诺书、文明施工承诺书、施工质量保证承诺书、工期保证承诺书。二、赋分标准：提供上述四份承诺书（格式自拟），加盖投标人公章。1、四份承诺书全部齐全，且每一份承诺书均包含针对本项目的具体保障措施，得4分；2、缺少任意一份承诺书扣1分；3、承诺书齐全，但每有1份承诺书缺少针对本项目的具体保障措施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建筑施工业绩。二、赋分标准：提供2023年1月至今（以合同签订日期为准）的业绩，每提供一个有效业绩得2.5分，满分5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一、评审内容：项目经理具有类似建筑施工业绩。二、赋分标准：提供2023年1月至今（以合同签订日期为准）的业绩，每提供一个有效业绩得1分，满分2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项目经理执业经历</w:t>
            </w:r>
          </w:p>
        </w:tc>
        <w:tc>
          <w:tcPr>
            <w:tcW w:type="dxa" w:w="2492"/>
          </w:tcPr>
          <w:p>
            <w:pPr>
              <w:pStyle w:val="null3"/>
            </w:pPr>
            <w:r>
              <w:rPr>
                <w:rFonts w:ascii="仿宋_GB2312" w:hAnsi="仿宋_GB2312" w:cs="仿宋_GB2312" w:eastAsia="仿宋_GB2312"/>
              </w:rPr>
              <w:t>一、评审内容:项目经理执业年限;二、赋分标准:具有2年及以上项目经理执业经历得2分(执业经历认定以注册建造师发证时间为准)，不满足不得分;三、评审依据:提供项目经理证注册证书扫描件或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项目经理资格要求.docx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技术负责人技术职称</w:t>
            </w:r>
          </w:p>
        </w:tc>
        <w:tc>
          <w:tcPr>
            <w:tcW w:type="dxa" w:w="2492"/>
          </w:tcPr>
          <w:p>
            <w:pPr>
              <w:pStyle w:val="null3"/>
            </w:pPr>
            <w:r>
              <w:rPr>
                <w:rFonts w:ascii="仿宋_GB2312" w:hAnsi="仿宋_GB2312" w:cs="仿宋_GB2312" w:eastAsia="仿宋_GB2312"/>
              </w:rPr>
              <w:t>一、评审内容：技术负责人技术职称；二、赋分标准：拟派项目技术负责人具备工程类中级及以上专业技术职称得2分；其他不得分。三、评审依据:提供技术负责人职称证证书扫描件或复印件并加盖公章。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关键岗位人员配备质量员、安全员、材料员、施工员、资料员。二、赋分标准：以上5类岗位人员全部配齐且全部证件有效得5分；每缺失一人，或相应人员证书无效/过期/专业不符，扣1分，扣完为止。三、评审依据：提供以上人员身份证扫描件、相应岗位证书扫描件，所有证书均须在有效期内。</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详见附件：施工承诺.docx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